
<file path=[Content_Types].xml><?xml version="1.0" encoding="utf-8"?>
<Types xmlns="http://schemas.openxmlformats.org/package/2006/content-types">
  <Default Extension="xml" ContentType="application/xml"/>
  <Default Extension="bin" ContentType="application/vnd.openxmlformats-officedocument.oleObject"/>
  <Default Extension="jpeg" ContentType="image/jpeg"/>
  <Default Extension="JPG" ContentType="image/.jpg"/>
  <Default Extension="png" ContentType="image/png"/>
  <Default Extension="wmf" ContentType="image/x-wmf"/>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C40DF1F">
      <w:pPr>
        <w:spacing w:line="288" w:lineRule="auto"/>
        <w:ind w:firstLine="640"/>
        <w:jc w:val="center"/>
        <w:rPr>
          <w:rFonts w:hint="eastAsia" w:ascii="楷体_GB2312" w:hAnsi="楷体_GB2312" w:eastAsia="楷体_GB2312" w:cstheme="majorBidi"/>
          <w:color w:val="000000" w:themeColor="text1"/>
          <w:kern w:val="2"/>
          <w:sz w:val="32"/>
          <w:szCs w:val="32"/>
          <w14:textFill>
            <w14:solidFill>
              <w14:schemeClr w14:val="tx1"/>
            </w14:solidFill>
          </w14:textFill>
        </w:rPr>
        <w:sectPr>
          <w:headerReference r:id="rId7" w:type="first"/>
          <w:footerReference r:id="rId10" w:type="first"/>
          <w:headerReference r:id="rId5" w:type="default"/>
          <w:footerReference r:id="rId8" w:type="default"/>
          <w:headerReference r:id="rId6" w:type="even"/>
          <w:footerReference r:id="rId9" w:type="even"/>
          <w:pgSz w:w="11906" w:h="16838"/>
          <w:pgMar w:top="1418" w:right="1418" w:bottom="1418" w:left="1418" w:header="992" w:footer="992" w:gutter="0"/>
          <w:cols w:space="708" w:num="1"/>
          <w:docGrid w:linePitch="360" w:charSpace="0"/>
        </w:sectPr>
      </w:pPr>
      <w:r>
        <w:rPr>
          <w:rFonts w:hint="eastAsia"/>
        </w:rPr>
        <w:drawing>
          <wp:inline distT="0" distB="0" distL="114300" distR="114300">
            <wp:extent cx="7840980" cy="5542280"/>
            <wp:effectExtent l="0" t="0" r="1270" b="7620"/>
            <wp:docPr id="20" name="图片 20" descr="20250703115854313_页面_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图片 20" descr="20250703115854313_页面_1"/>
                    <pic:cNvPicPr>
                      <a:picLocks noChangeAspect="1"/>
                    </pic:cNvPicPr>
                  </pic:nvPicPr>
                  <pic:blipFill>
                    <a:blip r:embed="rId15"/>
                    <a:stretch>
                      <a:fillRect/>
                    </a:stretch>
                  </pic:blipFill>
                  <pic:spPr>
                    <a:xfrm rot="16200000">
                      <a:off x="0" y="0"/>
                      <a:ext cx="7840980" cy="5542280"/>
                    </a:xfrm>
                    <a:prstGeom prst="rect">
                      <a:avLst/>
                    </a:prstGeom>
                  </pic:spPr>
                </pic:pic>
              </a:graphicData>
            </a:graphic>
          </wp:inline>
        </w:drawing>
      </w:r>
    </w:p>
    <w:sdt>
      <w:sdtPr>
        <w:rPr>
          <w:rFonts w:ascii="Times New Roman" w:hAnsi="Times New Roman" w:eastAsia="宋体" w:cs="Times New Roman"/>
          <w:color w:val="auto"/>
          <w:sz w:val="24"/>
          <w:szCs w:val="24"/>
          <w:lang w:val="zh-CN"/>
        </w:rPr>
        <w:id w:val="2070066539"/>
        <w:docPartObj>
          <w:docPartGallery w:val="Table of Contents"/>
          <w:docPartUnique/>
        </w:docPartObj>
      </w:sdtPr>
      <w:sdtEndPr>
        <w:rPr>
          <w:rFonts w:ascii="Times New Roman" w:hAnsi="Times New Roman" w:eastAsia="宋体" w:cs="Times New Roman"/>
          <w:b/>
          <w:bCs/>
          <w:color w:val="auto"/>
          <w:sz w:val="24"/>
          <w:szCs w:val="24"/>
          <w:lang w:val="zh-CN"/>
        </w:rPr>
      </w:sdtEndPr>
      <w:sdtContent>
        <w:p w14:paraId="4C558F9B">
          <w:pPr>
            <w:pStyle w:val="48"/>
            <w:ind w:firstLine="480"/>
            <w:jc w:val="center"/>
            <w:rPr>
              <w:color w:val="auto"/>
            </w:rPr>
          </w:pPr>
          <w:r>
            <w:rPr>
              <w:color w:val="auto"/>
              <w:lang w:val="zh-CN"/>
            </w:rPr>
            <w:t>目录</w:t>
          </w:r>
        </w:p>
        <w:p w14:paraId="22451388">
          <w:pPr>
            <w:pStyle w:val="18"/>
            <w:spacing w:after="120" w:afterLines="50"/>
            <w:rPr>
              <w:rFonts w:hint="eastAsia" w:asciiTheme="minorEastAsia" w:hAnsiTheme="minorEastAsia" w:eastAsiaTheme="minorEastAsia" w:cstheme="minorBidi"/>
              <w:color w:val="auto"/>
              <w:sz w:val="20"/>
              <w:szCs w:val="21"/>
              <w14:ligatures w14:val="standardContextual"/>
            </w:rPr>
          </w:pPr>
          <w:r>
            <w:fldChar w:fldCharType="begin"/>
          </w:r>
          <w:r>
            <w:instrText xml:space="preserve"> TOC \o "1-3" \h \z \u </w:instrText>
          </w:r>
          <w:r>
            <w:fldChar w:fldCharType="separate"/>
          </w:r>
          <w:r>
            <w:fldChar w:fldCharType="begin"/>
          </w:r>
          <w:r>
            <w:instrText xml:space="preserve"> HYPERLINK \l "_Toc200987719" </w:instrText>
          </w:r>
          <w:r>
            <w:fldChar w:fldCharType="separate"/>
          </w:r>
          <w:r>
            <w:rPr>
              <w:rStyle w:val="27"/>
              <w:rFonts w:hint="eastAsia" w:asciiTheme="minorEastAsia" w:hAnsiTheme="minorEastAsia" w:eastAsiaTheme="minorEastAsia"/>
              <w:sz w:val="22"/>
              <w:szCs w:val="28"/>
            </w:rPr>
            <w:t>一、建设项目基本情况</w:t>
          </w:r>
          <w:r>
            <w:rPr>
              <w:rFonts w:hint="eastAsia" w:asciiTheme="minorEastAsia" w:hAnsiTheme="minorEastAsia" w:eastAsiaTheme="minorEastAsia"/>
              <w:sz w:val="22"/>
              <w:szCs w:val="28"/>
            </w:rPr>
            <w:tab/>
          </w:r>
          <w:r>
            <w:rPr>
              <w:rFonts w:hint="eastAsia" w:asciiTheme="minorEastAsia" w:hAnsiTheme="minorEastAsia" w:eastAsiaTheme="minorEastAsia"/>
              <w:sz w:val="22"/>
              <w:szCs w:val="28"/>
            </w:rPr>
            <w:fldChar w:fldCharType="begin"/>
          </w:r>
          <w:r>
            <w:rPr>
              <w:rFonts w:hint="eastAsia" w:asciiTheme="minorEastAsia" w:hAnsiTheme="minorEastAsia" w:eastAsiaTheme="minorEastAsia"/>
              <w:sz w:val="22"/>
              <w:szCs w:val="28"/>
            </w:rPr>
            <w:instrText xml:space="preserve"> </w:instrText>
          </w:r>
          <w:r>
            <w:rPr>
              <w:rFonts w:asciiTheme="minorEastAsia" w:hAnsiTheme="minorEastAsia" w:eastAsiaTheme="minorEastAsia"/>
              <w:sz w:val="22"/>
              <w:szCs w:val="28"/>
            </w:rPr>
            <w:instrText xml:space="preserve">PAGEREF _Toc200987719 \h</w:instrText>
          </w:r>
          <w:r>
            <w:rPr>
              <w:rFonts w:hint="eastAsia" w:asciiTheme="minorEastAsia" w:hAnsiTheme="minorEastAsia" w:eastAsiaTheme="minorEastAsia"/>
              <w:sz w:val="22"/>
              <w:szCs w:val="28"/>
            </w:rPr>
            <w:instrText xml:space="preserve"> </w:instrText>
          </w:r>
          <w:r>
            <w:rPr>
              <w:rFonts w:hint="eastAsia" w:asciiTheme="minorEastAsia" w:hAnsiTheme="minorEastAsia" w:eastAsiaTheme="minorEastAsia"/>
              <w:sz w:val="22"/>
              <w:szCs w:val="28"/>
            </w:rPr>
            <w:fldChar w:fldCharType="separate"/>
          </w:r>
          <w:r>
            <w:rPr>
              <w:rFonts w:asciiTheme="minorEastAsia" w:hAnsiTheme="minorEastAsia" w:eastAsiaTheme="minorEastAsia"/>
              <w:sz w:val="22"/>
              <w:szCs w:val="28"/>
            </w:rPr>
            <w:t>1</w:t>
          </w:r>
          <w:r>
            <w:rPr>
              <w:rFonts w:hint="eastAsia" w:asciiTheme="minorEastAsia" w:hAnsiTheme="minorEastAsia" w:eastAsiaTheme="minorEastAsia"/>
              <w:sz w:val="22"/>
              <w:szCs w:val="28"/>
            </w:rPr>
            <w:fldChar w:fldCharType="end"/>
          </w:r>
          <w:r>
            <w:rPr>
              <w:rFonts w:hint="eastAsia" w:asciiTheme="minorEastAsia" w:hAnsiTheme="minorEastAsia" w:eastAsiaTheme="minorEastAsia"/>
              <w:sz w:val="22"/>
              <w:szCs w:val="28"/>
            </w:rPr>
            <w:fldChar w:fldCharType="end"/>
          </w:r>
        </w:p>
        <w:p w14:paraId="4F0B1176">
          <w:pPr>
            <w:pStyle w:val="18"/>
            <w:spacing w:after="120" w:afterLines="50"/>
            <w:rPr>
              <w:rFonts w:hint="eastAsia" w:asciiTheme="minorEastAsia" w:hAnsiTheme="minorEastAsia" w:eastAsiaTheme="minorEastAsia" w:cstheme="minorBidi"/>
              <w:color w:val="auto"/>
              <w:sz w:val="20"/>
              <w:szCs w:val="21"/>
              <w14:ligatures w14:val="standardContextual"/>
            </w:rPr>
          </w:pPr>
          <w:r>
            <w:fldChar w:fldCharType="begin"/>
          </w:r>
          <w:r>
            <w:instrText xml:space="preserve"> HYPERLINK \l "_Toc200987720" </w:instrText>
          </w:r>
          <w:r>
            <w:fldChar w:fldCharType="separate"/>
          </w:r>
          <w:r>
            <w:rPr>
              <w:rStyle w:val="27"/>
              <w:rFonts w:hint="eastAsia" w:asciiTheme="minorEastAsia" w:hAnsiTheme="minorEastAsia" w:eastAsiaTheme="minorEastAsia"/>
              <w:snapToGrid w:val="0"/>
              <w:sz w:val="22"/>
              <w:szCs w:val="28"/>
            </w:rPr>
            <w:t>二、建设项目工程分析</w:t>
          </w:r>
          <w:r>
            <w:rPr>
              <w:rFonts w:hint="eastAsia" w:asciiTheme="minorEastAsia" w:hAnsiTheme="minorEastAsia" w:eastAsiaTheme="minorEastAsia"/>
              <w:sz w:val="22"/>
              <w:szCs w:val="28"/>
            </w:rPr>
            <w:tab/>
          </w:r>
          <w:r>
            <w:rPr>
              <w:rFonts w:hint="eastAsia" w:asciiTheme="minorEastAsia" w:hAnsiTheme="minorEastAsia" w:eastAsiaTheme="minorEastAsia"/>
              <w:sz w:val="22"/>
              <w:szCs w:val="28"/>
            </w:rPr>
            <w:fldChar w:fldCharType="begin"/>
          </w:r>
          <w:r>
            <w:rPr>
              <w:rFonts w:hint="eastAsia" w:asciiTheme="minorEastAsia" w:hAnsiTheme="minorEastAsia" w:eastAsiaTheme="minorEastAsia"/>
              <w:sz w:val="22"/>
              <w:szCs w:val="28"/>
            </w:rPr>
            <w:instrText xml:space="preserve"> </w:instrText>
          </w:r>
          <w:r>
            <w:rPr>
              <w:rFonts w:asciiTheme="minorEastAsia" w:hAnsiTheme="minorEastAsia" w:eastAsiaTheme="minorEastAsia"/>
              <w:sz w:val="22"/>
              <w:szCs w:val="28"/>
            </w:rPr>
            <w:instrText xml:space="preserve">PAGEREF _Toc200987720 \h</w:instrText>
          </w:r>
          <w:r>
            <w:rPr>
              <w:rFonts w:hint="eastAsia" w:asciiTheme="minorEastAsia" w:hAnsiTheme="minorEastAsia" w:eastAsiaTheme="minorEastAsia"/>
              <w:sz w:val="22"/>
              <w:szCs w:val="28"/>
            </w:rPr>
            <w:instrText xml:space="preserve"> </w:instrText>
          </w:r>
          <w:r>
            <w:rPr>
              <w:rFonts w:hint="eastAsia" w:asciiTheme="minorEastAsia" w:hAnsiTheme="minorEastAsia" w:eastAsiaTheme="minorEastAsia"/>
              <w:sz w:val="22"/>
              <w:szCs w:val="28"/>
            </w:rPr>
            <w:fldChar w:fldCharType="separate"/>
          </w:r>
          <w:r>
            <w:rPr>
              <w:rFonts w:asciiTheme="minorEastAsia" w:hAnsiTheme="minorEastAsia" w:eastAsiaTheme="minorEastAsia"/>
              <w:sz w:val="22"/>
              <w:szCs w:val="28"/>
            </w:rPr>
            <w:t>16</w:t>
          </w:r>
          <w:r>
            <w:rPr>
              <w:rFonts w:hint="eastAsia" w:asciiTheme="minorEastAsia" w:hAnsiTheme="minorEastAsia" w:eastAsiaTheme="minorEastAsia"/>
              <w:sz w:val="22"/>
              <w:szCs w:val="28"/>
            </w:rPr>
            <w:fldChar w:fldCharType="end"/>
          </w:r>
          <w:r>
            <w:rPr>
              <w:rFonts w:hint="eastAsia" w:asciiTheme="minorEastAsia" w:hAnsiTheme="minorEastAsia" w:eastAsiaTheme="minorEastAsia"/>
              <w:sz w:val="22"/>
              <w:szCs w:val="28"/>
            </w:rPr>
            <w:fldChar w:fldCharType="end"/>
          </w:r>
        </w:p>
        <w:p w14:paraId="76A9B986">
          <w:pPr>
            <w:pStyle w:val="18"/>
            <w:spacing w:after="120" w:afterLines="50"/>
            <w:rPr>
              <w:rFonts w:hint="eastAsia" w:asciiTheme="minorEastAsia" w:hAnsiTheme="minorEastAsia" w:eastAsiaTheme="minorEastAsia" w:cstheme="minorBidi"/>
              <w:color w:val="auto"/>
              <w:sz w:val="20"/>
              <w:szCs w:val="21"/>
              <w14:ligatures w14:val="standardContextual"/>
            </w:rPr>
          </w:pPr>
          <w:r>
            <w:fldChar w:fldCharType="begin"/>
          </w:r>
          <w:r>
            <w:instrText xml:space="preserve"> HYPERLINK \l "_Toc200987721" </w:instrText>
          </w:r>
          <w:r>
            <w:fldChar w:fldCharType="separate"/>
          </w:r>
          <w:r>
            <w:rPr>
              <w:rStyle w:val="27"/>
              <w:rFonts w:hint="eastAsia" w:asciiTheme="minorEastAsia" w:hAnsiTheme="minorEastAsia" w:eastAsiaTheme="minorEastAsia"/>
              <w:snapToGrid w:val="0"/>
              <w:sz w:val="22"/>
              <w:szCs w:val="28"/>
            </w:rPr>
            <w:t>三、区域环境质量现状、环境保护目标及评价标准</w:t>
          </w:r>
          <w:r>
            <w:rPr>
              <w:rFonts w:hint="eastAsia" w:asciiTheme="minorEastAsia" w:hAnsiTheme="minorEastAsia" w:eastAsiaTheme="minorEastAsia"/>
              <w:sz w:val="22"/>
              <w:szCs w:val="28"/>
            </w:rPr>
            <w:tab/>
          </w:r>
          <w:r>
            <w:rPr>
              <w:rFonts w:hint="eastAsia" w:asciiTheme="minorEastAsia" w:hAnsiTheme="minorEastAsia" w:eastAsiaTheme="minorEastAsia"/>
              <w:sz w:val="22"/>
              <w:szCs w:val="28"/>
            </w:rPr>
            <w:fldChar w:fldCharType="begin"/>
          </w:r>
          <w:r>
            <w:rPr>
              <w:rFonts w:hint="eastAsia" w:asciiTheme="minorEastAsia" w:hAnsiTheme="minorEastAsia" w:eastAsiaTheme="minorEastAsia"/>
              <w:sz w:val="22"/>
              <w:szCs w:val="28"/>
            </w:rPr>
            <w:instrText xml:space="preserve"> </w:instrText>
          </w:r>
          <w:r>
            <w:rPr>
              <w:rFonts w:asciiTheme="minorEastAsia" w:hAnsiTheme="minorEastAsia" w:eastAsiaTheme="minorEastAsia"/>
              <w:sz w:val="22"/>
              <w:szCs w:val="28"/>
            </w:rPr>
            <w:instrText xml:space="preserve">PAGEREF _Toc200987721 \h</w:instrText>
          </w:r>
          <w:r>
            <w:rPr>
              <w:rFonts w:hint="eastAsia" w:asciiTheme="minorEastAsia" w:hAnsiTheme="minorEastAsia" w:eastAsiaTheme="minorEastAsia"/>
              <w:sz w:val="22"/>
              <w:szCs w:val="28"/>
            </w:rPr>
            <w:instrText xml:space="preserve"> </w:instrText>
          </w:r>
          <w:r>
            <w:rPr>
              <w:rFonts w:hint="eastAsia" w:asciiTheme="minorEastAsia" w:hAnsiTheme="minorEastAsia" w:eastAsiaTheme="minorEastAsia"/>
              <w:sz w:val="22"/>
              <w:szCs w:val="28"/>
            </w:rPr>
            <w:fldChar w:fldCharType="separate"/>
          </w:r>
          <w:r>
            <w:rPr>
              <w:rFonts w:asciiTheme="minorEastAsia" w:hAnsiTheme="minorEastAsia" w:eastAsiaTheme="minorEastAsia"/>
              <w:sz w:val="22"/>
              <w:szCs w:val="28"/>
            </w:rPr>
            <w:t>29</w:t>
          </w:r>
          <w:r>
            <w:rPr>
              <w:rFonts w:hint="eastAsia" w:asciiTheme="minorEastAsia" w:hAnsiTheme="minorEastAsia" w:eastAsiaTheme="minorEastAsia"/>
              <w:sz w:val="22"/>
              <w:szCs w:val="28"/>
            </w:rPr>
            <w:fldChar w:fldCharType="end"/>
          </w:r>
          <w:r>
            <w:rPr>
              <w:rFonts w:hint="eastAsia" w:asciiTheme="minorEastAsia" w:hAnsiTheme="minorEastAsia" w:eastAsiaTheme="minorEastAsia"/>
              <w:sz w:val="22"/>
              <w:szCs w:val="28"/>
            </w:rPr>
            <w:fldChar w:fldCharType="end"/>
          </w:r>
        </w:p>
        <w:p w14:paraId="683F4BD4">
          <w:pPr>
            <w:pStyle w:val="18"/>
            <w:spacing w:after="120" w:afterLines="50"/>
            <w:rPr>
              <w:rFonts w:hint="eastAsia" w:asciiTheme="minorEastAsia" w:hAnsiTheme="minorEastAsia" w:eastAsiaTheme="minorEastAsia" w:cstheme="minorBidi"/>
              <w:color w:val="auto"/>
              <w:sz w:val="20"/>
              <w:szCs w:val="21"/>
              <w14:ligatures w14:val="standardContextual"/>
            </w:rPr>
          </w:pPr>
          <w:r>
            <w:fldChar w:fldCharType="begin"/>
          </w:r>
          <w:r>
            <w:instrText xml:space="preserve"> HYPERLINK \l "_Toc200987722" </w:instrText>
          </w:r>
          <w:r>
            <w:fldChar w:fldCharType="separate"/>
          </w:r>
          <w:r>
            <w:rPr>
              <w:rStyle w:val="27"/>
              <w:rFonts w:hint="eastAsia" w:asciiTheme="minorEastAsia" w:hAnsiTheme="minorEastAsia" w:eastAsiaTheme="minorEastAsia"/>
              <w:snapToGrid w:val="0"/>
              <w:sz w:val="22"/>
              <w:szCs w:val="28"/>
            </w:rPr>
            <w:t>四、主要环境影响和保护措施</w:t>
          </w:r>
          <w:r>
            <w:rPr>
              <w:rFonts w:hint="eastAsia" w:asciiTheme="minorEastAsia" w:hAnsiTheme="minorEastAsia" w:eastAsiaTheme="minorEastAsia"/>
              <w:sz w:val="22"/>
              <w:szCs w:val="28"/>
            </w:rPr>
            <w:tab/>
          </w:r>
          <w:r>
            <w:rPr>
              <w:rFonts w:hint="eastAsia" w:asciiTheme="minorEastAsia" w:hAnsiTheme="minorEastAsia" w:eastAsiaTheme="minorEastAsia"/>
              <w:sz w:val="22"/>
              <w:szCs w:val="28"/>
            </w:rPr>
            <w:fldChar w:fldCharType="begin"/>
          </w:r>
          <w:r>
            <w:rPr>
              <w:rFonts w:hint="eastAsia" w:asciiTheme="minorEastAsia" w:hAnsiTheme="minorEastAsia" w:eastAsiaTheme="minorEastAsia"/>
              <w:sz w:val="22"/>
              <w:szCs w:val="28"/>
            </w:rPr>
            <w:instrText xml:space="preserve"> </w:instrText>
          </w:r>
          <w:r>
            <w:rPr>
              <w:rFonts w:asciiTheme="minorEastAsia" w:hAnsiTheme="minorEastAsia" w:eastAsiaTheme="minorEastAsia"/>
              <w:sz w:val="22"/>
              <w:szCs w:val="28"/>
            </w:rPr>
            <w:instrText xml:space="preserve">PAGEREF _Toc200987722 \h</w:instrText>
          </w:r>
          <w:r>
            <w:rPr>
              <w:rFonts w:hint="eastAsia" w:asciiTheme="minorEastAsia" w:hAnsiTheme="minorEastAsia" w:eastAsiaTheme="minorEastAsia"/>
              <w:sz w:val="22"/>
              <w:szCs w:val="28"/>
            </w:rPr>
            <w:instrText xml:space="preserve"> </w:instrText>
          </w:r>
          <w:r>
            <w:rPr>
              <w:rFonts w:hint="eastAsia" w:asciiTheme="minorEastAsia" w:hAnsiTheme="minorEastAsia" w:eastAsiaTheme="minorEastAsia"/>
              <w:sz w:val="22"/>
              <w:szCs w:val="28"/>
            </w:rPr>
            <w:fldChar w:fldCharType="separate"/>
          </w:r>
          <w:r>
            <w:rPr>
              <w:rFonts w:asciiTheme="minorEastAsia" w:hAnsiTheme="minorEastAsia" w:eastAsiaTheme="minorEastAsia"/>
              <w:sz w:val="22"/>
              <w:szCs w:val="28"/>
            </w:rPr>
            <w:t>40</w:t>
          </w:r>
          <w:r>
            <w:rPr>
              <w:rFonts w:hint="eastAsia" w:asciiTheme="minorEastAsia" w:hAnsiTheme="minorEastAsia" w:eastAsiaTheme="minorEastAsia"/>
              <w:sz w:val="22"/>
              <w:szCs w:val="28"/>
            </w:rPr>
            <w:fldChar w:fldCharType="end"/>
          </w:r>
          <w:r>
            <w:rPr>
              <w:rFonts w:hint="eastAsia" w:asciiTheme="minorEastAsia" w:hAnsiTheme="minorEastAsia" w:eastAsiaTheme="minorEastAsia"/>
              <w:sz w:val="22"/>
              <w:szCs w:val="28"/>
            </w:rPr>
            <w:fldChar w:fldCharType="end"/>
          </w:r>
        </w:p>
        <w:p w14:paraId="5F4CF17C">
          <w:pPr>
            <w:pStyle w:val="18"/>
            <w:spacing w:after="120" w:afterLines="50"/>
            <w:rPr>
              <w:rFonts w:hint="eastAsia" w:asciiTheme="minorEastAsia" w:hAnsiTheme="minorEastAsia" w:eastAsiaTheme="minorEastAsia" w:cstheme="minorBidi"/>
              <w:color w:val="auto"/>
              <w:sz w:val="20"/>
              <w:szCs w:val="21"/>
              <w14:ligatures w14:val="standardContextual"/>
            </w:rPr>
          </w:pPr>
          <w:r>
            <w:fldChar w:fldCharType="begin"/>
          </w:r>
          <w:r>
            <w:instrText xml:space="preserve"> HYPERLINK \l "_Toc200987723" </w:instrText>
          </w:r>
          <w:r>
            <w:fldChar w:fldCharType="separate"/>
          </w:r>
          <w:r>
            <w:rPr>
              <w:rStyle w:val="27"/>
              <w:rFonts w:hint="eastAsia" w:asciiTheme="minorEastAsia" w:hAnsiTheme="minorEastAsia" w:eastAsiaTheme="minorEastAsia"/>
              <w:snapToGrid w:val="0"/>
              <w:sz w:val="22"/>
              <w:szCs w:val="28"/>
            </w:rPr>
            <w:t>五、环境保护措施监督检查清单</w:t>
          </w:r>
          <w:r>
            <w:rPr>
              <w:rFonts w:hint="eastAsia" w:asciiTheme="minorEastAsia" w:hAnsiTheme="minorEastAsia" w:eastAsiaTheme="minorEastAsia"/>
              <w:sz w:val="22"/>
              <w:szCs w:val="28"/>
            </w:rPr>
            <w:tab/>
          </w:r>
          <w:r>
            <w:rPr>
              <w:rFonts w:hint="eastAsia" w:asciiTheme="minorEastAsia" w:hAnsiTheme="minorEastAsia" w:eastAsiaTheme="minorEastAsia"/>
              <w:sz w:val="22"/>
              <w:szCs w:val="28"/>
            </w:rPr>
            <w:fldChar w:fldCharType="begin"/>
          </w:r>
          <w:r>
            <w:rPr>
              <w:rFonts w:hint="eastAsia" w:asciiTheme="minorEastAsia" w:hAnsiTheme="minorEastAsia" w:eastAsiaTheme="minorEastAsia"/>
              <w:sz w:val="22"/>
              <w:szCs w:val="28"/>
            </w:rPr>
            <w:instrText xml:space="preserve"> </w:instrText>
          </w:r>
          <w:r>
            <w:rPr>
              <w:rFonts w:asciiTheme="minorEastAsia" w:hAnsiTheme="minorEastAsia" w:eastAsiaTheme="minorEastAsia"/>
              <w:sz w:val="22"/>
              <w:szCs w:val="28"/>
            </w:rPr>
            <w:instrText xml:space="preserve">PAGEREF _Toc200987723 \h</w:instrText>
          </w:r>
          <w:r>
            <w:rPr>
              <w:rFonts w:hint="eastAsia" w:asciiTheme="minorEastAsia" w:hAnsiTheme="minorEastAsia" w:eastAsiaTheme="minorEastAsia"/>
              <w:sz w:val="22"/>
              <w:szCs w:val="28"/>
            </w:rPr>
            <w:instrText xml:space="preserve"> </w:instrText>
          </w:r>
          <w:r>
            <w:rPr>
              <w:rFonts w:hint="eastAsia" w:asciiTheme="minorEastAsia" w:hAnsiTheme="minorEastAsia" w:eastAsiaTheme="minorEastAsia"/>
              <w:sz w:val="22"/>
              <w:szCs w:val="28"/>
            </w:rPr>
            <w:fldChar w:fldCharType="separate"/>
          </w:r>
          <w:r>
            <w:rPr>
              <w:rFonts w:asciiTheme="minorEastAsia" w:hAnsiTheme="minorEastAsia" w:eastAsiaTheme="minorEastAsia"/>
              <w:sz w:val="22"/>
              <w:szCs w:val="28"/>
            </w:rPr>
            <w:t>68</w:t>
          </w:r>
          <w:r>
            <w:rPr>
              <w:rFonts w:hint="eastAsia" w:asciiTheme="minorEastAsia" w:hAnsiTheme="minorEastAsia" w:eastAsiaTheme="minorEastAsia"/>
              <w:sz w:val="22"/>
              <w:szCs w:val="28"/>
            </w:rPr>
            <w:fldChar w:fldCharType="end"/>
          </w:r>
          <w:r>
            <w:rPr>
              <w:rFonts w:hint="eastAsia" w:asciiTheme="minorEastAsia" w:hAnsiTheme="minorEastAsia" w:eastAsiaTheme="minorEastAsia"/>
              <w:sz w:val="22"/>
              <w:szCs w:val="28"/>
            </w:rPr>
            <w:fldChar w:fldCharType="end"/>
          </w:r>
        </w:p>
        <w:p w14:paraId="25D90A59">
          <w:pPr>
            <w:pStyle w:val="18"/>
            <w:spacing w:after="120" w:afterLines="50"/>
            <w:rPr>
              <w:rFonts w:hint="eastAsia" w:asciiTheme="minorEastAsia" w:hAnsiTheme="minorEastAsia" w:eastAsiaTheme="minorEastAsia" w:cstheme="minorBidi"/>
              <w:color w:val="auto"/>
              <w:sz w:val="20"/>
              <w:szCs w:val="21"/>
              <w14:ligatures w14:val="standardContextual"/>
            </w:rPr>
          </w:pPr>
          <w:r>
            <w:fldChar w:fldCharType="begin"/>
          </w:r>
          <w:r>
            <w:instrText xml:space="preserve"> HYPERLINK \l "_Toc200987724" </w:instrText>
          </w:r>
          <w:r>
            <w:fldChar w:fldCharType="separate"/>
          </w:r>
          <w:r>
            <w:rPr>
              <w:rStyle w:val="27"/>
              <w:rFonts w:hint="eastAsia" w:asciiTheme="minorEastAsia" w:hAnsiTheme="minorEastAsia" w:eastAsiaTheme="minorEastAsia"/>
              <w:sz w:val="22"/>
              <w:szCs w:val="28"/>
            </w:rPr>
            <w:t>六、结论</w:t>
          </w:r>
          <w:r>
            <w:rPr>
              <w:rFonts w:hint="eastAsia" w:asciiTheme="minorEastAsia" w:hAnsiTheme="minorEastAsia" w:eastAsiaTheme="minorEastAsia"/>
              <w:sz w:val="22"/>
              <w:szCs w:val="28"/>
            </w:rPr>
            <w:tab/>
          </w:r>
          <w:r>
            <w:rPr>
              <w:rFonts w:hint="eastAsia" w:asciiTheme="minorEastAsia" w:hAnsiTheme="minorEastAsia" w:eastAsiaTheme="minorEastAsia"/>
              <w:sz w:val="22"/>
              <w:szCs w:val="28"/>
            </w:rPr>
            <w:fldChar w:fldCharType="begin"/>
          </w:r>
          <w:r>
            <w:rPr>
              <w:rFonts w:hint="eastAsia" w:asciiTheme="minorEastAsia" w:hAnsiTheme="minorEastAsia" w:eastAsiaTheme="minorEastAsia"/>
              <w:sz w:val="22"/>
              <w:szCs w:val="28"/>
            </w:rPr>
            <w:instrText xml:space="preserve"> </w:instrText>
          </w:r>
          <w:r>
            <w:rPr>
              <w:rFonts w:asciiTheme="minorEastAsia" w:hAnsiTheme="minorEastAsia" w:eastAsiaTheme="minorEastAsia"/>
              <w:sz w:val="22"/>
              <w:szCs w:val="28"/>
            </w:rPr>
            <w:instrText xml:space="preserve">PAGEREF _Toc200987724 \h</w:instrText>
          </w:r>
          <w:r>
            <w:rPr>
              <w:rFonts w:hint="eastAsia" w:asciiTheme="minorEastAsia" w:hAnsiTheme="minorEastAsia" w:eastAsiaTheme="minorEastAsia"/>
              <w:sz w:val="22"/>
              <w:szCs w:val="28"/>
            </w:rPr>
            <w:instrText xml:space="preserve"> </w:instrText>
          </w:r>
          <w:r>
            <w:rPr>
              <w:rFonts w:hint="eastAsia" w:asciiTheme="minorEastAsia" w:hAnsiTheme="minorEastAsia" w:eastAsiaTheme="minorEastAsia"/>
              <w:sz w:val="22"/>
              <w:szCs w:val="28"/>
            </w:rPr>
            <w:fldChar w:fldCharType="separate"/>
          </w:r>
          <w:r>
            <w:rPr>
              <w:rFonts w:asciiTheme="minorEastAsia" w:hAnsiTheme="minorEastAsia" w:eastAsiaTheme="minorEastAsia"/>
              <w:sz w:val="22"/>
              <w:szCs w:val="28"/>
            </w:rPr>
            <w:t>71</w:t>
          </w:r>
          <w:r>
            <w:rPr>
              <w:rFonts w:hint="eastAsia" w:asciiTheme="minorEastAsia" w:hAnsiTheme="minorEastAsia" w:eastAsiaTheme="minorEastAsia"/>
              <w:sz w:val="22"/>
              <w:szCs w:val="28"/>
            </w:rPr>
            <w:fldChar w:fldCharType="end"/>
          </w:r>
          <w:r>
            <w:rPr>
              <w:rFonts w:hint="eastAsia" w:asciiTheme="minorEastAsia" w:hAnsiTheme="minorEastAsia" w:eastAsiaTheme="minorEastAsia"/>
              <w:sz w:val="22"/>
              <w:szCs w:val="28"/>
            </w:rPr>
            <w:fldChar w:fldCharType="end"/>
          </w:r>
        </w:p>
        <w:p w14:paraId="126ECC2E">
          <w:pPr>
            <w:pStyle w:val="18"/>
            <w:spacing w:after="120" w:afterLines="50"/>
            <w:rPr>
              <w:rFonts w:hint="eastAsia" w:asciiTheme="minorEastAsia" w:hAnsiTheme="minorEastAsia" w:eastAsiaTheme="minorEastAsia" w:cstheme="minorBidi"/>
              <w:color w:val="auto"/>
              <w:sz w:val="20"/>
              <w:szCs w:val="21"/>
              <w14:ligatures w14:val="standardContextual"/>
            </w:rPr>
          </w:pPr>
          <w:r>
            <w:fldChar w:fldCharType="begin"/>
          </w:r>
          <w:r>
            <w:instrText xml:space="preserve"> HYPERLINK \l "_Toc200987725" </w:instrText>
          </w:r>
          <w:r>
            <w:fldChar w:fldCharType="separate"/>
          </w:r>
          <w:r>
            <w:rPr>
              <w:rStyle w:val="27"/>
              <w:rFonts w:hint="eastAsia" w:asciiTheme="minorEastAsia" w:hAnsiTheme="minorEastAsia" w:eastAsiaTheme="minorEastAsia"/>
              <w:snapToGrid w:val="0"/>
              <w:sz w:val="22"/>
              <w:szCs w:val="28"/>
            </w:rPr>
            <w:t>附表</w:t>
          </w:r>
          <w:r>
            <w:rPr>
              <w:rFonts w:hint="eastAsia" w:asciiTheme="minorEastAsia" w:hAnsiTheme="minorEastAsia" w:eastAsiaTheme="minorEastAsia"/>
              <w:sz w:val="22"/>
              <w:szCs w:val="28"/>
            </w:rPr>
            <w:tab/>
          </w:r>
          <w:r>
            <w:rPr>
              <w:rFonts w:hint="eastAsia" w:asciiTheme="minorEastAsia" w:hAnsiTheme="minorEastAsia" w:eastAsiaTheme="minorEastAsia"/>
              <w:sz w:val="22"/>
              <w:szCs w:val="28"/>
            </w:rPr>
            <w:fldChar w:fldCharType="begin"/>
          </w:r>
          <w:r>
            <w:rPr>
              <w:rFonts w:hint="eastAsia" w:asciiTheme="minorEastAsia" w:hAnsiTheme="minorEastAsia" w:eastAsiaTheme="minorEastAsia"/>
              <w:sz w:val="22"/>
              <w:szCs w:val="28"/>
            </w:rPr>
            <w:instrText xml:space="preserve"> </w:instrText>
          </w:r>
          <w:r>
            <w:rPr>
              <w:rFonts w:asciiTheme="minorEastAsia" w:hAnsiTheme="minorEastAsia" w:eastAsiaTheme="minorEastAsia"/>
              <w:sz w:val="22"/>
              <w:szCs w:val="28"/>
            </w:rPr>
            <w:instrText xml:space="preserve">PAGEREF _Toc200987725 \h</w:instrText>
          </w:r>
          <w:r>
            <w:rPr>
              <w:rFonts w:hint="eastAsia" w:asciiTheme="minorEastAsia" w:hAnsiTheme="minorEastAsia" w:eastAsiaTheme="minorEastAsia"/>
              <w:sz w:val="22"/>
              <w:szCs w:val="28"/>
            </w:rPr>
            <w:instrText xml:space="preserve"> </w:instrText>
          </w:r>
          <w:r>
            <w:rPr>
              <w:rFonts w:hint="eastAsia" w:asciiTheme="minorEastAsia" w:hAnsiTheme="minorEastAsia" w:eastAsiaTheme="minorEastAsia"/>
              <w:sz w:val="22"/>
              <w:szCs w:val="28"/>
            </w:rPr>
            <w:fldChar w:fldCharType="separate"/>
          </w:r>
          <w:r>
            <w:rPr>
              <w:rFonts w:asciiTheme="minorEastAsia" w:hAnsiTheme="minorEastAsia" w:eastAsiaTheme="minorEastAsia"/>
              <w:sz w:val="22"/>
              <w:szCs w:val="28"/>
            </w:rPr>
            <w:t>72</w:t>
          </w:r>
          <w:r>
            <w:rPr>
              <w:rFonts w:hint="eastAsia" w:asciiTheme="minorEastAsia" w:hAnsiTheme="minorEastAsia" w:eastAsiaTheme="minorEastAsia"/>
              <w:sz w:val="22"/>
              <w:szCs w:val="28"/>
            </w:rPr>
            <w:fldChar w:fldCharType="end"/>
          </w:r>
          <w:r>
            <w:rPr>
              <w:rFonts w:hint="eastAsia" w:asciiTheme="minorEastAsia" w:hAnsiTheme="minorEastAsia" w:eastAsiaTheme="minorEastAsia"/>
              <w:sz w:val="22"/>
              <w:szCs w:val="28"/>
            </w:rPr>
            <w:fldChar w:fldCharType="end"/>
          </w:r>
        </w:p>
        <w:p w14:paraId="3F9BBE01">
          <w:pPr>
            <w:pStyle w:val="18"/>
            <w:spacing w:after="120" w:afterLines="50"/>
            <w:rPr>
              <w:rFonts w:hint="eastAsia" w:asciiTheme="minorEastAsia" w:hAnsiTheme="minorEastAsia" w:eastAsiaTheme="minorEastAsia" w:cstheme="minorBidi"/>
              <w:color w:val="auto"/>
              <w:sz w:val="20"/>
              <w:szCs w:val="21"/>
              <w14:ligatures w14:val="standardContextual"/>
            </w:rPr>
          </w:pPr>
          <w:r>
            <w:fldChar w:fldCharType="begin"/>
          </w:r>
          <w:r>
            <w:instrText xml:space="preserve"> HYPERLINK \l "_Toc200987726" </w:instrText>
          </w:r>
          <w:r>
            <w:fldChar w:fldCharType="separate"/>
          </w:r>
          <w:r>
            <w:rPr>
              <w:rStyle w:val="27"/>
              <w:rFonts w:hint="eastAsia" w:asciiTheme="minorEastAsia" w:hAnsiTheme="minorEastAsia" w:eastAsiaTheme="minorEastAsia"/>
              <w:snapToGrid w:val="0"/>
              <w:sz w:val="22"/>
              <w:szCs w:val="28"/>
            </w:rPr>
            <w:t>建设项目污染物排放量汇总表</w:t>
          </w:r>
          <w:r>
            <w:rPr>
              <w:rFonts w:hint="eastAsia" w:asciiTheme="minorEastAsia" w:hAnsiTheme="minorEastAsia" w:eastAsiaTheme="minorEastAsia"/>
              <w:sz w:val="22"/>
              <w:szCs w:val="28"/>
            </w:rPr>
            <w:tab/>
          </w:r>
          <w:r>
            <w:rPr>
              <w:rFonts w:hint="eastAsia" w:asciiTheme="minorEastAsia" w:hAnsiTheme="minorEastAsia" w:eastAsiaTheme="minorEastAsia"/>
              <w:sz w:val="22"/>
              <w:szCs w:val="28"/>
            </w:rPr>
            <w:fldChar w:fldCharType="begin"/>
          </w:r>
          <w:r>
            <w:rPr>
              <w:rFonts w:hint="eastAsia" w:asciiTheme="minorEastAsia" w:hAnsiTheme="minorEastAsia" w:eastAsiaTheme="minorEastAsia"/>
              <w:sz w:val="22"/>
              <w:szCs w:val="28"/>
            </w:rPr>
            <w:instrText xml:space="preserve"> </w:instrText>
          </w:r>
          <w:r>
            <w:rPr>
              <w:rFonts w:asciiTheme="minorEastAsia" w:hAnsiTheme="minorEastAsia" w:eastAsiaTheme="minorEastAsia"/>
              <w:sz w:val="22"/>
              <w:szCs w:val="28"/>
            </w:rPr>
            <w:instrText xml:space="preserve">PAGEREF _Toc200987726 \h</w:instrText>
          </w:r>
          <w:r>
            <w:rPr>
              <w:rFonts w:hint="eastAsia" w:asciiTheme="minorEastAsia" w:hAnsiTheme="minorEastAsia" w:eastAsiaTheme="minorEastAsia"/>
              <w:sz w:val="22"/>
              <w:szCs w:val="28"/>
            </w:rPr>
            <w:instrText xml:space="preserve"> </w:instrText>
          </w:r>
          <w:r>
            <w:rPr>
              <w:rFonts w:hint="eastAsia" w:asciiTheme="minorEastAsia" w:hAnsiTheme="minorEastAsia" w:eastAsiaTheme="minorEastAsia"/>
              <w:sz w:val="22"/>
              <w:szCs w:val="28"/>
            </w:rPr>
            <w:fldChar w:fldCharType="separate"/>
          </w:r>
          <w:r>
            <w:rPr>
              <w:rFonts w:asciiTheme="minorEastAsia" w:hAnsiTheme="minorEastAsia" w:eastAsiaTheme="minorEastAsia"/>
              <w:sz w:val="22"/>
              <w:szCs w:val="28"/>
            </w:rPr>
            <w:t>72</w:t>
          </w:r>
          <w:r>
            <w:rPr>
              <w:rFonts w:hint="eastAsia" w:asciiTheme="minorEastAsia" w:hAnsiTheme="minorEastAsia" w:eastAsiaTheme="minorEastAsia"/>
              <w:sz w:val="22"/>
              <w:szCs w:val="28"/>
            </w:rPr>
            <w:fldChar w:fldCharType="end"/>
          </w:r>
          <w:r>
            <w:rPr>
              <w:rFonts w:hint="eastAsia" w:asciiTheme="minorEastAsia" w:hAnsiTheme="minorEastAsia" w:eastAsiaTheme="minorEastAsia"/>
              <w:sz w:val="22"/>
              <w:szCs w:val="28"/>
            </w:rPr>
            <w:fldChar w:fldCharType="end"/>
          </w:r>
        </w:p>
        <w:p w14:paraId="54D4F62B">
          <w:pPr>
            <w:pStyle w:val="18"/>
            <w:spacing w:after="120" w:afterLines="50"/>
            <w:rPr>
              <w:rFonts w:hint="eastAsia" w:asciiTheme="minorEastAsia" w:hAnsiTheme="minorEastAsia" w:eastAsiaTheme="minorEastAsia" w:cstheme="minorBidi"/>
              <w:color w:val="auto"/>
              <w:sz w:val="20"/>
              <w:szCs w:val="21"/>
              <w14:ligatures w14:val="standardContextual"/>
            </w:rPr>
          </w:pPr>
          <w:r>
            <w:fldChar w:fldCharType="begin"/>
          </w:r>
          <w:r>
            <w:instrText xml:space="preserve"> HYPERLINK \l "_Toc200987727" </w:instrText>
          </w:r>
          <w:r>
            <w:fldChar w:fldCharType="separate"/>
          </w:r>
          <w:r>
            <w:rPr>
              <w:rStyle w:val="27"/>
              <w:rFonts w:hint="eastAsia" w:asciiTheme="minorEastAsia" w:hAnsiTheme="minorEastAsia" w:eastAsiaTheme="minorEastAsia"/>
              <w:snapToGrid w:val="0"/>
              <w:sz w:val="22"/>
              <w:szCs w:val="28"/>
            </w:rPr>
            <w:t>附图</w:t>
          </w:r>
          <w:r>
            <w:rPr>
              <w:rFonts w:hint="eastAsia" w:asciiTheme="minorEastAsia" w:hAnsiTheme="minorEastAsia" w:eastAsiaTheme="minorEastAsia"/>
              <w:sz w:val="22"/>
              <w:szCs w:val="28"/>
            </w:rPr>
            <w:tab/>
          </w:r>
          <w:r>
            <w:rPr>
              <w:rFonts w:hint="eastAsia" w:asciiTheme="minorEastAsia" w:hAnsiTheme="minorEastAsia" w:eastAsiaTheme="minorEastAsia"/>
              <w:sz w:val="22"/>
              <w:szCs w:val="28"/>
            </w:rPr>
            <w:fldChar w:fldCharType="begin"/>
          </w:r>
          <w:r>
            <w:rPr>
              <w:rFonts w:hint="eastAsia" w:asciiTheme="minorEastAsia" w:hAnsiTheme="minorEastAsia" w:eastAsiaTheme="minorEastAsia"/>
              <w:sz w:val="22"/>
              <w:szCs w:val="28"/>
            </w:rPr>
            <w:instrText xml:space="preserve"> </w:instrText>
          </w:r>
          <w:r>
            <w:rPr>
              <w:rFonts w:asciiTheme="minorEastAsia" w:hAnsiTheme="minorEastAsia" w:eastAsiaTheme="minorEastAsia"/>
              <w:sz w:val="22"/>
              <w:szCs w:val="28"/>
            </w:rPr>
            <w:instrText xml:space="preserve">PAGEREF _Toc200987727 \h</w:instrText>
          </w:r>
          <w:r>
            <w:rPr>
              <w:rFonts w:hint="eastAsia" w:asciiTheme="minorEastAsia" w:hAnsiTheme="minorEastAsia" w:eastAsiaTheme="minorEastAsia"/>
              <w:sz w:val="22"/>
              <w:szCs w:val="28"/>
            </w:rPr>
            <w:instrText xml:space="preserve"> </w:instrText>
          </w:r>
          <w:r>
            <w:rPr>
              <w:rFonts w:hint="eastAsia" w:asciiTheme="minorEastAsia" w:hAnsiTheme="minorEastAsia" w:eastAsiaTheme="minorEastAsia"/>
              <w:sz w:val="22"/>
              <w:szCs w:val="28"/>
            </w:rPr>
            <w:fldChar w:fldCharType="separate"/>
          </w:r>
          <w:r>
            <w:rPr>
              <w:rFonts w:asciiTheme="minorEastAsia" w:hAnsiTheme="minorEastAsia" w:eastAsiaTheme="minorEastAsia"/>
              <w:sz w:val="22"/>
              <w:szCs w:val="28"/>
            </w:rPr>
            <w:t>74</w:t>
          </w:r>
          <w:r>
            <w:rPr>
              <w:rFonts w:hint="eastAsia" w:asciiTheme="minorEastAsia" w:hAnsiTheme="minorEastAsia" w:eastAsiaTheme="minorEastAsia"/>
              <w:sz w:val="22"/>
              <w:szCs w:val="28"/>
            </w:rPr>
            <w:fldChar w:fldCharType="end"/>
          </w:r>
          <w:r>
            <w:rPr>
              <w:rFonts w:hint="eastAsia" w:asciiTheme="minorEastAsia" w:hAnsiTheme="minorEastAsia" w:eastAsiaTheme="minorEastAsia"/>
              <w:sz w:val="22"/>
              <w:szCs w:val="28"/>
            </w:rPr>
            <w:fldChar w:fldCharType="end"/>
          </w:r>
        </w:p>
        <w:p w14:paraId="08F4A63E">
          <w:pPr>
            <w:pStyle w:val="18"/>
            <w:spacing w:after="120" w:afterLines="50"/>
            <w:rPr>
              <w:rFonts w:hint="eastAsia" w:asciiTheme="minorEastAsia" w:hAnsiTheme="minorEastAsia" w:eastAsiaTheme="minorEastAsia" w:cstheme="minorBidi"/>
              <w:color w:val="auto"/>
              <w:sz w:val="20"/>
              <w:szCs w:val="21"/>
              <w14:ligatures w14:val="standardContextual"/>
            </w:rPr>
          </w:pPr>
          <w:r>
            <w:fldChar w:fldCharType="begin"/>
          </w:r>
          <w:r>
            <w:instrText xml:space="preserve"> HYPERLINK \l "_Toc200987728" </w:instrText>
          </w:r>
          <w:r>
            <w:fldChar w:fldCharType="separate"/>
          </w:r>
          <w:r>
            <w:rPr>
              <w:rStyle w:val="27"/>
              <w:rFonts w:hint="eastAsia" w:asciiTheme="minorEastAsia" w:hAnsiTheme="minorEastAsia" w:eastAsiaTheme="minorEastAsia"/>
              <w:sz w:val="22"/>
              <w:szCs w:val="28"/>
            </w:rPr>
            <w:t>附图1 建设项目地理位置图</w:t>
          </w:r>
          <w:r>
            <w:rPr>
              <w:rFonts w:hint="eastAsia" w:asciiTheme="minorEastAsia" w:hAnsiTheme="minorEastAsia" w:eastAsiaTheme="minorEastAsia"/>
              <w:sz w:val="22"/>
              <w:szCs w:val="28"/>
            </w:rPr>
            <w:tab/>
          </w:r>
          <w:r>
            <w:rPr>
              <w:rFonts w:hint="eastAsia" w:asciiTheme="minorEastAsia" w:hAnsiTheme="minorEastAsia" w:eastAsiaTheme="minorEastAsia"/>
              <w:sz w:val="22"/>
              <w:szCs w:val="28"/>
            </w:rPr>
            <w:fldChar w:fldCharType="begin"/>
          </w:r>
          <w:r>
            <w:rPr>
              <w:rFonts w:hint="eastAsia" w:asciiTheme="minorEastAsia" w:hAnsiTheme="minorEastAsia" w:eastAsiaTheme="minorEastAsia"/>
              <w:sz w:val="22"/>
              <w:szCs w:val="28"/>
            </w:rPr>
            <w:instrText xml:space="preserve"> </w:instrText>
          </w:r>
          <w:r>
            <w:rPr>
              <w:rFonts w:asciiTheme="minorEastAsia" w:hAnsiTheme="minorEastAsia" w:eastAsiaTheme="minorEastAsia"/>
              <w:sz w:val="22"/>
              <w:szCs w:val="28"/>
            </w:rPr>
            <w:instrText xml:space="preserve">PAGEREF _Toc200987728 \h</w:instrText>
          </w:r>
          <w:r>
            <w:rPr>
              <w:rFonts w:hint="eastAsia" w:asciiTheme="minorEastAsia" w:hAnsiTheme="minorEastAsia" w:eastAsiaTheme="minorEastAsia"/>
              <w:sz w:val="22"/>
              <w:szCs w:val="28"/>
            </w:rPr>
            <w:instrText xml:space="preserve"> </w:instrText>
          </w:r>
          <w:r>
            <w:rPr>
              <w:rFonts w:hint="eastAsia" w:asciiTheme="minorEastAsia" w:hAnsiTheme="minorEastAsia" w:eastAsiaTheme="minorEastAsia"/>
              <w:sz w:val="22"/>
              <w:szCs w:val="28"/>
            </w:rPr>
            <w:fldChar w:fldCharType="separate"/>
          </w:r>
          <w:r>
            <w:rPr>
              <w:rFonts w:asciiTheme="minorEastAsia" w:hAnsiTheme="minorEastAsia" w:eastAsiaTheme="minorEastAsia"/>
              <w:sz w:val="22"/>
              <w:szCs w:val="28"/>
            </w:rPr>
            <w:t>75</w:t>
          </w:r>
          <w:r>
            <w:rPr>
              <w:rFonts w:hint="eastAsia" w:asciiTheme="minorEastAsia" w:hAnsiTheme="minorEastAsia" w:eastAsiaTheme="minorEastAsia"/>
              <w:sz w:val="22"/>
              <w:szCs w:val="28"/>
            </w:rPr>
            <w:fldChar w:fldCharType="end"/>
          </w:r>
          <w:r>
            <w:rPr>
              <w:rFonts w:hint="eastAsia" w:asciiTheme="minorEastAsia" w:hAnsiTheme="minorEastAsia" w:eastAsiaTheme="minorEastAsia"/>
              <w:sz w:val="22"/>
              <w:szCs w:val="28"/>
            </w:rPr>
            <w:fldChar w:fldCharType="end"/>
          </w:r>
        </w:p>
        <w:p w14:paraId="2C9A4B1A">
          <w:pPr>
            <w:pStyle w:val="18"/>
            <w:spacing w:after="120" w:afterLines="50"/>
            <w:rPr>
              <w:rFonts w:hint="eastAsia" w:asciiTheme="minorEastAsia" w:hAnsiTheme="minorEastAsia" w:eastAsiaTheme="minorEastAsia" w:cstheme="minorBidi"/>
              <w:color w:val="auto"/>
              <w:sz w:val="20"/>
              <w:szCs w:val="21"/>
              <w14:ligatures w14:val="standardContextual"/>
            </w:rPr>
          </w:pPr>
          <w:r>
            <w:fldChar w:fldCharType="begin"/>
          </w:r>
          <w:r>
            <w:instrText xml:space="preserve"> HYPERLINK \l "_Toc200987729" </w:instrText>
          </w:r>
          <w:r>
            <w:fldChar w:fldCharType="separate"/>
          </w:r>
          <w:r>
            <w:rPr>
              <w:rStyle w:val="27"/>
              <w:rFonts w:hint="eastAsia" w:asciiTheme="minorEastAsia" w:hAnsiTheme="minorEastAsia" w:eastAsiaTheme="minorEastAsia"/>
              <w:sz w:val="22"/>
              <w:szCs w:val="28"/>
            </w:rPr>
            <w:t>附图2 广东省环境管控单元图</w:t>
          </w:r>
          <w:r>
            <w:rPr>
              <w:rFonts w:hint="eastAsia" w:asciiTheme="minorEastAsia" w:hAnsiTheme="minorEastAsia" w:eastAsiaTheme="minorEastAsia"/>
              <w:sz w:val="22"/>
              <w:szCs w:val="28"/>
            </w:rPr>
            <w:tab/>
          </w:r>
          <w:r>
            <w:rPr>
              <w:rFonts w:hint="eastAsia" w:asciiTheme="minorEastAsia" w:hAnsiTheme="minorEastAsia" w:eastAsiaTheme="minorEastAsia"/>
              <w:sz w:val="22"/>
              <w:szCs w:val="28"/>
            </w:rPr>
            <w:fldChar w:fldCharType="begin"/>
          </w:r>
          <w:r>
            <w:rPr>
              <w:rFonts w:hint="eastAsia" w:asciiTheme="minorEastAsia" w:hAnsiTheme="minorEastAsia" w:eastAsiaTheme="minorEastAsia"/>
              <w:sz w:val="22"/>
              <w:szCs w:val="28"/>
            </w:rPr>
            <w:instrText xml:space="preserve"> </w:instrText>
          </w:r>
          <w:r>
            <w:rPr>
              <w:rFonts w:asciiTheme="minorEastAsia" w:hAnsiTheme="minorEastAsia" w:eastAsiaTheme="minorEastAsia"/>
              <w:sz w:val="22"/>
              <w:szCs w:val="28"/>
            </w:rPr>
            <w:instrText xml:space="preserve">PAGEREF _Toc200987729 \h</w:instrText>
          </w:r>
          <w:r>
            <w:rPr>
              <w:rFonts w:hint="eastAsia" w:asciiTheme="minorEastAsia" w:hAnsiTheme="minorEastAsia" w:eastAsiaTheme="minorEastAsia"/>
              <w:sz w:val="22"/>
              <w:szCs w:val="28"/>
            </w:rPr>
            <w:instrText xml:space="preserve"> </w:instrText>
          </w:r>
          <w:r>
            <w:rPr>
              <w:rFonts w:hint="eastAsia" w:asciiTheme="minorEastAsia" w:hAnsiTheme="minorEastAsia" w:eastAsiaTheme="minorEastAsia"/>
              <w:sz w:val="22"/>
              <w:szCs w:val="28"/>
            </w:rPr>
            <w:fldChar w:fldCharType="separate"/>
          </w:r>
          <w:r>
            <w:rPr>
              <w:rFonts w:asciiTheme="minorEastAsia" w:hAnsiTheme="minorEastAsia" w:eastAsiaTheme="minorEastAsia"/>
              <w:sz w:val="22"/>
              <w:szCs w:val="28"/>
            </w:rPr>
            <w:t>77</w:t>
          </w:r>
          <w:r>
            <w:rPr>
              <w:rFonts w:hint="eastAsia" w:asciiTheme="minorEastAsia" w:hAnsiTheme="minorEastAsia" w:eastAsiaTheme="minorEastAsia"/>
              <w:sz w:val="22"/>
              <w:szCs w:val="28"/>
            </w:rPr>
            <w:fldChar w:fldCharType="end"/>
          </w:r>
          <w:r>
            <w:rPr>
              <w:rFonts w:hint="eastAsia" w:asciiTheme="minorEastAsia" w:hAnsiTheme="minorEastAsia" w:eastAsiaTheme="minorEastAsia"/>
              <w:sz w:val="22"/>
              <w:szCs w:val="28"/>
            </w:rPr>
            <w:fldChar w:fldCharType="end"/>
          </w:r>
        </w:p>
        <w:p w14:paraId="363FEF3A">
          <w:pPr>
            <w:pStyle w:val="18"/>
            <w:spacing w:after="120" w:afterLines="50"/>
            <w:rPr>
              <w:rFonts w:hint="eastAsia" w:asciiTheme="minorEastAsia" w:hAnsiTheme="minorEastAsia" w:eastAsiaTheme="minorEastAsia" w:cstheme="minorBidi"/>
              <w:color w:val="auto"/>
              <w:sz w:val="20"/>
              <w:szCs w:val="21"/>
              <w14:ligatures w14:val="standardContextual"/>
            </w:rPr>
          </w:pPr>
          <w:r>
            <w:fldChar w:fldCharType="begin"/>
          </w:r>
          <w:r>
            <w:instrText xml:space="preserve"> HYPERLINK \l "_Toc200987730" </w:instrText>
          </w:r>
          <w:r>
            <w:fldChar w:fldCharType="separate"/>
          </w:r>
          <w:r>
            <w:rPr>
              <w:rStyle w:val="27"/>
              <w:rFonts w:hint="eastAsia" w:asciiTheme="minorEastAsia" w:hAnsiTheme="minorEastAsia" w:eastAsiaTheme="minorEastAsia"/>
              <w:sz w:val="22"/>
              <w:szCs w:val="28"/>
            </w:rPr>
            <w:t>附图3 博罗县环境管控单元图</w:t>
          </w:r>
          <w:r>
            <w:rPr>
              <w:rFonts w:hint="eastAsia" w:asciiTheme="minorEastAsia" w:hAnsiTheme="minorEastAsia" w:eastAsiaTheme="minorEastAsia"/>
              <w:sz w:val="22"/>
              <w:szCs w:val="28"/>
            </w:rPr>
            <w:tab/>
          </w:r>
          <w:r>
            <w:rPr>
              <w:rFonts w:hint="eastAsia" w:asciiTheme="minorEastAsia" w:hAnsiTheme="minorEastAsia" w:eastAsiaTheme="minorEastAsia"/>
              <w:sz w:val="22"/>
              <w:szCs w:val="28"/>
            </w:rPr>
            <w:fldChar w:fldCharType="begin"/>
          </w:r>
          <w:r>
            <w:rPr>
              <w:rFonts w:hint="eastAsia" w:asciiTheme="minorEastAsia" w:hAnsiTheme="minorEastAsia" w:eastAsiaTheme="minorEastAsia"/>
              <w:sz w:val="22"/>
              <w:szCs w:val="28"/>
            </w:rPr>
            <w:instrText xml:space="preserve"> </w:instrText>
          </w:r>
          <w:r>
            <w:rPr>
              <w:rFonts w:asciiTheme="minorEastAsia" w:hAnsiTheme="minorEastAsia" w:eastAsiaTheme="minorEastAsia"/>
              <w:sz w:val="22"/>
              <w:szCs w:val="28"/>
            </w:rPr>
            <w:instrText xml:space="preserve">PAGEREF _Toc200987730 \h</w:instrText>
          </w:r>
          <w:r>
            <w:rPr>
              <w:rFonts w:hint="eastAsia" w:asciiTheme="minorEastAsia" w:hAnsiTheme="minorEastAsia" w:eastAsiaTheme="minorEastAsia"/>
              <w:sz w:val="22"/>
              <w:szCs w:val="28"/>
            </w:rPr>
            <w:instrText xml:space="preserve"> </w:instrText>
          </w:r>
          <w:r>
            <w:rPr>
              <w:rFonts w:hint="eastAsia" w:asciiTheme="minorEastAsia" w:hAnsiTheme="minorEastAsia" w:eastAsiaTheme="minorEastAsia"/>
              <w:sz w:val="22"/>
              <w:szCs w:val="28"/>
            </w:rPr>
            <w:fldChar w:fldCharType="separate"/>
          </w:r>
          <w:r>
            <w:rPr>
              <w:rFonts w:asciiTheme="minorEastAsia" w:hAnsiTheme="minorEastAsia" w:eastAsiaTheme="minorEastAsia"/>
              <w:sz w:val="22"/>
              <w:szCs w:val="28"/>
            </w:rPr>
            <w:t>79</w:t>
          </w:r>
          <w:r>
            <w:rPr>
              <w:rFonts w:hint="eastAsia" w:asciiTheme="minorEastAsia" w:hAnsiTheme="minorEastAsia" w:eastAsiaTheme="minorEastAsia"/>
              <w:sz w:val="22"/>
              <w:szCs w:val="28"/>
            </w:rPr>
            <w:fldChar w:fldCharType="end"/>
          </w:r>
          <w:r>
            <w:rPr>
              <w:rFonts w:hint="eastAsia" w:asciiTheme="minorEastAsia" w:hAnsiTheme="minorEastAsia" w:eastAsiaTheme="minorEastAsia"/>
              <w:sz w:val="22"/>
              <w:szCs w:val="28"/>
            </w:rPr>
            <w:fldChar w:fldCharType="end"/>
          </w:r>
        </w:p>
        <w:p w14:paraId="4DC9422F">
          <w:pPr>
            <w:pStyle w:val="18"/>
            <w:spacing w:after="120" w:afterLines="50"/>
            <w:rPr>
              <w:rFonts w:hint="eastAsia" w:asciiTheme="minorEastAsia" w:hAnsiTheme="minorEastAsia" w:eastAsiaTheme="minorEastAsia" w:cstheme="minorBidi"/>
              <w:color w:val="auto"/>
              <w:sz w:val="20"/>
              <w:szCs w:val="21"/>
              <w14:ligatures w14:val="standardContextual"/>
            </w:rPr>
          </w:pPr>
          <w:r>
            <w:fldChar w:fldCharType="begin"/>
          </w:r>
          <w:r>
            <w:instrText xml:space="preserve"> HYPERLINK \l "_Toc200987731" </w:instrText>
          </w:r>
          <w:r>
            <w:fldChar w:fldCharType="separate"/>
          </w:r>
          <w:r>
            <w:rPr>
              <w:rStyle w:val="27"/>
              <w:rFonts w:hint="eastAsia" w:asciiTheme="minorEastAsia" w:hAnsiTheme="minorEastAsia" w:eastAsiaTheme="minorEastAsia"/>
              <w:sz w:val="22"/>
              <w:szCs w:val="28"/>
            </w:rPr>
            <w:t>附图4广东省三线一单应用平台截图（陆域环境管控单元）</w:t>
          </w:r>
          <w:r>
            <w:rPr>
              <w:rFonts w:hint="eastAsia" w:asciiTheme="minorEastAsia" w:hAnsiTheme="minorEastAsia" w:eastAsiaTheme="minorEastAsia"/>
              <w:sz w:val="22"/>
              <w:szCs w:val="28"/>
            </w:rPr>
            <w:tab/>
          </w:r>
          <w:r>
            <w:rPr>
              <w:rFonts w:hint="eastAsia" w:asciiTheme="minorEastAsia" w:hAnsiTheme="minorEastAsia" w:eastAsiaTheme="minorEastAsia"/>
              <w:sz w:val="22"/>
              <w:szCs w:val="28"/>
            </w:rPr>
            <w:fldChar w:fldCharType="begin"/>
          </w:r>
          <w:r>
            <w:rPr>
              <w:rFonts w:hint="eastAsia" w:asciiTheme="minorEastAsia" w:hAnsiTheme="minorEastAsia" w:eastAsiaTheme="minorEastAsia"/>
              <w:sz w:val="22"/>
              <w:szCs w:val="28"/>
            </w:rPr>
            <w:instrText xml:space="preserve"> </w:instrText>
          </w:r>
          <w:r>
            <w:rPr>
              <w:rFonts w:asciiTheme="minorEastAsia" w:hAnsiTheme="minorEastAsia" w:eastAsiaTheme="minorEastAsia"/>
              <w:sz w:val="22"/>
              <w:szCs w:val="28"/>
            </w:rPr>
            <w:instrText xml:space="preserve">PAGEREF _Toc200987731 \h</w:instrText>
          </w:r>
          <w:r>
            <w:rPr>
              <w:rFonts w:hint="eastAsia" w:asciiTheme="minorEastAsia" w:hAnsiTheme="minorEastAsia" w:eastAsiaTheme="minorEastAsia"/>
              <w:sz w:val="22"/>
              <w:szCs w:val="28"/>
            </w:rPr>
            <w:instrText xml:space="preserve"> </w:instrText>
          </w:r>
          <w:r>
            <w:rPr>
              <w:rFonts w:hint="eastAsia" w:asciiTheme="minorEastAsia" w:hAnsiTheme="minorEastAsia" w:eastAsiaTheme="minorEastAsia"/>
              <w:sz w:val="22"/>
              <w:szCs w:val="28"/>
            </w:rPr>
            <w:fldChar w:fldCharType="separate"/>
          </w:r>
          <w:r>
            <w:rPr>
              <w:rFonts w:asciiTheme="minorEastAsia" w:hAnsiTheme="minorEastAsia" w:eastAsiaTheme="minorEastAsia"/>
              <w:sz w:val="22"/>
              <w:szCs w:val="28"/>
            </w:rPr>
            <w:t>79</w:t>
          </w:r>
          <w:r>
            <w:rPr>
              <w:rFonts w:hint="eastAsia" w:asciiTheme="minorEastAsia" w:hAnsiTheme="minorEastAsia" w:eastAsiaTheme="minorEastAsia"/>
              <w:sz w:val="22"/>
              <w:szCs w:val="28"/>
            </w:rPr>
            <w:fldChar w:fldCharType="end"/>
          </w:r>
          <w:r>
            <w:rPr>
              <w:rFonts w:hint="eastAsia" w:asciiTheme="minorEastAsia" w:hAnsiTheme="minorEastAsia" w:eastAsiaTheme="minorEastAsia"/>
              <w:sz w:val="22"/>
              <w:szCs w:val="28"/>
            </w:rPr>
            <w:fldChar w:fldCharType="end"/>
          </w:r>
        </w:p>
        <w:p w14:paraId="3CFCF52B">
          <w:pPr>
            <w:pStyle w:val="18"/>
            <w:spacing w:after="120" w:afterLines="50"/>
            <w:rPr>
              <w:rFonts w:hint="eastAsia" w:asciiTheme="minorEastAsia" w:hAnsiTheme="minorEastAsia" w:eastAsiaTheme="minorEastAsia" w:cstheme="minorBidi"/>
              <w:color w:val="auto"/>
              <w:sz w:val="20"/>
              <w:szCs w:val="21"/>
              <w14:ligatures w14:val="standardContextual"/>
            </w:rPr>
          </w:pPr>
          <w:r>
            <w:fldChar w:fldCharType="begin"/>
          </w:r>
          <w:r>
            <w:instrText xml:space="preserve"> HYPERLINK \l "_Toc200987732" </w:instrText>
          </w:r>
          <w:r>
            <w:fldChar w:fldCharType="separate"/>
          </w:r>
          <w:r>
            <w:rPr>
              <w:rStyle w:val="27"/>
              <w:rFonts w:hint="eastAsia" w:asciiTheme="minorEastAsia" w:hAnsiTheme="minorEastAsia" w:eastAsiaTheme="minorEastAsia"/>
              <w:sz w:val="22"/>
              <w:szCs w:val="28"/>
            </w:rPr>
            <w:t>附图5广东省三线一单应用平台截图（生态环境一般管控区）</w:t>
          </w:r>
          <w:r>
            <w:rPr>
              <w:rFonts w:hint="eastAsia" w:asciiTheme="minorEastAsia" w:hAnsiTheme="minorEastAsia" w:eastAsiaTheme="minorEastAsia"/>
              <w:sz w:val="22"/>
              <w:szCs w:val="28"/>
            </w:rPr>
            <w:tab/>
          </w:r>
          <w:r>
            <w:rPr>
              <w:rFonts w:hint="eastAsia" w:asciiTheme="minorEastAsia" w:hAnsiTheme="minorEastAsia" w:eastAsiaTheme="minorEastAsia"/>
              <w:sz w:val="22"/>
              <w:szCs w:val="28"/>
            </w:rPr>
            <w:fldChar w:fldCharType="begin"/>
          </w:r>
          <w:r>
            <w:rPr>
              <w:rFonts w:hint="eastAsia" w:asciiTheme="minorEastAsia" w:hAnsiTheme="minorEastAsia" w:eastAsiaTheme="minorEastAsia"/>
              <w:sz w:val="22"/>
              <w:szCs w:val="28"/>
            </w:rPr>
            <w:instrText xml:space="preserve"> </w:instrText>
          </w:r>
          <w:r>
            <w:rPr>
              <w:rFonts w:asciiTheme="minorEastAsia" w:hAnsiTheme="minorEastAsia" w:eastAsiaTheme="minorEastAsia"/>
              <w:sz w:val="22"/>
              <w:szCs w:val="28"/>
            </w:rPr>
            <w:instrText xml:space="preserve">PAGEREF _Toc200987732 \h</w:instrText>
          </w:r>
          <w:r>
            <w:rPr>
              <w:rFonts w:hint="eastAsia" w:asciiTheme="minorEastAsia" w:hAnsiTheme="minorEastAsia" w:eastAsiaTheme="minorEastAsia"/>
              <w:sz w:val="22"/>
              <w:szCs w:val="28"/>
            </w:rPr>
            <w:instrText xml:space="preserve"> </w:instrText>
          </w:r>
          <w:r>
            <w:rPr>
              <w:rFonts w:hint="eastAsia" w:asciiTheme="minorEastAsia" w:hAnsiTheme="minorEastAsia" w:eastAsiaTheme="minorEastAsia"/>
              <w:sz w:val="22"/>
              <w:szCs w:val="28"/>
            </w:rPr>
            <w:fldChar w:fldCharType="separate"/>
          </w:r>
          <w:r>
            <w:rPr>
              <w:rFonts w:asciiTheme="minorEastAsia" w:hAnsiTheme="minorEastAsia" w:eastAsiaTheme="minorEastAsia"/>
              <w:sz w:val="22"/>
              <w:szCs w:val="28"/>
            </w:rPr>
            <w:t>80</w:t>
          </w:r>
          <w:r>
            <w:rPr>
              <w:rFonts w:hint="eastAsia" w:asciiTheme="minorEastAsia" w:hAnsiTheme="minorEastAsia" w:eastAsiaTheme="minorEastAsia"/>
              <w:sz w:val="22"/>
              <w:szCs w:val="28"/>
            </w:rPr>
            <w:fldChar w:fldCharType="end"/>
          </w:r>
          <w:r>
            <w:rPr>
              <w:rFonts w:hint="eastAsia" w:asciiTheme="minorEastAsia" w:hAnsiTheme="minorEastAsia" w:eastAsiaTheme="minorEastAsia"/>
              <w:sz w:val="22"/>
              <w:szCs w:val="28"/>
            </w:rPr>
            <w:fldChar w:fldCharType="end"/>
          </w:r>
        </w:p>
        <w:p w14:paraId="4F564245">
          <w:pPr>
            <w:pStyle w:val="18"/>
            <w:spacing w:after="120" w:afterLines="50"/>
            <w:rPr>
              <w:rFonts w:hint="eastAsia" w:asciiTheme="minorEastAsia" w:hAnsiTheme="minorEastAsia" w:eastAsiaTheme="minorEastAsia" w:cstheme="minorBidi"/>
              <w:color w:val="auto"/>
              <w:sz w:val="20"/>
              <w:szCs w:val="21"/>
              <w14:ligatures w14:val="standardContextual"/>
            </w:rPr>
          </w:pPr>
          <w:r>
            <w:fldChar w:fldCharType="begin"/>
          </w:r>
          <w:r>
            <w:instrText xml:space="preserve"> HYPERLINK \l "_Toc200987733" </w:instrText>
          </w:r>
          <w:r>
            <w:fldChar w:fldCharType="separate"/>
          </w:r>
          <w:r>
            <w:rPr>
              <w:rStyle w:val="27"/>
              <w:rFonts w:hint="eastAsia" w:asciiTheme="minorEastAsia" w:hAnsiTheme="minorEastAsia" w:eastAsiaTheme="minorEastAsia"/>
              <w:sz w:val="22"/>
              <w:szCs w:val="28"/>
            </w:rPr>
            <w:t>附图6广东省三线一单应用平台截图（水环境城镇生活污染重点管控区）</w:t>
          </w:r>
          <w:r>
            <w:rPr>
              <w:rFonts w:hint="eastAsia" w:asciiTheme="minorEastAsia" w:hAnsiTheme="minorEastAsia" w:eastAsiaTheme="minorEastAsia"/>
              <w:sz w:val="22"/>
              <w:szCs w:val="28"/>
            </w:rPr>
            <w:tab/>
          </w:r>
          <w:r>
            <w:rPr>
              <w:rFonts w:hint="eastAsia" w:asciiTheme="minorEastAsia" w:hAnsiTheme="minorEastAsia" w:eastAsiaTheme="minorEastAsia"/>
              <w:sz w:val="22"/>
              <w:szCs w:val="28"/>
            </w:rPr>
            <w:fldChar w:fldCharType="begin"/>
          </w:r>
          <w:r>
            <w:rPr>
              <w:rFonts w:hint="eastAsia" w:asciiTheme="minorEastAsia" w:hAnsiTheme="minorEastAsia" w:eastAsiaTheme="minorEastAsia"/>
              <w:sz w:val="22"/>
              <w:szCs w:val="28"/>
            </w:rPr>
            <w:instrText xml:space="preserve"> </w:instrText>
          </w:r>
          <w:r>
            <w:rPr>
              <w:rFonts w:asciiTheme="minorEastAsia" w:hAnsiTheme="minorEastAsia" w:eastAsiaTheme="minorEastAsia"/>
              <w:sz w:val="22"/>
              <w:szCs w:val="28"/>
            </w:rPr>
            <w:instrText xml:space="preserve">PAGEREF _Toc200987733 \h</w:instrText>
          </w:r>
          <w:r>
            <w:rPr>
              <w:rFonts w:hint="eastAsia" w:asciiTheme="minorEastAsia" w:hAnsiTheme="minorEastAsia" w:eastAsiaTheme="minorEastAsia"/>
              <w:sz w:val="22"/>
              <w:szCs w:val="28"/>
            </w:rPr>
            <w:instrText xml:space="preserve"> </w:instrText>
          </w:r>
          <w:r>
            <w:rPr>
              <w:rFonts w:hint="eastAsia" w:asciiTheme="minorEastAsia" w:hAnsiTheme="minorEastAsia" w:eastAsiaTheme="minorEastAsia"/>
              <w:sz w:val="22"/>
              <w:szCs w:val="28"/>
            </w:rPr>
            <w:fldChar w:fldCharType="separate"/>
          </w:r>
          <w:r>
            <w:rPr>
              <w:rFonts w:asciiTheme="minorEastAsia" w:hAnsiTheme="minorEastAsia" w:eastAsiaTheme="minorEastAsia"/>
              <w:sz w:val="22"/>
              <w:szCs w:val="28"/>
            </w:rPr>
            <w:t>81</w:t>
          </w:r>
          <w:r>
            <w:rPr>
              <w:rFonts w:hint="eastAsia" w:asciiTheme="minorEastAsia" w:hAnsiTheme="minorEastAsia" w:eastAsiaTheme="minorEastAsia"/>
              <w:sz w:val="22"/>
              <w:szCs w:val="28"/>
            </w:rPr>
            <w:fldChar w:fldCharType="end"/>
          </w:r>
          <w:r>
            <w:rPr>
              <w:rFonts w:hint="eastAsia" w:asciiTheme="minorEastAsia" w:hAnsiTheme="minorEastAsia" w:eastAsiaTheme="minorEastAsia"/>
              <w:sz w:val="22"/>
              <w:szCs w:val="28"/>
            </w:rPr>
            <w:fldChar w:fldCharType="end"/>
          </w:r>
        </w:p>
        <w:p w14:paraId="3B392E21">
          <w:pPr>
            <w:pStyle w:val="18"/>
            <w:spacing w:after="120" w:afterLines="50"/>
            <w:rPr>
              <w:rFonts w:hint="eastAsia" w:asciiTheme="minorEastAsia" w:hAnsiTheme="minorEastAsia" w:eastAsiaTheme="minorEastAsia" w:cstheme="minorBidi"/>
              <w:color w:val="auto"/>
              <w:sz w:val="20"/>
              <w:szCs w:val="21"/>
              <w14:ligatures w14:val="standardContextual"/>
            </w:rPr>
          </w:pPr>
          <w:r>
            <w:fldChar w:fldCharType="begin"/>
          </w:r>
          <w:r>
            <w:instrText xml:space="preserve"> HYPERLINK \l "_Toc200987734" </w:instrText>
          </w:r>
          <w:r>
            <w:fldChar w:fldCharType="separate"/>
          </w:r>
          <w:r>
            <w:rPr>
              <w:rStyle w:val="27"/>
              <w:rFonts w:hint="eastAsia" w:asciiTheme="minorEastAsia" w:hAnsiTheme="minorEastAsia" w:eastAsiaTheme="minorEastAsia"/>
              <w:sz w:val="22"/>
              <w:szCs w:val="28"/>
            </w:rPr>
            <w:t>附图7广东省三线一单应用平台截图（大气环境高排放重点管控区）</w:t>
          </w:r>
          <w:r>
            <w:rPr>
              <w:rFonts w:hint="eastAsia" w:asciiTheme="minorEastAsia" w:hAnsiTheme="minorEastAsia" w:eastAsiaTheme="minorEastAsia"/>
              <w:sz w:val="22"/>
              <w:szCs w:val="28"/>
            </w:rPr>
            <w:tab/>
          </w:r>
          <w:r>
            <w:rPr>
              <w:rFonts w:hint="eastAsia" w:asciiTheme="minorEastAsia" w:hAnsiTheme="minorEastAsia" w:eastAsiaTheme="minorEastAsia"/>
              <w:sz w:val="22"/>
              <w:szCs w:val="28"/>
            </w:rPr>
            <w:fldChar w:fldCharType="begin"/>
          </w:r>
          <w:r>
            <w:rPr>
              <w:rFonts w:hint="eastAsia" w:asciiTheme="minorEastAsia" w:hAnsiTheme="minorEastAsia" w:eastAsiaTheme="minorEastAsia"/>
              <w:sz w:val="22"/>
              <w:szCs w:val="28"/>
            </w:rPr>
            <w:instrText xml:space="preserve"> </w:instrText>
          </w:r>
          <w:r>
            <w:rPr>
              <w:rFonts w:asciiTheme="minorEastAsia" w:hAnsiTheme="minorEastAsia" w:eastAsiaTheme="minorEastAsia"/>
              <w:sz w:val="22"/>
              <w:szCs w:val="28"/>
            </w:rPr>
            <w:instrText xml:space="preserve">PAGEREF _Toc200987734 \h</w:instrText>
          </w:r>
          <w:r>
            <w:rPr>
              <w:rFonts w:hint="eastAsia" w:asciiTheme="minorEastAsia" w:hAnsiTheme="minorEastAsia" w:eastAsiaTheme="minorEastAsia"/>
              <w:sz w:val="22"/>
              <w:szCs w:val="28"/>
            </w:rPr>
            <w:instrText xml:space="preserve"> </w:instrText>
          </w:r>
          <w:r>
            <w:rPr>
              <w:rFonts w:hint="eastAsia" w:asciiTheme="minorEastAsia" w:hAnsiTheme="minorEastAsia" w:eastAsiaTheme="minorEastAsia"/>
              <w:sz w:val="22"/>
              <w:szCs w:val="28"/>
            </w:rPr>
            <w:fldChar w:fldCharType="separate"/>
          </w:r>
          <w:r>
            <w:rPr>
              <w:rFonts w:asciiTheme="minorEastAsia" w:hAnsiTheme="minorEastAsia" w:eastAsiaTheme="minorEastAsia"/>
              <w:sz w:val="22"/>
              <w:szCs w:val="28"/>
            </w:rPr>
            <w:t>82</w:t>
          </w:r>
          <w:r>
            <w:rPr>
              <w:rFonts w:hint="eastAsia" w:asciiTheme="minorEastAsia" w:hAnsiTheme="minorEastAsia" w:eastAsiaTheme="minorEastAsia"/>
              <w:sz w:val="22"/>
              <w:szCs w:val="28"/>
            </w:rPr>
            <w:fldChar w:fldCharType="end"/>
          </w:r>
          <w:r>
            <w:rPr>
              <w:rFonts w:hint="eastAsia" w:asciiTheme="minorEastAsia" w:hAnsiTheme="minorEastAsia" w:eastAsiaTheme="minorEastAsia"/>
              <w:sz w:val="22"/>
              <w:szCs w:val="28"/>
            </w:rPr>
            <w:fldChar w:fldCharType="end"/>
          </w:r>
        </w:p>
        <w:p w14:paraId="1BAB7265">
          <w:pPr>
            <w:pStyle w:val="18"/>
            <w:spacing w:after="120" w:afterLines="50"/>
            <w:rPr>
              <w:rFonts w:hint="eastAsia" w:asciiTheme="minorEastAsia" w:hAnsiTheme="minorEastAsia" w:eastAsiaTheme="minorEastAsia" w:cstheme="minorBidi"/>
              <w:color w:val="auto"/>
              <w:sz w:val="20"/>
              <w:szCs w:val="21"/>
              <w14:ligatures w14:val="standardContextual"/>
            </w:rPr>
          </w:pPr>
          <w:r>
            <w:fldChar w:fldCharType="begin"/>
          </w:r>
          <w:r>
            <w:instrText xml:space="preserve"> HYPERLINK \l "_Toc200987735" </w:instrText>
          </w:r>
          <w:r>
            <w:fldChar w:fldCharType="separate"/>
          </w:r>
          <w:r>
            <w:rPr>
              <w:rStyle w:val="27"/>
              <w:rFonts w:hint="eastAsia" w:asciiTheme="minorEastAsia" w:hAnsiTheme="minorEastAsia" w:eastAsiaTheme="minorEastAsia"/>
              <w:sz w:val="22"/>
              <w:szCs w:val="28"/>
            </w:rPr>
            <w:t>附图8博罗县生态空间最终划定情况</w:t>
          </w:r>
          <w:r>
            <w:rPr>
              <w:rFonts w:hint="eastAsia" w:asciiTheme="minorEastAsia" w:hAnsiTheme="minorEastAsia" w:eastAsiaTheme="minorEastAsia"/>
              <w:sz w:val="22"/>
              <w:szCs w:val="28"/>
            </w:rPr>
            <w:tab/>
          </w:r>
          <w:r>
            <w:rPr>
              <w:rFonts w:hint="eastAsia" w:asciiTheme="minorEastAsia" w:hAnsiTheme="minorEastAsia" w:eastAsiaTheme="minorEastAsia"/>
              <w:sz w:val="22"/>
              <w:szCs w:val="28"/>
            </w:rPr>
            <w:fldChar w:fldCharType="begin"/>
          </w:r>
          <w:r>
            <w:rPr>
              <w:rFonts w:hint="eastAsia" w:asciiTheme="minorEastAsia" w:hAnsiTheme="minorEastAsia" w:eastAsiaTheme="minorEastAsia"/>
              <w:sz w:val="22"/>
              <w:szCs w:val="28"/>
            </w:rPr>
            <w:instrText xml:space="preserve"> </w:instrText>
          </w:r>
          <w:r>
            <w:rPr>
              <w:rFonts w:asciiTheme="minorEastAsia" w:hAnsiTheme="minorEastAsia" w:eastAsiaTheme="minorEastAsia"/>
              <w:sz w:val="22"/>
              <w:szCs w:val="28"/>
            </w:rPr>
            <w:instrText xml:space="preserve">PAGEREF _Toc200987735 \h</w:instrText>
          </w:r>
          <w:r>
            <w:rPr>
              <w:rFonts w:hint="eastAsia" w:asciiTheme="minorEastAsia" w:hAnsiTheme="minorEastAsia" w:eastAsiaTheme="minorEastAsia"/>
              <w:sz w:val="22"/>
              <w:szCs w:val="28"/>
            </w:rPr>
            <w:instrText xml:space="preserve"> </w:instrText>
          </w:r>
          <w:r>
            <w:rPr>
              <w:rFonts w:hint="eastAsia" w:asciiTheme="minorEastAsia" w:hAnsiTheme="minorEastAsia" w:eastAsiaTheme="minorEastAsia"/>
              <w:sz w:val="22"/>
              <w:szCs w:val="28"/>
            </w:rPr>
            <w:fldChar w:fldCharType="separate"/>
          </w:r>
          <w:r>
            <w:rPr>
              <w:rFonts w:asciiTheme="minorEastAsia" w:hAnsiTheme="minorEastAsia" w:eastAsiaTheme="minorEastAsia"/>
              <w:sz w:val="22"/>
              <w:szCs w:val="28"/>
            </w:rPr>
            <w:t>83</w:t>
          </w:r>
          <w:r>
            <w:rPr>
              <w:rFonts w:hint="eastAsia" w:asciiTheme="minorEastAsia" w:hAnsiTheme="minorEastAsia" w:eastAsiaTheme="minorEastAsia"/>
              <w:sz w:val="22"/>
              <w:szCs w:val="28"/>
            </w:rPr>
            <w:fldChar w:fldCharType="end"/>
          </w:r>
          <w:r>
            <w:rPr>
              <w:rFonts w:hint="eastAsia" w:asciiTheme="minorEastAsia" w:hAnsiTheme="minorEastAsia" w:eastAsiaTheme="minorEastAsia"/>
              <w:sz w:val="22"/>
              <w:szCs w:val="28"/>
            </w:rPr>
            <w:fldChar w:fldCharType="end"/>
          </w:r>
        </w:p>
        <w:p w14:paraId="1B504E55">
          <w:pPr>
            <w:pStyle w:val="18"/>
            <w:spacing w:after="120" w:afterLines="50"/>
            <w:rPr>
              <w:rFonts w:hint="eastAsia" w:asciiTheme="minorEastAsia" w:hAnsiTheme="minorEastAsia" w:eastAsiaTheme="minorEastAsia" w:cstheme="minorBidi"/>
              <w:color w:val="auto"/>
              <w:sz w:val="20"/>
              <w:szCs w:val="21"/>
              <w14:ligatures w14:val="standardContextual"/>
            </w:rPr>
          </w:pPr>
          <w:r>
            <w:fldChar w:fldCharType="begin"/>
          </w:r>
          <w:r>
            <w:instrText xml:space="preserve"> HYPERLINK \l "_Toc200987736" </w:instrText>
          </w:r>
          <w:r>
            <w:fldChar w:fldCharType="separate"/>
          </w:r>
          <w:r>
            <w:rPr>
              <w:rStyle w:val="27"/>
              <w:rFonts w:hint="eastAsia" w:asciiTheme="minorEastAsia" w:hAnsiTheme="minorEastAsia" w:eastAsiaTheme="minorEastAsia"/>
              <w:sz w:val="22"/>
              <w:szCs w:val="28"/>
            </w:rPr>
            <w:t>附图9  博罗县水环境质量底线管控分区划定情况</w:t>
          </w:r>
          <w:r>
            <w:rPr>
              <w:rFonts w:hint="eastAsia" w:asciiTheme="minorEastAsia" w:hAnsiTheme="minorEastAsia" w:eastAsiaTheme="minorEastAsia"/>
              <w:sz w:val="22"/>
              <w:szCs w:val="28"/>
            </w:rPr>
            <w:tab/>
          </w:r>
          <w:r>
            <w:rPr>
              <w:rFonts w:hint="eastAsia" w:asciiTheme="minorEastAsia" w:hAnsiTheme="minorEastAsia" w:eastAsiaTheme="minorEastAsia"/>
              <w:sz w:val="22"/>
              <w:szCs w:val="28"/>
            </w:rPr>
            <w:fldChar w:fldCharType="begin"/>
          </w:r>
          <w:r>
            <w:rPr>
              <w:rFonts w:hint="eastAsia" w:asciiTheme="minorEastAsia" w:hAnsiTheme="minorEastAsia" w:eastAsiaTheme="minorEastAsia"/>
              <w:sz w:val="22"/>
              <w:szCs w:val="28"/>
            </w:rPr>
            <w:instrText xml:space="preserve"> </w:instrText>
          </w:r>
          <w:r>
            <w:rPr>
              <w:rFonts w:asciiTheme="minorEastAsia" w:hAnsiTheme="minorEastAsia" w:eastAsiaTheme="minorEastAsia"/>
              <w:sz w:val="22"/>
              <w:szCs w:val="28"/>
            </w:rPr>
            <w:instrText xml:space="preserve">PAGEREF _Toc200987736 \h</w:instrText>
          </w:r>
          <w:r>
            <w:rPr>
              <w:rFonts w:hint="eastAsia" w:asciiTheme="minorEastAsia" w:hAnsiTheme="minorEastAsia" w:eastAsiaTheme="minorEastAsia"/>
              <w:sz w:val="22"/>
              <w:szCs w:val="28"/>
            </w:rPr>
            <w:instrText xml:space="preserve"> </w:instrText>
          </w:r>
          <w:r>
            <w:rPr>
              <w:rFonts w:hint="eastAsia" w:asciiTheme="minorEastAsia" w:hAnsiTheme="minorEastAsia" w:eastAsiaTheme="minorEastAsia"/>
              <w:sz w:val="22"/>
              <w:szCs w:val="28"/>
            </w:rPr>
            <w:fldChar w:fldCharType="separate"/>
          </w:r>
          <w:r>
            <w:rPr>
              <w:rFonts w:asciiTheme="minorEastAsia" w:hAnsiTheme="minorEastAsia" w:eastAsiaTheme="minorEastAsia"/>
              <w:sz w:val="22"/>
              <w:szCs w:val="28"/>
            </w:rPr>
            <w:t>84</w:t>
          </w:r>
          <w:r>
            <w:rPr>
              <w:rFonts w:hint="eastAsia" w:asciiTheme="minorEastAsia" w:hAnsiTheme="minorEastAsia" w:eastAsiaTheme="minorEastAsia"/>
              <w:sz w:val="22"/>
              <w:szCs w:val="28"/>
            </w:rPr>
            <w:fldChar w:fldCharType="end"/>
          </w:r>
          <w:r>
            <w:rPr>
              <w:rFonts w:hint="eastAsia" w:asciiTheme="minorEastAsia" w:hAnsiTheme="minorEastAsia" w:eastAsiaTheme="minorEastAsia"/>
              <w:sz w:val="22"/>
              <w:szCs w:val="28"/>
            </w:rPr>
            <w:fldChar w:fldCharType="end"/>
          </w:r>
        </w:p>
        <w:p w14:paraId="72D9CAD9">
          <w:pPr>
            <w:pStyle w:val="18"/>
            <w:spacing w:after="120" w:afterLines="50"/>
            <w:rPr>
              <w:rFonts w:hint="eastAsia" w:asciiTheme="minorEastAsia" w:hAnsiTheme="minorEastAsia" w:eastAsiaTheme="minorEastAsia" w:cstheme="minorBidi"/>
              <w:color w:val="auto"/>
              <w:sz w:val="20"/>
              <w:szCs w:val="21"/>
              <w14:ligatures w14:val="standardContextual"/>
            </w:rPr>
          </w:pPr>
          <w:r>
            <w:fldChar w:fldCharType="begin"/>
          </w:r>
          <w:r>
            <w:instrText xml:space="preserve"> HYPERLINK \l "_Toc200987737" </w:instrText>
          </w:r>
          <w:r>
            <w:fldChar w:fldCharType="separate"/>
          </w:r>
          <w:r>
            <w:rPr>
              <w:rStyle w:val="27"/>
              <w:rFonts w:hint="eastAsia" w:asciiTheme="minorEastAsia" w:hAnsiTheme="minorEastAsia" w:eastAsiaTheme="minorEastAsia"/>
              <w:sz w:val="22"/>
              <w:szCs w:val="28"/>
            </w:rPr>
            <w:t>附图10  博罗县大气环境质量底线管控分区划定情况</w:t>
          </w:r>
          <w:r>
            <w:rPr>
              <w:rFonts w:hint="eastAsia" w:asciiTheme="minorEastAsia" w:hAnsiTheme="minorEastAsia" w:eastAsiaTheme="minorEastAsia"/>
              <w:sz w:val="22"/>
              <w:szCs w:val="28"/>
            </w:rPr>
            <w:tab/>
          </w:r>
          <w:r>
            <w:rPr>
              <w:rFonts w:hint="eastAsia" w:asciiTheme="minorEastAsia" w:hAnsiTheme="minorEastAsia" w:eastAsiaTheme="minorEastAsia"/>
              <w:sz w:val="22"/>
              <w:szCs w:val="28"/>
            </w:rPr>
            <w:fldChar w:fldCharType="begin"/>
          </w:r>
          <w:r>
            <w:rPr>
              <w:rFonts w:hint="eastAsia" w:asciiTheme="minorEastAsia" w:hAnsiTheme="minorEastAsia" w:eastAsiaTheme="minorEastAsia"/>
              <w:sz w:val="22"/>
              <w:szCs w:val="28"/>
            </w:rPr>
            <w:instrText xml:space="preserve"> </w:instrText>
          </w:r>
          <w:r>
            <w:rPr>
              <w:rFonts w:asciiTheme="minorEastAsia" w:hAnsiTheme="minorEastAsia" w:eastAsiaTheme="minorEastAsia"/>
              <w:sz w:val="22"/>
              <w:szCs w:val="28"/>
            </w:rPr>
            <w:instrText xml:space="preserve">PAGEREF _Toc200987737 \h</w:instrText>
          </w:r>
          <w:r>
            <w:rPr>
              <w:rFonts w:hint="eastAsia" w:asciiTheme="minorEastAsia" w:hAnsiTheme="minorEastAsia" w:eastAsiaTheme="minorEastAsia"/>
              <w:sz w:val="22"/>
              <w:szCs w:val="28"/>
            </w:rPr>
            <w:instrText xml:space="preserve"> </w:instrText>
          </w:r>
          <w:r>
            <w:rPr>
              <w:rFonts w:hint="eastAsia" w:asciiTheme="minorEastAsia" w:hAnsiTheme="minorEastAsia" w:eastAsiaTheme="minorEastAsia"/>
              <w:sz w:val="22"/>
              <w:szCs w:val="28"/>
            </w:rPr>
            <w:fldChar w:fldCharType="separate"/>
          </w:r>
          <w:r>
            <w:rPr>
              <w:rFonts w:asciiTheme="minorEastAsia" w:hAnsiTheme="minorEastAsia" w:eastAsiaTheme="minorEastAsia"/>
              <w:sz w:val="22"/>
              <w:szCs w:val="28"/>
            </w:rPr>
            <w:t>86</w:t>
          </w:r>
          <w:r>
            <w:rPr>
              <w:rFonts w:hint="eastAsia" w:asciiTheme="minorEastAsia" w:hAnsiTheme="minorEastAsia" w:eastAsiaTheme="minorEastAsia"/>
              <w:sz w:val="22"/>
              <w:szCs w:val="28"/>
            </w:rPr>
            <w:fldChar w:fldCharType="end"/>
          </w:r>
          <w:r>
            <w:rPr>
              <w:rFonts w:hint="eastAsia" w:asciiTheme="minorEastAsia" w:hAnsiTheme="minorEastAsia" w:eastAsiaTheme="minorEastAsia"/>
              <w:sz w:val="22"/>
              <w:szCs w:val="28"/>
            </w:rPr>
            <w:fldChar w:fldCharType="end"/>
          </w:r>
        </w:p>
        <w:p w14:paraId="2847DAF9">
          <w:pPr>
            <w:pStyle w:val="18"/>
            <w:spacing w:after="120" w:afterLines="50"/>
            <w:rPr>
              <w:rFonts w:hint="eastAsia" w:asciiTheme="minorEastAsia" w:hAnsiTheme="minorEastAsia" w:eastAsiaTheme="minorEastAsia" w:cstheme="minorBidi"/>
              <w:color w:val="auto"/>
              <w:sz w:val="20"/>
              <w:szCs w:val="21"/>
              <w14:ligatures w14:val="standardContextual"/>
            </w:rPr>
          </w:pPr>
          <w:r>
            <w:fldChar w:fldCharType="begin"/>
          </w:r>
          <w:r>
            <w:instrText xml:space="preserve"> HYPERLINK \l "_Toc200987738" </w:instrText>
          </w:r>
          <w:r>
            <w:fldChar w:fldCharType="separate"/>
          </w:r>
          <w:r>
            <w:rPr>
              <w:rStyle w:val="27"/>
              <w:rFonts w:hint="eastAsia" w:asciiTheme="minorEastAsia" w:hAnsiTheme="minorEastAsia" w:eastAsiaTheme="minorEastAsia"/>
              <w:sz w:val="22"/>
              <w:szCs w:val="28"/>
            </w:rPr>
            <w:t>附图11  博罗县建设用地土壤管控分区划定情况</w:t>
          </w:r>
          <w:r>
            <w:rPr>
              <w:rFonts w:hint="eastAsia" w:asciiTheme="minorEastAsia" w:hAnsiTheme="minorEastAsia" w:eastAsiaTheme="minorEastAsia"/>
              <w:sz w:val="22"/>
              <w:szCs w:val="28"/>
            </w:rPr>
            <w:tab/>
          </w:r>
          <w:r>
            <w:rPr>
              <w:rFonts w:hint="eastAsia" w:asciiTheme="minorEastAsia" w:hAnsiTheme="minorEastAsia" w:eastAsiaTheme="minorEastAsia"/>
              <w:sz w:val="22"/>
              <w:szCs w:val="28"/>
            </w:rPr>
            <w:fldChar w:fldCharType="begin"/>
          </w:r>
          <w:r>
            <w:rPr>
              <w:rFonts w:hint="eastAsia" w:asciiTheme="minorEastAsia" w:hAnsiTheme="minorEastAsia" w:eastAsiaTheme="minorEastAsia"/>
              <w:sz w:val="22"/>
              <w:szCs w:val="28"/>
            </w:rPr>
            <w:instrText xml:space="preserve"> </w:instrText>
          </w:r>
          <w:r>
            <w:rPr>
              <w:rFonts w:asciiTheme="minorEastAsia" w:hAnsiTheme="minorEastAsia" w:eastAsiaTheme="minorEastAsia"/>
              <w:sz w:val="22"/>
              <w:szCs w:val="28"/>
            </w:rPr>
            <w:instrText xml:space="preserve">PAGEREF _Toc200987738 \h</w:instrText>
          </w:r>
          <w:r>
            <w:rPr>
              <w:rFonts w:hint="eastAsia" w:asciiTheme="minorEastAsia" w:hAnsiTheme="minorEastAsia" w:eastAsiaTheme="minorEastAsia"/>
              <w:sz w:val="22"/>
              <w:szCs w:val="28"/>
            </w:rPr>
            <w:instrText xml:space="preserve"> </w:instrText>
          </w:r>
          <w:r>
            <w:rPr>
              <w:rFonts w:hint="eastAsia" w:asciiTheme="minorEastAsia" w:hAnsiTheme="minorEastAsia" w:eastAsiaTheme="minorEastAsia"/>
              <w:sz w:val="22"/>
              <w:szCs w:val="28"/>
            </w:rPr>
            <w:fldChar w:fldCharType="separate"/>
          </w:r>
          <w:r>
            <w:rPr>
              <w:rFonts w:asciiTheme="minorEastAsia" w:hAnsiTheme="minorEastAsia" w:eastAsiaTheme="minorEastAsia"/>
              <w:sz w:val="22"/>
              <w:szCs w:val="28"/>
            </w:rPr>
            <w:t>88</w:t>
          </w:r>
          <w:r>
            <w:rPr>
              <w:rFonts w:hint="eastAsia" w:asciiTheme="minorEastAsia" w:hAnsiTheme="minorEastAsia" w:eastAsiaTheme="minorEastAsia"/>
              <w:sz w:val="22"/>
              <w:szCs w:val="28"/>
            </w:rPr>
            <w:fldChar w:fldCharType="end"/>
          </w:r>
          <w:r>
            <w:rPr>
              <w:rFonts w:hint="eastAsia" w:asciiTheme="minorEastAsia" w:hAnsiTheme="minorEastAsia" w:eastAsiaTheme="minorEastAsia"/>
              <w:sz w:val="22"/>
              <w:szCs w:val="28"/>
            </w:rPr>
            <w:fldChar w:fldCharType="end"/>
          </w:r>
        </w:p>
        <w:p w14:paraId="67A84AE9">
          <w:pPr>
            <w:pStyle w:val="18"/>
            <w:spacing w:after="120" w:afterLines="50"/>
            <w:rPr>
              <w:rFonts w:hint="eastAsia" w:asciiTheme="minorEastAsia" w:hAnsiTheme="minorEastAsia" w:eastAsiaTheme="minorEastAsia" w:cstheme="minorBidi"/>
              <w:color w:val="auto"/>
              <w:sz w:val="20"/>
              <w:szCs w:val="21"/>
              <w14:ligatures w14:val="standardContextual"/>
            </w:rPr>
          </w:pPr>
          <w:r>
            <w:fldChar w:fldCharType="begin"/>
          </w:r>
          <w:r>
            <w:instrText xml:space="preserve"> HYPERLINK \l "_Toc200987739" </w:instrText>
          </w:r>
          <w:r>
            <w:fldChar w:fldCharType="separate"/>
          </w:r>
          <w:r>
            <w:rPr>
              <w:rStyle w:val="27"/>
              <w:rFonts w:hint="eastAsia" w:asciiTheme="minorEastAsia" w:hAnsiTheme="minorEastAsia" w:eastAsiaTheme="minorEastAsia"/>
              <w:sz w:val="22"/>
              <w:szCs w:val="28"/>
            </w:rPr>
            <w:t>附图12  博罗县资源利用上线——土地资源优先保护区划定情况</w:t>
          </w:r>
          <w:r>
            <w:rPr>
              <w:rFonts w:hint="eastAsia" w:asciiTheme="minorEastAsia" w:hAnsiTheme="minorEastAsia" w:eastAsiaTheme="minorEastAsia"/>
              <w:sz w:val="22"/>
              <w:szCs w:val="28"/>
            </w:rPr>
            <w:tab/>
          </w:r>
          <w:r>
            <w:rPr>
              <w:rFonts w:hint="eastAsia" w:asciiTheme="minorEastAsia" w:hAnsiTheme="minorEastAsia" w:eastAsiaTheme="minorEastAsia"/>
              <w:sz w:val="22"/>
              <w:szCs w:val="28"/>
            </w:rPr>
            <w:fldChar w:fldCharType="begin"/>
          </w:r>
          <w:r>
            <w:rPr>
              <w:rFonts w:hint="eastAsia" w:asciiTheme="minorEastAsia" w:hAnsiTheme="minorEastAsia" w:eastAsiaTheme="minorEastAsia"/>
              <w:sz w:val="22"/>
              <w:szCs w:val="28"/>
            </w:rPr>
            <w:instrText xml:space="preserve"> </w:instrText>
          </w:r>
          <w:r>
            <w:rPr>
              <w:rFonts w:asciiTheme="minorEastAsia" w:hAnsiTheme="minorEastAsia" w:eastAsiaTheme="minorEastAsia"/>
              <w:sz w:val="22"/>
              <w:szCs w:val="28"/>
            </w:rPr>
            <w:instrText xml:space="preserve">PAGEREF _Toc200987739 \h</w:instrText>
          </w:r>
          <w:r>
            <w:rPr>
              <w:rFonts w:hint="eastAsia" w:asciiTheme="minorEastAsia" w:hAnsiTheme="minorEastAsia" w:eastAsiaTheme="minorEastAsia"/>
              <w:sz w:val="22"/>
              <w:szCs w:val="28"/>
            </w:rPr>
            <w:instrText xml:space="preserve"> </w:instrText>
          </w:r>
          <w:r>
            <w:rPr>
              <w:rFonts w:hint="eastAsia" w:asciiTheme="minorEastAsia" w:hAnsiTheme="minorEastAsia" w:eastAsiaTheme="minorEastAsia"/>
              <w:sz w:val="22"/>
              <w:szCs w:val="28"/>
            </w:rPr>
            <w:fldChar w:fldCharType="separate"/>
          </w:r>
          <w:r>
            <w:rPr>
              <w:rFonts w:asciiTheme="minorEastAsia" w:hAnsiTheme="minorEastAsia" w:eastAsiaTheme="minorEastAsia"/>
              <w:sz w:val="22"/>
              <w:szCs w:val="28"/>
            </w:rPr>
            <w:t>89</w:t>
          </w:r>
          <w:r>
            <w:rPr>
              <w:rFonts w:hint="eastAsia" w:asciiTheme="minorEastAsia" w:hAnsiTheme="minorEastAsia" w:eastAsiaTheme="minorEastAsia"/>
              <w:sz w:val="22"/>
              <w:szCs w:val="28"/>
            </w:rPr>
            <w:fldChar w:fldCharType="end"/>
          </w:r>
          <w:r>
            <w:rPr>
              <w:rFonts w:hint="eastAsia" w:asciiTheme="minorEastAsia" w:hAnsiTheme="minorEastAsia" w:eastAsiaTheme="minorEastAsia"/>
              <w:sz w:val="22"/>
              <w:szCs w:val="28"/>
            </w:rPr>
            <w:fldChar w:fldCharType="end"/>
          </w:r>
        </w:p>
        <w:p w14:paraId="3E4EBF49">
          <w:pPr>
            <w:pStyle w:val="18"/>
            <w:spacing w:after="120" w:afterLines="50"/>
            <w:rPr>
              <w:rFonts w:hint="eastAsia" w:asciiTheme="minorEastAsia" w:hAnsiTheme="minorEastAsia" w:eastAsiaTheme="minorEastAsia" w:cstheme="minorBidi"/>
              <w:color w:val="auto"/>
              <w:sz w:val="20"/>
              <w:szCs w:val="21"/>
              <w14:ligatures w14:val="standardContextual"/>
            </w:rPr>
          </w:pPr>
          <w:r>
            <w:fldChar w:fldCharType="begin"/>
          </w:r>
          <w:r>
            <w:instrText xml:space="preserve"> HYPERLINK \l "_Toc200987740" </w:instrText>
          </w:r>
          <w:r>
            <w:fldChar w:fldCharType="separate"/>
          </w:r>
          <w:r>
            <w:rPr>
              <w:rStyle w:val="27"/>
              <w:rFonts w:hint="eastAsia" w:asciiTheme="minorEastAsia" w:hAnsiTheme="minorEastAsia" w:eastAsiaTheme="minorEastAsia"/>
              <w:sz w:val="22"/>
              <w:szCs w:val="28"/>
            </w:rPr>
            <w:t>附图13  博罗县资源利用上线——矿产资源开发敏感区划定情况</w:t>
          </w:r>
          <w:r>
            <w:rPr>
              <w:rFonts w:hint="eastAsia" w:asciiTheme="minorEastAsia" w:hAnsiTheme="minorEastAsia" w:eastAsiaTheme="minorEastAsia"/>
              <w:sz w:val="22"/>
              <w:szCs w:val="28"/>
            </w:rPr>
            <w:tab/>
          </w:r>
          <w:r>
            <w:rPr>
              <w:rFonts w:hint="eastAsia" w:asciiTheme="minorEastAsia" w:hAnsiTheme="minorEastAsia" w:eastAsiaTheme="minorEastAsia"/>
              <w:sz w:val="22"/>
              <w:szCs w:val="28"/>
            </w:rPr>
            <w:fldChar w:fldCharType="begin"/>
          </w:r>
          <w:r>
            <w:rPr>
              <w:rFonts w:hint="eastAsia" w:asciiTheme="minorEastAsia" w:hAnsiTheme="minorEastAsia" w:eastAsiaTheme="minorEastAsia"/>
              <w:sz w:val="22"/>
              <w:szCs w:val="28"/>
            </w:rPr>
            <w:instrText xml:space="preserve"> </w:instrText>
          </w:r>
          <w:r>
            <w:rPr>
              <w:rFonts w:asciiTheme="minorEastAsia" w:hAnsiTheme="minorEastAsia" w:eastAsiaTheme="minorEastAsia"/>
              <w:sz w:val="22"/>
              <w:szCs w:val="28"/>
            </w:rPr>
            <w:instrText xml:space="preserve">PAGEREF _Toc200987740 \h</w:instrText>
          </w:r>
          <w:r>
            <w:rPr>
              <w:rFonts w:hint="eastAsia" w:asciiTheme="minorEastAsia" w:hAnsiTheme="minorEastAsia" w:eastAsiaTheme="minorEastAsia"/>
              <w:sz w:val="22"/>
              <w:szCs w:val="28"/>
            </w:rPr>
            <w:instrText xml:space="preserve"> </w:instrText>
          </w:r>
          <w:r>
            <w:rPr>
              <w:rFonts w:hint="eastAsia" w:asciiTheme="minorEastAsia" w:hAnsiTheme="minorEastAsia" w:eastAsiaTheme="minorEastAsia"/>
              <w:sz w:val="22"/>
              <w:szCs w:val="28"/>
            </w:rPr>
            <w:fldChar w:fldCharType="separate"/>
          </w:r>
          <w:r>
            <w:rPr>
              <w:rFonts w:asciiTheme="minorEastAsia" w:hAnsiTheme="minorEastAsia" w:eastAsiaTheme="minorEastAsia"/>
              <w:sz w:val="22"/>
              <w:szCs w:val="28"/>
            </w:rPr>
            <w:t>92</w:t>
          </w:r>
          <w:r>
            <w:rPr>
              <w:rFonts w:hint="eastAsia" w:asciiTheme="minorEastAsia" w:hAnsiTheme="minorEastAsia" w:eastAsiaTheme="minorEastAsia"/>
              <w:sz w:val="22"/>
              <w:szCs w:val="28"/>
            </w:rPr>
            <w:fldChar w:fldCharType="end"/>
          </w:r>
          <w:r>
            <w:rPr>
              <w:rFonts w:hint="eastAsia" w:asciiTheme="minorEastAsia" w:hAnsiTheme="minorEastAsia" w:eastAsiaTheme="minorEastAsia"/>
              <w:sz w:val="22"/>
              <w:szCs w:val="28"/>
            </w:rPr>
            <w:fldChar w:fldCharType="end"/>
          </w:r>
        </w:p>
        <w:p w14:paraId="6E0D29E9">
          <w:pPr>
            <w:pStyle w:val="18"/>
            <w:spacing w:after="120" w:afterLines="50"/>
            <w:rPr>
              <w:rFonts w:hint="eastAsia" w:asciiTheme="minorEastAsia" w:hAnsiTheme="minorEastAsia" w:eastAsiaTheme="minorEastAsia" w:cstheme="minorBidi"/>
              <w:color w:val="auto"/>
              <w:sz w:val="20"/>
              <w:szCs w:val="21"/>
              <w14:ligatures w14:val="standardContextual"/>
            </w:rPr>
          </w:pPr>
          <w:r>
            <w:fldChar w:fldCharType="begin"/>
          </w:r>
          <w:r>
            <w:instrText xml:space="preserve"> HYPERLINK \l "_Toc200987741" </w:instrText>
          </w:r>
          <w:r>
            <w:fldChar w:fldCharType="separate"/>
          </w:r>
          <w:r>
            <w:rPr>
              <w:rStyle w:val="27"/>
              <w:rFonts w:hint="eastAsia" w:asciiTheme="minorEastAsia" w:hAnsiTheme="minorEastAsia" w:eastAsiaTheme="minorEastAsia"/>
              <w:sz w:val="22"/>
              <w:szCs w:val="28"/>
            </w:rPr>
            <w:t>附图14  博罗县资源利用上线——高污染燃料禁燃区划定情况</w:t>
          </w:r>
          <w:r>
            <w:rPr>
              <w:rFonts w:hint="eastAsia" w:asciiTheme="minorEastAsia" w:hAnsiTheme="minorEastAsia" w:eastAsiaTheme="minorEastAsia"/>
              <w:sz w:val="22"/>
              <w:szCs w:val="28"/>
            </w:rPr>
            <w:tab/>
          </w:r>
          <w:r>
            <w:rPr>
              <w:rFonts w:hint="eastAsia" w:asciiTheme="minorEastAsia" w:hAnsiTheme="minorEastAsia" w:eastAsiaTheme="minorEastAsia"/>
              <w:sz w:val="22"/>
              <w:szCs w:val="28"/>
            </w:rPr>
            <w:fldChar w:fldCharType="begin"/>
          </w:r>
          <w:r>
            <w:rPr>
              <w:rFonts w:hint="eastAsia" w:asciiTheme="minorEastAsia" w:hAnsiTheme="minorEastAsia" w:eastAsiaTheme="minorEastAsia"/>
              <w:sz w:val="22"/>
              <w:szCs w:val="28"/>
            </w:rPr>
            <w:instrText xml:space="preserve"> </w:instrText>
          </w:r>
          <w:r>
            <w:rPr>
              <w:rFonts w:asciiTheme="minorEastAsia" w:hAnsiTheme="minorEastAsia" w:eastAsiaTheme="minorEastAsia"/>
              <w:sz w:val="22"/>
              <w:szCs w:val="28"/>
            </w:rPr>
            <w:instrText xml:space="preserve">PAGEREF _Toc200987741 \h</w:instrText>
          </w:r>
          <w:r>
            <w:rPr>
              <w:rFonts w:hint="eastAsia" w:asciiTheme="minorEastAsia" w:hAnsiTheme="minorEastAsia" w:eastAsiaTheme="minorEastAsia"/>
              <w:sz w:val="22"/>
              <w:szCs w:val="28"/>
            </w:rPr>
            <w:instrText xml:space="preserve"> </w:instrText>
          </w:r>
          <w:r>
            <w:rPr>
              <w:rFonts w:hint="eastAsia" w:asciiTheme="minorEastAsia" w:hAnsiTheme="minorEastAsia" w:eastAsiaTheme="minorEastAsia"/>
              <w:sz w:val="22"/>
              <w:szCs w:val="28"/>
            </w:rPr>
            <w:fldChar w:fldCharType="separate"/>
          </w:r>
          <w:r>
            <w:rPr>
              <w:rFonts w:asciiTheme="minorEastAsia" w:hAnsiTheme="minorEastAsia" w:eastAsiaTheme="minorEastAsia"/>
              <w:sz w:val="22"/>
              <w:szCs w:val="28"/>
            </w:rPr>
            <w:t>93</w:t>
          </w:r>
          <w:r>
            <w:rPr>
              <w:rFonts w:hint="eastAsia" w:asciiTheme="minorEastAsia" w:hAnsiTheme="minorEastAsia" w:eastAsiaTheme="minorEastAsia"/>
              <w:sz w:val="22"/>
              <w:szCs w:val="28"/>
            </w:rPr>
            <w:fldChar w:fldCharType="end"/>
          </w:r>
          <w:r>
            <w:rPr>
              <w:rFonts w:hint="eastAsia" w:asciiTheme="minorEastAsia" w:hAnsiTheme="minorEastAsia" w:eastAsiaTheme="minorEastAsia"/>
              <w:sz w:val="22"/>
              <w:szCs w:val="28"/>
            </w:rPr>
            <w:fldChar w:fldCharType="end"/>
          </w:r>
        </w:p>
        <w:p w14:paraId="0A0DBA0C">
          <w:pPr>
            <w:pStyle w:val="18"/>
            <w:spacing w:after="120" w:afterLines="50"/>
            <w:rPr>
              <w:rFonts w:hint="eastAsia" w:asciiTheme="minorEastAsia" w:hAnsiTheme="minorEastAsia" w:eastAsiaTheme="minorEastAsia" w:cstheme="minorBidi"/>
              <w:color w:val="auto"/>
              <w:sz w:val="20"/>
              <w:szCs w:val="21"/>
              <w14:ligatures w14:val="standardContextual"/>
            </w:rPr>
          </w:pPr>
          <w:r>
            <w:fldChar w:fldCharType="begin"/>
          </w:r>
          <w:r>
            <w:instrText xml:space="preserve"> HYPERLINK \l "_Toc200987742" </w:instrText>
          </w:r>
          <w:r>
            <w:fldChar w:fldCharType="separate"/>
          </w:r>
          <w:r>
            <w:rPr>
              <w:rStyle w:val="27"/>
              <w:rFonts w:hint="eastAsia" w:asciiTheme="minorEastAsia" w:hAnsiTheme="minorEastAsia" w:eastAsiaTheme="minorEastAsia"/>
              <w:sz w:val="22"/>
              <w:szCs w:val="28"/>
            </w:rPr>
            <w:t>附图15博罗智能装备产业园园洲片区（起步区）控制性</w:t>
          </w:r>
          <w:r>
            <w:rPr>
              <w:rFonts w:hint="eastAsia" w:asciiTheme="minorEastAsia" w:hAnsiTheme="minorEastAsia" w:eastAsiaTheme="minorEastAsia"/>
              <w:sz w:val="22"/>
              <w:szCs w:val="28"/>
            </w:rPr>
            <w:tab/>
          </w:r>
          <w:r>
            <w:rPr>
              <w:rFonts w:hint="eastAsia" w:asciiTheme="minorEastAsia" w:hAnsiTheme="minorEastAsia" w:eastAsiaTheme="minorEastAsia"/>
              <w:sz w:val="22"/>
              <w:szCs w:val="28"/>
            </w:rPr>
            <w:fldChar w:fldCharType="begin"/>
          </w:r>
          <w:r>
            <w:rPr>
              <w:rFonts w:hint="eastAsia" w:asciiTheme="minorEastAsia" w:hAnsiTheme="minorEastAsia" w:eastAsiaTheme="minorEastAsia"/>
              <w:sz w:val="22"/>
              <w:szCs w:val="28"/>
            </w:rPr>
            <w:instrText xml:space="preserve"> </w:instrText>
          </w:r>
          <w:r>
            <w:rPr>
              <w:rFonts w:asciiTheme="minorEastAsia" w:hAnsiTheme="minorEastAsia" w:eastAsiaTheme="minorEastAsia"/>
              <w:sz w:val="22"/>
              <w:szCs w:val="28"/>
            </w:rPr>
            <w:instrText xml:space="preserve">PAGEREF _Toc200987742 \h</w:instrText>
          </w:r>
          <w:r>
            <w:rPr>
              <w:rFonts w:hint="eastAsia" w:asciiTheme="minorEastAsia" w:hAnsiTheme="minorEastAsia" w:eastAsiaTheme="minorEastAsia"/>
              <w:sz w:val="22"/>
              <w:szCs w:val="28"/>
            </w:rPr>
            <w:instrText xml:space="preserve"> </w:instrText>
          </w:r>
          <w:r>
            <w:rPr>
              <w:rFonts w:hint="eastAsia" w:asciiTheme="minorEastAsia" w:hAnsiTheme="minorEastAsia" w:eastAsiaTheme="minorEastAsia"/>
              <w:sz w:val="22"/>
              <w:szCs w:val="28"/>
            </w:rPr>
            <w:fldChar w:fldCharType="separate"/>
          </w:r>
          <w:r>
            <w:rPr>
              <w:rFonts w:asciiTheme="minorEastAsia" w:hAnsiTheme="minorEastAsia" w:eastAsiaTheme="minorEastAsia"/>
              <w:sz w:val="22"/>
              <w:szCs w:val="28"/>
            </w:rPr>
            <w:t>95</w:t>
          </w:r>
          <w:r>
            <w:rPr>
              <w:rFonts w:hint="eastAsia" w:asciiTheme="minorEastAsia" w:hAnsiTheme="minorEastAsia" w:eastAsiaTheme="minorEastAsia"/>
              <w:sz w:val="22"/>
              <w:szCs w:val="28"/>
            </w:rPr>
            <w:fldChar w:fldCharType="end"/>
          </w:r>
          <w:r>
            <w:rPr>
              <w:rFonts w:hint="eastAsia" w:asciiTheme="minorEastAsia" w:hAnsiTheme="minorEastAsia" w:eastAsiaTheme="minorEastAsia"/>
              <w:sz w:val="22"/>
              <w:szCs w:val="28"/>
            </w:rPr>
            <w:fldChar w:fldCharType="end"/>
          </w:r>
        </w:p>
        <w:p w14:paraId="4BA70F23">
          <w:pPr>
            <w:pStyle w:val="18"/>
            <w:spacing w:after="120" w:afterLines="50"/>
            <w:rPr>
              <w:rFonts w:hint="eastAsia" w:asciiTheme="minorEastAsia" w:hAnsiTheme="minorEastAsia" w:eastAsiaTheme="minorEastAsia" w:cstheme="minorBidi"/>
              <w:color w:val="auto"/>
              <w:sz w:val="20"/>
              <w:szCs w:val="21"/>
              <w14:ligatures w14:val="standardContextual"/>
            </w:rPr>
          </w:pPr>
          <w:r>
            <w:fldChar w:fldCharType="begin"/>
          </w:r>
          <w:r>
            <w:instrText xml:space="preserve"> HYPERLINK \l "_Toc200987743" </w:instrText>
          </w:r>
          <w:r>
            <w:fldChar w:fldCharType="separate"/>
          </w:r>
          <w:r>
            <w:rPr>
              <w:rStyle w:val="27"/>
              <w:rFonts w:hint="eastAsia" w:asciiTheme="minorEastAsia" w:hAnsiTheme="minorEastAsia" w:eastAsiaTheme="minorEastAsia"/>
              <w:sz w:val="22"/>
              <w:szCs w:val="28"/>
            </w:rPr>
            <w:t>附图16 惠州市水功能区划图</w:t>
          </w:r>
          <w:r>
            <w:rPr>
              <w:rFonts w:hint="eastAsia" w:asciiTheme="minorEastAsia" w:hAnsiTheme="minorEastAsia" w:eastAsiaTheme="minorEastAsia"/>
              <w:sz w:val="22"/>
              <w:szCs w:val="28"/>
            </w:rPr>
            <w:tab/>
          </w:r>
          <w:r>
            <w:rPr>
              <w:rFonts w:hint="eastAsia" w:asciiTheme="minorEastAsia" w:hAnsiTheme="minorEastAsia" w:eastAsiaTheme="minorEastAsia"/>
              <w:sz w:val="22"/>
              <w:szCs w:val="28"/>
            </w:rPr>
            <w:fldChar w:fldCharType="begin"/>
          </w:r>
          <w:r>
            <w:rPr>
              <w:rFonts w:hint="eastAsia" w:asciiTheme="minorEastAsia" w:hAnsiTheme="minorEastAsia" w:eastAsiaTheme="minorEastAsia"/>
              <w:sz w:val="22"/>
              <w:szCs w:val="28"/>
            </w:rPr>
            <w:instrText xml:space="preserve"> </w:instrText>
          </w:r>
          <w:r>
            <w:rPr>
              <w:rFonts w:asciiTheme="minorEastAsia" w:hAnsiTheme="minorEastAsia" w:eastAsiaTheme="minorEastAsia"/>
              <w:sz w:val="22"/>
              <w:szCs w:val="28"/>
            </w:rPr>
            <w:instrText xml:space="preserve">PAGEREF _Toc200987743 \h</w:instrText>
          </w:r>
          <w:r>
            <w:rPr>
              <w:rFonts w:hint="eastAsia" w:asciiTheme="minorEastAsia" w:hAnsiTheme="minorEastAsia" w:eastAsiaTheme="minorEastAsia"/>
              <w:sz w:val="22"/>
              <w:szCs w:val="28"/>
            </w:rPr>
            <w:instrText xml:space="preserve"> </w:instrText>
          </w:r>
          <w:r>
            <w:rPr>
              <w:rFonts w:hint="eastAsia" w:asciiTheme="minorEastAsia" w:hAnsiTheme="minorEastAsia" w:eastAsiaTheme="minorEastAsia"/>
              <w:sz w:val="22"/>
              <w:szCs w:val="28"/>
            </w:rPr>
            <w:fldChar w:fldCharType="separate"/>
          </w:r>
          <w:r>
            <w:rPr>
              <w:rFonts w:asciiTheme="minorEastAsia" w:hAnsiTheme="minorEastAsia" w:eastAsiaTheme="minorEastAsia"/>
              <w:sz w:val="22"/>
              <w:szCs w:val="28"/>
            </w:rPr>
            <w:t>97</w:t>
          </w:r>
          <w:r>
            <w:rPr>
              <w:rFonts w:hint="eastAsia" w:asciiTheme="minorEastAsia" w:hAnsiTheme="minorEastAsia" w:eastAsiaTheme="minorEastAsia"/>
              <w:sz w:val="22"/>
              <w:szCs w:val="28"/>
            </w:rPr>
            <w:fldChar w:fldCharType="end"/>
          </w:r>
          <w:r>
            <w:rPr>
              <w:rFonts w:hint="eastAsia" w:asciiTheme="minorEastAsia" w:hAnsiTheme="minorEastAsia" w:eastAsiaTheme="minorEastAsia"/>
              <w:sz w:val="22"/>
              <w:szCs w:val="28"/>
            </w:rPr>
            <w:fldChar w:fldCharType="end"/>
          </w:r>
        </w:p>
        <w:p w14:paraId="62FC9511">
          <w:pPr>
            <w:pStyle w:val="18"/>
            <w:spacing w:after="120" w:afterLines="50"/>
            <w:rPr>
              <w:rFonts w:hint="eastAsia" w:asciiTheme="minorEastAsia" w:hAnsiTheme="minorEastAsia" w:eastAsiaTheme="minorEastAsia" w:cstheme="minorBidi"/>
              <w:color w:val="auto"/>
              <w:sz w:val="20"/>
              <w:szCs w:val="21"/>
              <w14:ligatures w14:val="standardContextual"/>
            </w:rPr>
          </w:pPr>
          <w:r>
            <w:fldChar w:fldCharType="begin"/>
          </w:r>
          <w:r>
            <w:instrText xml:space="preserve"> HYPERLINK \l "_Toc200987744" </w:instrText>
          </w:r>
          <w:r>
            <w:fldChar w:fldCharType="separate"/>
          </w:r>
          <w:r>
            <w:rPr>
              <w:rStyle w:val="27"/>
              <w:rFonts w:hint="eastAsia" w:asciiTheme="minorEastAsia" w:hAnsiTheme="minorEastAsia" w:eastAsiaTheme="minorEastAsia"/>
              <w:sz w:val="22"/>
              <w:szCs w:val="28"/>
            </w:rPr>
            <w:t>附图17 惠州市博罗县空气环境质量区划图</w:t>
          </w:r>
          <w:r>
            <w:rPr>
              <w:rFonts w:hint="eastAsia" w:asciiTheme="minorEastAsia" w:hAnsiTheme="minorEastAsia" w:eastAsiaTheme="minorEastAsia"/>
              <w:sz w:val="22"/>
              <w:szCs w:val="28"/>
            </w:rPr>
            <w:tab/>
          </w:r>
          <w:r>
            <w:rPr>
              <w:rFonts w:hint="eastAsia" w:asciiTheme="minorEastAsia" w:hAnsiTheme="minorEastAsia" w:eastAsiaTheme="minorEastAsia"/>
              <w:sz w:val="22"/>
              <w:szCs w:val="28"/>
            </w:rPr>
            <w:fldChar w:fldCharType="begin"/>
          </w:r>
          <w:r>
            <w:rPr>
              <w:rFonts w:hint="eastAsia" w:asciiTheme="minorEastAsia" w:hAnsiTheme="minorEastAsia" w:eastAsiaTheme="minorEastAsia"/>
              <w:sz w:val="22"/>
              <w:szCs w:val="28"/>
            </w:rPr>
            <w:instrText xml:space="preserve"> </w:instrText>
          </w:r>
          <w:r>
            <w:rPr>
              <w:rFonts w:asciiTheme="minorEastAsia" w:hAnsiTheme="minorEastAsia" w:eastAsiaTheme="minorEastAsia"/>
              <w:sz w:val="22"/>
              <w:szCs w:val="28"/>
            </w:rPr>
            <w:instrText xml:space="preserve">PAGEREF _Toc200987744 \h</w:instrText>
          </w:r>
          <w:r>
            <w:rPr>
              <w:rFonts w:hint="eastAsia" w:asciiTheme="minorEastAsia" w:hAnsiTheme="minorEastAsia" w:eastAsiaTheme="minorEastAsia"/>
              <w:sz w:val="22"/>
              <w:szCs w:val="28"/>
            </w:rPr>
            <w:instrText xml:space="preserve"> </w:instrText>
          </w:r>
          <w:r>
            <w:rPr>
              <w:rFonts w:hint="eastAsia" w:asciiTheme="minorEastAsia" w:hAnsiTheme="minorEastAsia" w:eastAsiaTheme="minorEastAsia"/>
              <w:sz w:val="22"/>
              <w:szCs w:val="28"/>
            </w:rPr>
            <w:fldChar w:fldCharType="separate"/>
          </w:r>
          <w:r>
            <w:rPr>
              <w:rFonts w:asciiTheme="minorEastAsia" w:hAnsiTheme="minorEastAsia" w:eastAsiaTheme="minorEastAsia"/>
              <w:sz w:val="22"/>
              <w:szCs w:val="28"/>
            </w:rPr>
            <w:t>98</w:t>
          </w:r>
          <w:r>
            <w:rPr>
              <w:rFonts w:hint="eastAsia" w:asciiTheme="minorEastAsia" w:hAnsiTheme="minorEastAsia" w:eastAsiaTheme="minorEastAsia"/>
              <w:sz w:val="22"/>
              <w:szCs w:val="28"/>
            </w:rPr>
            <w:fldChar w:fldCharType="end"/>
          </w:r>
          <w:r>
            <w:rPr>
              <w:rFonts w:hint="eastAsia" w:asciiTheme="minorEastAsia" w:hAnsiTheme="minorEastAsia" w:eastAsiaTheme="minorEastAsia"/>
              <w:sz w:val="22"/>
              <w:szCs w:val="28"/>
            </w:rPr>
            <w:fldChar w:fldCharType="end"/>
          </w:r>
        </w:p>
        <w:p w14:paraId="0EEFA7D6">
          <w:pPr>
            <w:pStyle w:val="18"/>
            <w:spacing w:after="120" w:afterLines="50"/>
            <w:rPr>
              <w:rFonts w:hint="eastAsia" w:asciiTheme="minorEastAsia" w:hAnsiTheme="minorEastAsia" w:eastAsiaTheme="minorEastAsia" w:cstheme="minorBidi"/>
              <w:color w:val="auto"/>
              <w:sz w:val="20"/>
              <w:szCs w:val="21"/>
              <w14:ligatures w14:val="standardContextual"/>
            </w:rPr>
          </w:pPr>
          <w:r>
            <w:fldChar w:fldCharType="begin"/>
          </w:r>
          <w:r>
            <w:instrText xml:space="preserve"> HYPERLINK \l "_Toc200987745" </w:instrText>
          </w:r>
          <w:r>
            <w:fldChar w:fldCharType="separate"/>
          </w:r>
          <w:r>
            <w:rPr>
              <w:rStyle w:val="27"/>
              <w:rFonts w:hint="eastAsia" w:asciiTheme="minorEastAsia" w:hAnsiTheme="minorEastAsia" w:eastAsiaTheme="minorEastAsia"/>
              <w:sz w:val="22"/>
              <w:szCs w:val="28"/>
            </w:rPr>
            <w:t>附图18 项目生产车间平面布置图</w:t>
          </w:r>
          <w:r>
            <w:rPr>
              <w:rFonts w:hint="eastAsia" w:asciiTheme="minorEastAsia" w:hAnsiTheme="minorEastAsia" w:eastAsiaTheme="minorEastAsia"/>
              <w:sz w:val="22"/>
              <w:szCs w:val="28"/>
            </w:rPr>
            <w:tab/>
          </w:r>
          <w:r>
            <w:rPr>
              <w:rFonts w:hint="eastAsia" w:asciiTheme="minorEastAsia" w:hAnsiTheme="minorEastAsia" w:eastAsiaTheme="minorEastAsia"/>
              <w:sz w:val="22"/>
              <w:szCs w:val="28"/>
            </w:rPr>
            <w:fldChar w:fldCharType="begin"/>
          </w:r>
          <w:r>
            <w:rPr>
              <w:rFonts w:hint="eastAsia" w:asciiTheme="minorEastAsia" w:hAnsiTheme="minorEastAsia" w:eastAsiaTheme="minorEastAsia"/>
              <w:sz w:val="22"/>
              <w:szCs w:val="28"/>
            </w:rPr>
            <w:instrText xml:space="preserve"> </w:instrText>
          </w:r>
          <w:r>
            <w:rPr>
              <w:rFonts w:asciiTheme="minorEastAsia" w:hAnsiTheme="minorEastAsia" w:eastAsiaTheme="minorEastAsia"/>
              <w:sz w:val="22"/>
              <w:szCs w:val="28"/>
            </w:rPr>
            <w:instrText xml:space="preserve">PAGEREF _Toc200987745 \h</w:instrText>
          </w:r>
          <w:r>
            <w:rPr>
              <w:rFonts w:hint="eastAsia" w:asciiTheme="minorEastAsia" w:hAnsiTheme="minorEastAsia" w:eastAsiaTheme="minorEastAsia"/>
              <w:sz w:val="22"/>
              <w:szCs w:val="28"/>
            </w:rPr>
            <w:instrText xml:space="preserve"> </w:instrText>
          </w:r>
          <w:r>
            <w:rPr>
              <w:rFonts w:hint="eastAsia" w:asciiTheme="minorEastAsia" w:hAnsiTheme="minorEastAsia" w:eastAsiaTheme="minorEastAsia"/>
              <w:sz w:val="22"/>
              <w:szCs w:val="28"/>
            </w:rPr>
            <w:fldChar w:fldCharType="separate"/>
          </w:r>
          <w:r>
            <w:rPr>
              <w:rFonts w:asciiTheme="minorEastAsia" w:hAnsiTheme="minorEastAsia" w:eastAsiaTheme="minorEastAsia"/>
              <w:sz w:val="22"/>
              <w:szCs w:val="28"/>
            </w:rPr>
            <w:t>101</w:t>
          </w:r>
          <w:r>
            <w:rPr>
              <w:rFonts w:hint="eastAsia" w:asciiTheme="minorEastAsia" w:hAnsiTheme="minorEastAsia" w:eastAsiaTheme="minorEastAsia"/>
              <w:sz w:val="22"/>
              <w:szCs w:val="28"/>
            </w:rPr>
            <w:fldChar w:fldCharType="end"/>
          </w:r>
          <w:r>
            <w:rPr>
              <w:rFonts w:hint="eastAsia" w:asciiTheme="minorEastAsia" w:hAnsiTheme="minorEastAsia" w:eastAsiaTheme="minorEastAsia"/>
              <w:sz w:val="22"/>
              <w:szCs w:val="28"/>
            </w:rPr>
            <w:fldChar w:fldCharType="end"/>
          </w:r>
        </w:p>
        <w:p w14:paraId="1B067D7C">
          <w:pPr>
            <w:pStyle w:val="18"/>
            <w:spacing w:after="120" w:afterLines="50"/>
            <w:rPr>
              <w:rFonts w:hint="eastAsia" w:asciiTheme="minorEastAsia" w:hAnsiTheme="minorEastAsia" w:eastAsiaTheme="minorEastAsia" w:cstheme="minorBidi"/>
              <w:color w:val="auto"/>
              <w:sz w:val="20"/>
              <w:szCs w:val="21"/>
              <w14:ligatures w14:val="standardContextual"/>
            </w:rPr>
          </w:pPr>
          <w:r>
            <w:fldChar w:fldCharType="begin"/>
          </w:r>
          <w:r>
            <w:instrText xml:space="preserve"> HYPERLINK \l "_Toc200987746" </w:instrText>
          </w:r>
          <w:r>
            <w:fldChar w:fldCharType="separate"/>
          </w:r>
          <w:r>
            <w:rPr>
              <w:rStyle w:val="27"/>
              <w:rFonts w:hint="eastAsia" w:asciiTheme="minorEastAsia" w:hAnsiTheme="minorEastAsia" w:eastAsiaTheme="minorEastAsia"/>
              <w:sz w:val="22"/>
              <w:szCs w:val="28"/>
            </w:rPr>
            <w:t>附图19厂区四至及卫生防护距离包络图</w:t>
          </w:r>
          <w:r>
            <w:rPr>
              <w:rFonts w:hint="eastAsia" w:asciiTheme="minorEastAsia" w:hAnsiTheme="minorEastAsia" w:eastAsiaTheme="minorEastAsia"/>
              <w:sz w:val="22"/>
              <w:szCs w:val="28"/>
            </w:rPr>
            <w:tab/>
          </w:r>
          <w:r>
            <w:rPr>
              <w:rFonts w:hint="eastAsia" w:asciiTheme="minorEastAsia" w:hAnsiTheme="minorEastAsia" w:eastAsiaTheme="minorEastAsia"/>
              <w:sz w:val="22"/>
              <w:szCs w:val="28"/>
            </w:rPr>
            <w:fldChar w:fldCharType="begin"/>
          </w:r>
          <w:r>
            <w:rPr>
              <w:rFonts w:hint="eastAsia" w:asciiTheme="minorEastAsia" w:hAnsiTheme="minorEastAsia" w:eastAsiaTheme="minorEastAsia"/>
              <w:sz w:val="22"/>
              <w:szCs w:val="28"/>
            </w:rPr>
            <w:instrText xml:space="preserve"> </w:instrText>
          </w:r>
          <w:r>
            <w:rPr>
              <w:rFonts w:asciiTheme="minorEastAsia" w:hAnsiTheme="minorEastAsia" w:eastAsiaTheme="minorEastAsia"/>
              <w:sz w:val="22"/>
              <w:szCs w:val="28"/>
            </w:rPr>
            <w:instrText xml:space="preserve">PAGEREF _Toc200987746 \h</w:instrText>
          </w:r>
          <w:r>
            <w:rPr>
              <w:rFonts w:hint="eastAsia" w:asciiTheme="minorEastAsia" w:hAnsiTheme="minorEastAsia" w:eastAsiaTheme="minorEastAsia"/>
              <w:sz w:val="22"/>
              <w:szCs w:val="28"/>
            </w:rPr>
            <w:instrText xml:space="preserve"> </w:instrText>
          </w:r>
          <w:r>
            <w:rPr>
              <w:rFonts w:hint="eastAsia" w:asciiTheme="minorEastAsia" w:hAnsiTheme="minorEastAsia" w:eastAsiaTheme="minorEastAsia"/>
              <w:sz w:val="22"/>
              <w:szCs w:val="28"/>
            </w:rPr>
            <w:fldChar w:fldCharType="separate"/>
          </w:r>
          <w:r>
            <w:rPr>
              <w:rFonts w:asciiTheme="minorEastAsia" w:hAnsiTheme="minorEastAsia" w:eastAsiaTheme="minorEastAsia"/>
              <w:sz w:val="22"/>
              <w:szCs w:val="28"/>
            </w:rPr>
            <w:t>102</w:t>
          </w:r>
          <w:r>
            <w:rPr>
              <w:rFonts w:hint="eastAsia" w:asciiTheme="minorEastAsia" w:hAnsiTheme="minorEastAsia" w:eastAsiaTheme="minorEastAsia"/>
              <w:sz w:val="22"/>
              <w:szCs w:val="28"/>
            </w:rPr>
            <w:fldChar w:fldCharType="end"/>
          </w:r>
          <w:r>
            <w:rPr>
              <w:rFonts w:hint="eastAsia" w:asciiTheme="minorEastAsia" w:hAnsiTheme="minorEastAsia" w:eastAsiaTheme="minorEastAsia"/>
              <w:sz w:val="22"/>
              <w:szCs w:val="28"/>
            </w:rPr>
            <w:fldChar w:fldCharType="end"/>
          </w:r>
        </w:p>
        <w:p w14:paraId="6308AF20">
          <w:pPr>
            <w:pStyle w:val="18"/>
            <w:spacing w:after="120" w:afterLines="50"/>
            <w:rPr>
              <w:rFonts w:hint="eastAsia" w:asciiTheme="minorEastAsia" w:hAnsiTheme="minorEastAsia" w:eastAsiaTheme="minorEastAsia" w:cstheme="minorBidi"/>
              <w:color w:val="auto"/>
              <w:sz w:val="20"/>
              <w:szCs w:val="21"/>
              <w14:ligatures w14:val="standardContextual"/>
            </w:rPr>
          </w:pPr>
          <w:r>
            <w:fldChar w:fldCharType="begin"/>
          </w:r>
          <w:r>
            <w:instrText xml:space="preserve"> HYPERLINK \l "_Toc200987747" </w:instrText>
          </w:r>
          <w:r>
            <w:fldChar w:fldCharType="separate"/>
          </w:r>
          <w:r>
            <w:rPr>
              <w:rStyle w:val="27"/>
              <w:rFonts w:hint="eastAsia" w:asciiTheme="minorEastAsia" w:hAnsiTheme="minorEastAsia" w:eastAsiaTheme="minorEastAsia"/>
              <w:sz w:val="22"/>
              <w:szCs w:val="28"/>
            </w:rPr>
            <w:t>附图20项目现场勘察图</w:t>
          </w:r>
          <w:r>
            <w:rPr>
              <w:rFonts w:hint="eastAsia" w:asciiTheme="minorEastAsia" w:hAnsiTheme="minorEastAsia" w:eastAsiaTheme="minorEastAsia"/>
              <w:sz w:val="22"/>
              <w:szCs w:val="28"/>
            </w:rPr>
            <w:tab/>
          </w:r>
          <w:r>
            <w:rPr>
              <w:rFonts w:hint="eastAsia" w:asciiTheme="minorEastAsia" w:hAnsiTheme="minorEastAsia" w:eastAsiaTheme="minorEastAsia"/>
              <w:sz w:val="22"/>
              <w:szCs w:val="28"/>
            </w:rPr>
            <w:fldChar w:fldCharType="begin"/>
          </w:r>
          <w:r>
            <w:rPr>
              <w:rFonts w:hint="eastAsia" w:asciiTheme="minorEastAsia" w:hAnsiTheme="minorEastAsia" w:eastAsiaTheme="minorEastAsia"/>
              <w:sz w:val="22"/>
              <w:szCs w:val="28"/>
            </w:rPr>
            <w:instrText xml:space="preserve"> </w:instrText>
          </w:r>
          <w:r>
            <w:rPr>
              <w:rFonts w:asciiTheme="minorEastAsia" w:hAnsiTheme="minorEastAsia" w:eastAsiaTheme="minorEastAsia"/>
              <w:sz w:val="22"/>
              <w:szCs w:val="28"/>
            </w:rPr>
            <w:instrText xml:space="preserve">PAGEREF _Toc200987747 \h</w:instrText>
          </w:r>
          <w:r>
            <w:rPr>
              <w:rFonts w:hint="eastAsia" w:asciiTheme="minorEastAsia" w:hAnsiTheme="minorEastAsia" w:eastAsiaTheme="minorEastAsia"/>
              <w:sz w:val="22"/>
              <w:szCs w:val="28"/>
            </w:rPr>
            <w:instrText xml:space="preserve"> </w:instrText>
          </w:r>
          <w:r>
            <w:rPr>
              <w:rFonts w:hint="eastAsia" w:asciiTheme="minorEastAsia" w:hAnsiTheme="minorEastAsia" w:eastAsiaTheme="minorEastAsia"/>
              <w:sz w:val="22"/>
              <w:szCs w:val="28"/>
            </w:rPr>
            <w:fldChar w:fldCharType="separate"/>
          </w:r>
          <w:r>
            <w:rPr>
              <w:rFonts w:asciiTheme="minorEastAsia" w:hAnsiTheme="minorEastAsia" w:eastAsiaTheme="minorEastAsia"/>
              <w:sz w:val="22"/>
              <w:szCs w:val="28"/>
            </w:rPr>
            <w:t>105</w:t>
          </w:r>
          <w:r>
            <w:rPr>
              <w:rFonts w:hint="eastAsia" w:asciiTheme="minorEastAsia" w:hAnsiTheme="minorEastAsia" w:eastAsiaTheme="minorEastAsia"/>
              <w:sz w:val="22"/>
              <w:szCs w:val="28"/>
            </w:rPr>
            <w:fldChar w:fldCharType="end"/>
          </w:r>
          <w:r>
            <w:rPr>
              <w:rFonts w:hint="eastAsia" w:asciiTheme="minorEastAsia" w:hAnsiTheme="minorEastAsia" w:eastAsiaTheme="minorEastAsia"/>
              <w:sz w:val="22"/>
              <w:szCs w:val="28"/>
            </w:rPr>
            <w:fldChar w:fldCharType="end"/>
          </w:r>
        </w:p>
        <w:p w14:paraId="5F33377D">
          <w:pPr>
            <w:pStyle w:val="18"/>
            <w:spacing w:after="120" w:afterLines="50"/>
            <w:rPr>
              <w:rFonts w:hint="eastAsia" w:asciiTheme="minorEastAsia" w:hAnsiTheme="minorEastAsia" w:eastAsiaTheme="minorEastAsia" w:cstheme="minorBidi"/>
              <w:color w:val="auto"/>
              <w:sz w:val="20"/>
              <w:szCs w:val="21"/>
              <w14:ligatures w14:val="standardContextual"/>
            </w:rPr>
          </w:pPr>
          <w:r>
            <w:fldChar w:fldCharType="begin"/>
          </w:r>
          <w:r>
            <w:instrText xml:space="preserve"> HYPERLINK \l "_Toc200987748" </w:instrText>
          </w:r>
          <w:r>
            <w:fldChar w:fldCharType="separate"/>
          </w:r>
          <w:r>
            <w:rPr>
              <w:rStyle w:val="27"/>
              <w:rFonts w:hint="eastAsia" w:asciiTheme="minorEastAsia" w:hAnsiTheme="minorEastAsia" w:eastAsiaTheme="minorEastAsia"/>
              <w:sz w:val="22"/>
              <w:szCs w:val="28"/>
            </w:rPr>
            <w:t>附图21  项目所在区域污水管网图</w:t>
          </w:r>
          <w:r>
            <w:rPr>
              <w:rFonts w:hint="eastAsia" w:asciiTheme="minorEastAsia" w:hAnsiTheme="minorEastAsia" w:eastAsiaTheme="minorEastAsia"/>
              <w:sz w:val="22"/>
              <w:szCs w:val="28"/>
            </w:rPr>
            <w:tab/>
          </w:r>
          <w:r>
            <w:rPr>
              <w:rFonts w:hint="eastAsia" w:asciiTheme="minorEastAsia" w:hAnsiTheme="minorEastAsia" w:eastAsiaTheme="minorEastAsia"/>
              <w:sz w:val="22"/>
              <w:szCs w:val="28"/>
            </w:rPr>
            <w:fldChar w:fldCharType="begin"/>
          </w:r>
          <w:r>
            <w:rPr>
              <w:rFonts w:hint="eastAsia" w:asciiTheme="minorEastAsia" w:hAnsiTheme="minorEastAsia" w:eastAsiaTheme="minorEastAsia"/>
              <w:sz w:val="22"/>
              <w:szCs w:val="28"/>
            </w:rPr>
            <w:instrText xml:space="preserve"> </w:instrText>
          </w:r>
          <w:r>
            <w:rPr>
              <w:rFonts w:asciiTheme="minorEastAsia" w:hAnsiTheme="minorEastAsia" w:eastAsiaTheme="minorEastAsia"/>
              <w:sz w:val="22"/>
              <w:szCs w:val="28"/>
            </w:rPr>
            <w:instrText xml:space="preserve">PAGEREF _Toc200987748 \h</w:instrText>
          </w:r>
          <w:r>
            <w:rPr>
              <w:rFonts w:hint="eastAsia" w:asciiTheme="minorEastAsia" w:hAnsiTheme="minorEastAsia" w:eastAsiaTheme="minorEastAsia"/>
              <w:sz w:val="22"/>
              <w:szCs w:val="28"/>
            </w:rPr>
            <w:instrText xml:space="preserve"> </w:instrText>
          </w:r>
          <w:r>
            <w:rPr>
              <w:rFonts w:hint="eastAsia" w:asciiTheme="minorEastAsia" w:hAnsiTheme="minorEastAsia" w:eastAsiaTheme="minorEastAsia"/>
              <w:sz w:val="22"/>
              <w:szCs w:val="28"/>
            </w:rPr>
            <w:fldChar w:fldCharType="separate"/>
          </w:r>
          <w:r>
            <w:rPr>
              <w:rFonts w:asciiTheme="minorEastAsia" w:hAnsiTheme="minorEastAsia" w:eastAsiaTheme="minorEastAsia"/>
              <w:sz w:val="22"/>
              <w:szCs w:val="28"/>
            </w:rPr>
            <w:t>106</w:t>
          </w:r>
          <w:r>
            <w:rPr>
              <w:rFonts w:hint="eastAsia" w:asciiTheme="minorEastAsia" w:hAnsiTheme="minorEastAsia" w:eastAsiaTheme="minorEastAsia"/>
              <w:sz w:val="22"/>
              <w:szCs w:val="28"/>
            </w:rPr>
            <w:fldChar w:fldCharType="end"/>
          </w:r>
          <w:r>
            <w:rPr>
              <w:rFonts w:hint="eastAsia" w:asciiTheme="minorEastAsia" w:hAnsiTheme="minorEastAsia" w:eastAsiaTheme="minorEastAsia"/>
              <w:sz w:val="22"/>
              <w:szCs w:val="28"/>
            </w:rPr>
            <w:fldChar w:fldCharType="end"/>
          </w:r>
        </w:p>
        <w:p w14:paraId="4AE4A095">
          <w:pPr>
            <w:pStyle w:val="18"/>
            <w:spacing w:after="120" w:afterLines="50"/>
            <w:rPr>
              <w:rFonts w:hint="eastAsia" w:asciiTheme="minorEastAsia" w:hAnsiTheme="minorEastAsia" w:eastAsiaTheme="minorEastAsia" w:cstheme="minorBidi"/>
              <w:color w:val="auto"/>
              <w:sz w:val="20"/>
              <w:szCs w:val="21"/>
              <w14:ligatures w14:val="standardContextual"/>
            </w:rPr>
          </w:pPr>
          <w:r>
            <w:fldChar w:fldCharType="begin"/>
          </w:r>
          <w:r>
            <w:instrText xml:space="preserve"> HYPERLINK \l "_Toc200987749" </w:instrText>
          </w:r>
          <w:r>
            <w:fldChar w:fldCharType="separate"/>
          </w:r>
          <w:r>
            <w:rPr>
              <w:rStyle w:val="27"/>
              <w:rFonts w:hint="eastAsia" w:asciiTheme="minorEastAsia" w:hAnsiTheme="minorEastAsia" w:eastAsiaTheme="minorEastAsia"/>
              <w:sz w:val="22"/>
              <w:szCs w:val="28"/>
            </w:rPr>
            <w:t>附件1：营业执照</w:t>
          </w:r>
          <w:r>
            <w:rPr>
              <w:rFonts w:hint="eastAsia" w:asciiTheme="minorEastAsia" w:hAnsiTheme="minorEastAsia" w:eastAsiaTheme="minorEastAsia"/>
              <w:sz w:val="22"/>
              <w:szCs w:val="28"/>
            </w:rPr>
            <w:tab/>
          </w:r>
          <w:r>
            <w:rPr>
              <w:rFonts w:hint="eastAsia" w:asciiTheme="minorEastAsia" w:hAnsiTheme="minorEastAsia" w:eastAsiaTheme="minorEastAsia"/>
              <w:sz w:val="22"/>
              <w:szCs w:val="28"/>
            </w:rPr>
            <w:fldChar w:fldCharType="begin"/>
          </w:r>
          <w:r>
            <w:rPr>
              <w:rFonts w:hint="eastAsia" w:asciiTheme="minorEastAsia" w:hAnsiTheme="minorEastAsia" w:eastAsiaTheme="minorEastAsia"/>
              <w:sz w:val="22"/>
              <w:szCs w:val="28"/>
            </w:rPr>
            <w:instrText xml:space="preserve"> </w:instrText>
          </w:r>
          <w:r>
            <w:rPr>
              <w:rFonts w:asciiTheme="minorEastAsia" w:hAnsiTheme="minorEastAsia" w:eastAsiaTheme="minorEastAsia"/>
              <w:sz w:val="22"/>
              <w:szCs w:val="28"/>
            </w:rPr>
            <w:instrText xml:space="preserve">PAGEREF _Toc200987749 \h</w:instrText>
          </w:r>
          <w:r>
            <w:rPr>
              <w:rFonts w:hint="eastAsia" w:asciiTheme="minorEastAsia" w:hAnsiTheme="minorEastAsia" w:eastAsiaTheme="minorEastAsia"/>
              <w:sz w:val="22"/>
              <w:szCs w:val="28"/>
            </w:rPr>
            <w:instrText xml:space="preserve"> </w:instrText>
          </w:r>
          <w:r>
            <w:rPr>
              <w:rFonts w:hint="eastAsia" w:asciiTheme="minorEastAsia" w:hAnsiTheme="minorEastAsia" w:eastAsiaTheme="minorEastAsia"/>
              <w:sz w:val="22"/>
              <w:szCs w:val="28"/>
            </w:rPr>
            <w:fldChar w:fldCharType="separate"/>
          </w:r>
          <w:r>
            <w:rPr>
              <w:rFonts w:asciiTheme="minorEastAsia" w:hAnsiTheme="minorEastAsia" w:eastAsiaTheme="minorEastAsia"/>
              <w:sz w:val="22"/>
              <w:szCs w:val="28"/>
            </w:rPr>
            <w:t>107</w:t>
          </w:r>
          <w:r>
            <w:rPr>
              <w:rFonts w:hint="eastAsia" w:asciiTheme="minorEastAsia" w:hAnsiTheme="minorEastAsia" w:eastAsiaTheme="minorEastAsia"/>
              <w:sz w:val="22"/>
              <w:szCs w:val="28"/>
            </w:rPr>
            <w:fldChar w:fldCharType="end"/>
          </w:r>
          <w:r>
            <w:rPr>
              <w:rFonts w:hint="eastAsia" w:asciiTheme="minorEastAsia" w:hAnsiTheme="minorEastAsia" w:eastAsiaTheme="minorEastAsia"/>
              <w:sz w:val="22"/>
              <w:szCs w:val="28"/>
            </w:rPr>
            <w:fldChar w:fldCharType="end"/>
          </w:r>
        </w:p>
        <w:p w14:paraId="3FF15CBB">
          <w:pPr>
            <w:pStyle w:val="18"/>
            <w:spacing w:after="120" w:afterLines="50"/>
            <w:rPr>
              <w:rFonts w:hint="eastAsia" w:asciiTheme="minorEastAsia" w:hAnsiTheme="minorEastAsia" w:eastAsiaTheme="minorEastAsia" w:cstheme="minorBidi"/>
              <w:color w:val="auto"/>
              <w:sz w:val="20"/>
              <w:szCs w:val="21"/>
              <w14:ligatures w14:val="standardContextual"/>
            </w:rPr>
          </w:pPr>
          <w:r>
            <w:fldChar w:fldCharType="begin"/>
          </w:r>
          <w:r>
            <w:instrText xml:space="preserve"> HYPERLINK \l "_Toc200987750" </w:instrText>
          </w:r>
          <w:r>
            <w:fldChar w:fldCharType="separate"/>
          </w:r>
          <w:r>
            <w:rPr>
              <w:rStyle w:val="27"/>
              <w:rFonts w:hint="eastAsia" w:asciiTheme="minorEastAsia" w:hAnsiTheme="minorEastAsia" w:eastAsiaTheme="minorEastAsia"/>
              <w:sz w:val="22"/>
              <w:szCs w:val="28"/>
            </w:rPr>
            <w:t>附件2：法人身份证</w:t>
          </w:r>
          <w:r>
            <w:rPr>
              <w:rFonts w:hint="eastAsia" w:asciiTheme="minorEastAsia" w:hAnsiTheme="minorEastAsia" w:eastAsiaTheme="minorEastAsia"/>
              <w:sz w:val="22"/>
              <w:szCs w:val="28"/>
            </w:rPr>
            <w:tab/>
          </w:r>
          <w:r>
            <w:rPr>
              <w:rFonts w:hint="eastAsia" w:asciiTheme="minorEastAsia" w:hAnsiTheme="minorEastAsia" w:eastAsiaTheme="minorEastAsia"/>
              <w:sz w:val="22"/>
              <w:szCs w:val="28"/>
            </w:rPr>
            <w:fldChar w:fldCharType="begin"/>
          </w:r>
          <w:r>
            <w:rPr>
              <w:rFonts w:hint="eastAsia" w:asciiTheme="minorEastAsia" w:hAnsiTheme="minorEastAsia" w:eastAsiaTheme="minorEastAsia"/>
              <w:sz w:val="22"/>
              <w:szCs w:val="28"/>
            </w:rPr>
            <w:instrText xml:space="preserve"> </w:instrText>
          </w:r>
          <w:r>
            <w:rPr>
              <w:rFonts w:asciiTheme="minorEastAsia" w:hAnsiTheme="minorEastAsia" w:eastAsiaTheme="minorEastAsia"/>
              <w:sz w:val="22"/>
              <w:szCs w:val="28"/>
            </w:rPr>
            <w:instrText xml:space="preserve">PAGEREF _Toc200987750 \h</w:instrText>
          </w:r>
          <w:r>
            <w:rPr>
              <w:rFonts w:hint="eastAsia" w:asciiTheme="minorEastAsia" w:hAnsiTheme="minorEastAsia" w:eastAsiaTheme="minorEastAsia"/>
              <w:sz w:val="22"/>
              <w:szCs w:val="28"/>
            </w:rPr>
            <w:instrText xml:space="preserve"> </w:instrText>
          </w:r>
          <w:r>
            <w:rPr>
              <w:rFonts w:hint="eastAsia" w:asciiTheme="minorEastAsia" w:hAnsiTheme="minorEastAsia" w:eastAsiaTheme="minorEastAsia"/>
              <w:sz w:val="22"/>
              <w:szCs w:val="28"/>
            </w:rPr>
            <w:fldChar w:fldCharType="separate"/>
          </w:r>
          <w:r>
            <w:rPr>
              <w:rFonts w:asciiTheme="minorEastAsia" w:hAnsiTheme="minorEastAsia" w:eastAsiaTheme="minorEastAsia"/>
              <w:sz w:val="22"/>
              <w:szCs w:val="28"/>
            </w:rPr>
            <w:t>108</w:t>
          </w:r>
          <w:r>
            <w:rPr>
              <w:rFonts w:hint="eastAsia" w:asciiTheme="minorEastAsia" w:hAnsiTheme="minorEastAsia" w:eastAsiaTheme="minorEastAsia"/>
              <w:sz w:val="22"/>
              <w:szCs w:val="28"/>
            </w:rPr>
            <w:fldChar w:fldCharType="end"/>
          </w:r>
          <w:r>
            <w:rPr>
              <w:rFonts w:hint="eastAsia" w:asciiTheme="minorEastAsia" w:hAnsiTheme="minorEastAsia" w:eastAsiaTheme="minorEastAsia"/>
              <w:sz w:val="22"/>
              <w:szCs w:val="28"/>
            </w:rPr>
            <w:fldChar w:fldCharType="end"/>
          </w:r>
        </w:p>
        <w:p w14:paraId="297F3B4A">
          <w:pPr>
            <w:pStyle w:val="18"/>
            <w:spacing w:after="120" w:afterLines="50"/>
            <w:rPr>
              <w:rFonts w:hint="eastAsia" w:asciiTheme="minorEastAsia" w:hAnsiTheme="minorEastAsia" w:eastAsiaTheme="minorEastAsia" w:cstheme="minorBidi"/>
              <w:color w:val="auto"/>
              <w:sz w:val="20"/>
              <w:szCs w:val="21"/>
              <w14:ligatures w14:val="standardContextual"/>
            </w:rPr>
          </w:pPr>
          <w:r>
            <w:fldChar w:fldCharType="begin"/>
          </w:r>
          <w:r>
            <w:instrText xml:space="preserve"> HYPERLINK \l "_Toc200987751" </w:instrText>
          </w:r>
          <w:r>
            <w:fldChar w:fldCharType="separate"/>
          </w:r>
          <w:r>
            <w:rPr>
              <w:rStyle w:val="27"/>
              <w:rFonts w:hint="eastAsia" w:asciiTheme="minorEastAsia" w:hAnsiTheme="minorEastAsia" w:eastAsiaTheme="minorEastAsia"/>
              <w:sz w:val="22"/>
              <w:szCs w:val="28"/>
            </w:rPr>
            <w:t>附件3：房产证明（工业厂房买卖合同）</w:t>
          </w:r>
          <w:r>
            <w:rPr>
              <w:rFonts w:hint="eastAsia" w:asciiTheme="minorEastAsia" w:hAnsiTheme="minorEastAsia" w:eastAsiaTheme="minorEastAsia"/>
              <w:sz w:val="22"/>
              <w:szCs w:val="28"/>
            </w:rPr>
            <w:tab/>
          </w:r>
          <w:r>
            <w:rPr>
              <w:rFonts w:hint="eastAsia" w:asciiTheme="minorEastAsia" w:hAnsiTheme="minorEastAsia" w:eastAsiaTheme="minorEastAsia"/>
              <w:sz w:val="22"/>
              <w:szCs w:val="28"/>
            </w:rPr>
            <w:fldChar w:fldCharType="begin"/>
          </w:r>
          <w:r>
            <w:rPr>
              <w:rFonts w:hint="eastAsia" w:asciiTheme="minorEastAsia" w:hAnsiTheme="minorEastAsia" w:eastAsiaTheme="minorEastAsia"/>
              <w:sz w:val="22"/>
              <w:szCs w:val="28"/>
            </w:rPr>
            <w:instrText xml:space="preserve"> </w:instrText>
          </w:r>
          <w:r>
            <w:rPr>
              <w:rFonts w:asciiTheme="minorEastAsia" w:hAnsiTheme="minorEastAsia" w:eastAsiaTheme="minorEastAsia"/>
              <w:sz w:val="22"/>
              <w:szCs w:val="28"/>
            </w:rPr>
            <w:instrText xml:space="preserve">PAGEREF _Toc200987751 \h</w:instrText>
          </w:r>
          <w:r>
            <w:rPr>
              <w:rFonts w:hint="eastAsia" w:asciiTheme="minorEastAsia" w:hAnsiTheme="minorEastAsia" w:eastAsiaTheme="minorEastAsia"/>
              <w:sz w:val="22"/>
              <w:szCs w:val="28"/>
            </w:rPr>
            <w:instrText xml:space="preserve"> </w:instrText>
          </w:r>
          <w:r>
            <w:rPr>
              <w:rFonts w:hint="eastAsia" w:asciiTheme="minorEastAsia" w:hAnsiTheme="minorEastAsia" w:eastAsiaTheme="minorEastAsia"/>
              <w:sz w:val="22"/>
              <w:szCs w:val="28"/>
            </w:rPr>
            <w:fldChar w:fldCharType="separate"/>
          </w:r>
          <w:r>
            <w:rPr>
              <w:rFonts w:asciiTheme="minorEastAsia" w:hAnsiTheme="minorEastAsia" w:eastAsiaTheme="minorEastAsia"/>
              <w:sz w:val="22"/>
              <w:szCs w:val="28"/>
            </w:rPr>
            <w:t>110</w:t>
          </w:r>
          <w:r>
            <w:rPr>
              <w:rFonts w:hint="eastAsia" w:asciiTheme="minorEastAsia" w:hAnsiTheme="minorEastAsia" w:eastAsiaTheme="minorEastAsia"/>
              <w:sz w:val="22"/>
              <w:szCs w:val="28"/>
            </w:rPr>
            <w:fldChar w:fldCharType="end"/>
          </w:r>
          <w:r>
            <w:rPr>
              <w:rFonts w:hint="eastAsia" w:asciiTheme="minorEastAsia" w:hAnsiTheme="minorEastAsia" w:eastAsiaTheme="minorEastAsia"/>
              <w:sz w:val="22"/>
              <w:szCs w:val="28"/>
            </w:rPr>
            <w:fldChar w:fldCharType="end"/>
          </w:r>
        </w:p>
        <w:p w14:paraId="1112590E">
          <w:pPr>
            <w:pStyle w:val="18"/>
            <w:spacing w:after="120" w:afterLines="50"/>
            <w:rPr>
              <w:rFonts w:hint="eastAsia" w:asciiTheme="minorEastAsia" w:hAnsiTheme="minorEastAsia" w:eastAsiaTheme="minorEastAsia" w:cstheme="minorBidi"/>
              <w:color w:val="auto"/>
              <w:sz w:val="20"/>
              <w:szCs w:val="21"/>
              <w14:ligatures w14:val="standardContextual"/>
            </w:rPr>
          </w:pPr>
          <w:r>
            <w:fldChar w:fldCharType="begin"/>
          </w:r>
          <w:r>
            <w:instrText xml:space="preserve"> HYPERLINK \l "_Toc200987752" </w:instrText>
          </w:r>
          <w:r>
            <w:fldChar w:fldCharType="separate"/>
          </w:r>
          <w:r>
            <w:rPr>
              <w:rStyle w:val="27"/>
              <w:rFonts w:hint="eastAsia" w:asciiTheme="minorEastAsia" w:hAnsiTheme="minorEastAsia" w:eastAsiaTheme="minorEastAsia"/>
              <w:sz w:val="22"/>
              <w:szCs w:val="28"/>
            </w:rPr>
            <w:t>附件4：建设工程规划许可证</w:t>
          </w:r>
          <w:r>
            <w:rPr>
              <w:rFonts w:hint="eastAsia" w:asciiTheme="minorEastAsia" w:hAnsiTheme="minorEastAsia" w:eastAsiaTheme="minorEastAsia"/>
              <w:sz w:val="22"/>
              <w:szCs w:val="28"/>
            </w:rPr>
            <w:tab/>
          </w:r>
          <w:r>
            <w:rPr>
              <w:rFonts w:hint="eastAsia" w:asciiTheme="minorEastAsia" w:hAnsiTheme="minorEastAsia" w:eastAsiaTheme="minorEastAsia"/>
              <w:sz w:val="22"/>
              <w:szCs w:val="28"/>
            </w:rPr>
            <w:fldChar w:fldCharType="begin"/>
          </w:r>
          <w:r>
            <w:rPr>
              <w:rFonts w:hint="eastAsia" w:asciiTheme="minorEastAsia" w:hAnsiTheme="minorEastAsia" w:eastAsiaTheme="minorEastAsia"/>
              <w:sz w:val="22"/>
              <w:szCs w:val="28"/>
            </w:rPr>
            <w:instrText xml:space="preserve"> </w:instrText>
          </w:r>
          <w:r>
            <w:rPr>
              <w:rFonts w:asciiTheme="minorEastAsia" w:hAnsiTheme="minorEastAsia" w:eastAsiaTheme="minorEastAsia"/>
              <w:sz w:val="22"/>
              <w:szCs w:val="28"/>
            </w:rPr>
            <w:instrText xml:space="preserve">PAGEREF _Toc200987752 \h</w:instrText>
          </w:r>
          <w:r>
            <w:rPr>
              <w:rFonts w:hint="eastAsia" w:asciiTheme="minorEastAsia" w:hAnsiTheme="minorEastAsia" w:eastAsiaTheme="minorEastAsia"/>
              <w:sz w:val="22"/>
              <w:szCs w:val="28"/>
            </w:rPr>
            <w:instrText xml:space="preserve"> </w:instrText>
          </w:r>
          <w:r>
            <w:rPr>
              <w:rFonts w:hint="eastAsia" w:asciiTheme="minorEastAsia" w:hAnsiTheme="minorEastAsia" w:eastAsiaTheme="minorEastAsia"/>
              <w:sz w:val="22"/>
              <w:szCs w:val="28"/>
            </w:rPr>
            <w:fldChar w:fldCharType="separate"/>
          </w:r>
          <w:r>
            <w:rPr>
              <w:rFonts w:asciiTheme="minorEastAsia" w:hAnsiTheme="minorEastAsia" w:eastAsiaTheme="minorEastAsia"/>
              <w:sz w:val="22"/>
              <w:szCs w:val="28"/>
            </w:rPr>
            <w:t>130</w:t>
          </w:r>
          <w:r>
            <w:rPr>
              <w:rFonts w:hint="eastAsia" w:asciiTheme="minorEastAsia" w:hAnsiTheme="minorEastAsia" w:eastAsiaTheme="minorEastAsia"/>
              <w:sz w:val="22"/>
              <w:szCs w:val="28"/>
            </w:rPr>
            <w:fldChar w:fldCharType="end"/>
          </w:r>
          <w:r>
            <w:rPr>
              <w:rFonts w:hint="eastAsia" w:asciiTheme="minorEastAsia" w:hAnsiTheme="minorEastAsia" w:eastAsiaTheme="minorEastAsia"/>
              <w:sz w:val="22"/>
              <w:szCs w:val="28"/>
            </w:rPr>
            <w:fldChar w:fldCharType="end"/>
          </w:r>
        </w:p>
        <w:p w14:paraId="07EF3965">
          <w:pPr>
            <w:pStyle w:val="18"/>
            <w:spacing w:after="120" w:afterLines="50"/>
            <w:rPr>
              <w:rFonts w:hint="eastAsia" w:asciiTheme="minorEastAsia" w:hAnsiTheme="minorEastAsia" w:eastAsiaTheme="minorEastAsia" w:cstheme="minorBidi"/>
              <w:color w:val="auto"/>
              <w:sz w:val="20"/>
              <w:szCs w:val="21"/>
              <w14:ligatures w14:val="standardContextual"/>
            </w:rPr>
          </w:pPr>
          <w:r>
            <w:fldChar w:fldCharType="begin"/>
          </w:r>
          <w:r>
            <w:instrText xml:space="preserve"> HYPERLINK \l "_Toc200987753" </w:instrText>
          </w:r>
          <w:r>
            <w:fldChar w:fldCharType="separate"/>
          </w:r>
          <w:r>
            <w:rPr>
              <w:rStyle w:val="27"/>
              <w:rFonts w:hint="eastAsia" w:asciiTheme="minorEastAsia" w:hAnsiTheme="minorEastAsia" w:eastAsiaTheme="minorEastAsia"/>
              <w:sz w:val="22"/>
              <w:szCs w:val="28"/>
            </w:rPr>
            <w:t>附件5：不动产权证书</w:t>
          </w:r>
          <w:r>
            <w:rPr>
              <w:rFonts w:hint="eastAsia" w:asciiTheme="minorEastAsia" w:hAnsiTheme="minorEastAsia" w:eastAsiaTheme="minorEastAsia"/>
              <w:sz w:val="22"/>
              <w:szCs w:val="28"/>
            </w:rPr>
            <w:tab/>
          </w:r>
          <w:r>
            <w:rPr>
              <w:rFonts w:hint="eastAsia" w:asciiTheme="minorEastAsia" w:hAnsiTheme="minorEastAsia" w:eastAsiaTheme="minorEastAsia"/>
              <w:sz w:val="22"/>
              <w:szCs w:val="28"/>
            </w:rPr>
            <w:fldChar w:fldCharType="begin"/>
          </w:r>
          <w:r>
            <w:rPr>
              <w:rFonts w:hint="eastAsia" w:asciiTheme="minorEastAsia" w:hAnsiTheme="minorEastAsia" w:eastAsiaTheme="minorEastAsia"/>
              <w:sz w:val="22"/>
              <w:szCs w:val="28"/>
            </w:rPr>
            <w:instrText xml:space="preserve"> </w:instrText>
          </w:r>
          <w:r>
            <w:rPr>
              <w:rFonts w:asciiTheme="minorEastAsia" w:hAnsiTheme="minorEastAsia" w:eastAsiaTheme="minorEastAsia"/>
              <w:sz w:val="22"/>
              <w:szCs w:val="28"/>
            </w:rPr>
            <w:instrText xml:space="preserve">PAGEREF _Toc200987753 \h</w:instrText>
          </w:r>
          <w:r>
            <w:rPr>
              <w:rFonts w:hint="eastAsia" w:asciiTheme="minorEastAsia" w:hAnsiTheme="minorEastAsia" w:eastAsiaTheme="minorEastAsia"/>
              <w:sz w:val="22"/>
              <w:szCs w:val="28"/>
            </w:rPr>
            <w:instrText xml:space="preserve"> </w:instrText>
          </w:r>
          <w:r>
            <w:rPr>
              <w:rFonts w:hint="eastAsia" w:asciiTheme="minorEastAsia" w:hAnsiTheme="minorEastAsia" w:eastAsiaTheme="minorEastAsia"/>
              <w:sz w:val="22"/>
              <w:szCs w:val="28"/>
            </w:rPr>
            <w:fldChar w:fldCharType="separate"/>
          </w:r>
          <w:r>
            <w:rPr>
              <w:rFonts w:asciiTheme="minorEastAsia" w:hAnsiTheme="minorEastAsia" w:eastAsiaTheme="minorEastAsia"/>
              <w:sz w:val="22"/>
              <w:szCs w:val="28"/>
            </w:rPr>
            <w:t>131</w:t>
          </w:r>
          <w:r>
            <w:rPr>
              <w:rFonts w:hint="eastAsia" w:asciiTheme="minorEastAsia" w:hAnsiTheme="minorEastAsia" w:eastAsiaTheme="minorEastAsia"/>
              <w:sz w:val="22"/>
              <w:szCs w:val="28"/>
            </w:rPr>
            <w:fldChar w:fldCharType="end"/>
          </w:r>
          <w:r>
            <w:rPr>
              <w:rFonts w:hint="eastAsia" w:asciiTheme="minorEastAsia" w:hAnsiTheme="minorEastAsia" w:eastAsiaTheme="minorEastAsia"/>
              <w:sz w:val="22"/>
              <w:szCs w:val="28"/>
            </w:rPr>
            <w:fldChar w:fldCharType="end"/>
          </w:r>
        </w:p>
        <w:p w14:paraId="7F7979DB">
          <w:pPr>
            <w:pStyle w:val="18"/>
            <w:spacing w:after="120" w:afterLines="50"/>
            <w:rPr>
              <w:rFonts w:hint="eastAsia" w:asciiTheme="minorEastAsia" w:hAnsiTheme="minorEastAsia" w:eastAsiaTheme="minorEastAsia" w:cstheme="minorBidi"/>
              <w:color w:val="auto"/>
              <w:sz w:val="20"/>
              <w:szCs w:val="21"/>
              <w14:ligatures w14:val="standardContextual"/>
            </w:rPr>
          </w:pPr>
          <w:r>
            <w:fldChar w:fldCharType="begin"/>
          </w:r>
          <w:r>
            <w:instrText xml:space="preserve"> HYPERLINK \l "_Toc200987754" </w:instrText>
          </w:r>
          <w:r>
            <w:fldChar w:fldCharType="separate"/>
          </w:r>
          <w:r>
            <w:rPr>
              <w:rStyle w:val="27"/>
              <w:rFonts w:hint="eastAsia" w:asciiTheme="minorEastAsia" w:hAnsiTheme="minorEastAsia" w:eastAsiaTheme="minorEastAsia"/>
              <w:sz w:val="22"/>
              <w:szCs w:val="28"/>
            </w:rPr>
            <w:t>附件6：广东省投资项目代码</w:t>
          </w:r>
          <w:r>
            <w:rPr>
              <w:rFonts w:hint="eastAsia" w:asciiTheme="minorEastAsia" w:hAnsiTheme="minorEastAsia" w:eastAsiaTheme="minorEastAsia"/>
              <w:sz w:val="22"/>
              <w:szCs w:val="28"/>
            </w:rPr>
            <w:tab/>
          </w:r>
          <w:r>
            <w:rPr>
              <w:rFonts w:hint="eastAsia" w:asciiTheme="minorEastAsia" w:hAnsiTheme="minorEastAsia" w:eastAsiaTheme="minorEastAsia"/>
              <w:sz w:val="22"/>
              <w:szCs w:val="28"/>
            </w:rPr>
            <w:fldChar w:fldCharType="begin"/>
          </w:r>
          <w:r>
            <w:rPr>
              <w:rFonts w:hint="eastAsia" w:asciiTheme="minorEastAsia" w:hAnsiTheme="minorEastAsia" w:eastAsiaTheme="minorEastAsia"/>
              <w:sz w:val="22"/>
              <w:szCs w:val="28"/>
            </w:rPr>
            <w:instrText xml:space="preserve"> </w:instrText>
          </w:r>
          <w:r>
            <w:rPr>
              <w:rFonts w:asciiTheme="minorEastAsia" w:hAnsiTheme="minorEastAsia" w:eastAsiaTheme="minorEastAsia"/>
              <w:sz w:val="22"/>
              <w:szCs w:val="28"/>
            </w:rPr>
            <w:instrText xml:space="preserve">PAGEREF _Toc200987754 \h</w:instrText>
          </w:r>
          <w:r>
            <w:rPr>
              <w:rFonts w:hint="eastAsia" w:asciiTheme="minorEastAsia" w:hAnsiTheme="minorEastAsia" w:eastAsiaTheme="minorEastAsia"/>
              <w:sz w:val="22"/>
              <w:szCs w:val="28"/>
            </w:rPr>
            <w:instrText xml:space="preserve"> </w:instrText>
          </w:r>
          <w:r>
            <w:rPr>
              <w:rFonts w:hint="eastAsia" w:asciiTheme="minorEastAsia" w:hAnsiTheme="minorEastAsia" w:eastAsiaTheme="minorEastAsia"/>
              <w:sz w:val="22"/>
              <w:szCs w:val="28"/>
            </w:rPr>
            <w:fldChar w:fldCharType="separate"/>
          </w:r>
          <w:r>
            <w:rPr>
              <w:rFonts w:asciiTheme="minorEastAsia" w:hAnsiTheme="minorEastAsia" w:eastAsiaTheme="minorEastAsia"/>
              <w:sz w:val="22"/>
              <w:szCs w:val="28"/>
            </w:rPr>
            <w:t>132</w:t>
          </w:r>
          <w:r>
            <w:rPr>
              <w:rFonts w:hint="eastAsia" w:asciiTheme="minorEastAsia" w:hAnsiTheme="minorEastAsia" w:eastAsiaTheme="minorEastAsia"/>
              <w:sz w:val="22"/>
              <w:szCs w:val="28"/>
            </w:rPr>
            <w:fldChar w:fldCharType="end"/>
          </w:r>
          <w:r>
            <w:rPr>
              <w:rFonts w:hint="eastAsia" w:asciiTheme="minorEastAsia" w:hAnsiTheme="minorEastAsia" w:eastAsiaTheme="minorEastAsia"/>
              <w:sz w:val="22"/>
              <w:szCs w:val="28"/>
            </w:rPr>
            <w:fldChar w:fldCharType="end"/>
          </w:r>
        </w:p>
        <w:p w14:paraId="7244C02A">
          <w:pPr>
            <w:pStyle w:val="18"/>
            <w:spacing w:after="120" w:afterLines="50"/>
            <w:rPr>
              <w:rFonts w:hint="eastAsia" w:asciiTheme="minorEastAsia" w:hAnsiTheme="minorEastAsia" w:eastAsiaTheme="minorEastAsia" w:cstheme="minorBidi"/>
              <w:color w:val="auto"/>
              <w:sz w:val="20"/>
              <w:szCs w:val="21"/>
              <w14:ligatures w14:val="standardContextual"/>
            </w:rPr>
          </w:pPr>
          <w:r>
            <w:fldChar w:fldCharType="begin"/>
          </w:r>
          <w:r>
            <w:instrText xml:space="preserve"> HYPERLINK \l "_Toc200987755" </w:instrText>
          </w:r>
          <w:r>
            <w:fldChar w:fldCharType="separate"/>
          </w:r>
          <w:r>
            <w:rPr>
              <w:rStyle w:val="27"/>
              <w:rFonts w:hint="eastAsia" w:asciiTheme="minorEastAsia" w:hAnsiTheme="minorEastAsia" w:eastAsiaTheme="minorEastAsia"/>
              <w:sz w:val="22"/>
              <w:szCs w:val="28"/>
            </w:rPr>
            <w:t>附件7：水性面漆MSDS</w:t>
          </w:r>
          <w:r>
            <w:rPr>
              <w:rFonts w:hint="eastAsia" w:asciiTheme="minorEastAsia" w:hAnsiTheme="minorEastAsia" w:eastAsiaTheme="minorEastAsia"/>
              <w:sz w:val="22"/>
              <w:szCs w:val="28"/>
            </w:rPr>
            <w:tab/>
          </w:r>
          <w:r>
            <w:rPr>
              <w:rFonts w:hint="eastAsia" w:asciiTheme="minorEastAsia" w:hAnsiTheme="minorEastAsia" w:eastAsiaTheme="minorEastAsia"/>
              <w:sz w:val="22"/>
              <w:szCs w:val="28"/>
            </w:rPr>
            <w:fldChar w:fldCharType="begin"/>
          </w:r>
          <w:r>
            <w:rPr>
              <w:rFonts w:hint="eastAsia" w:asciiTheme="minorEastAsia" w:hAnsiTheme="minorEastAsia" w:eastAsiaTheme="minorEastAsia"/>
              <w:sz w:val="22"/>
              <w:szCs w:val="28"/>
            </w:rPr>
            <w:instrText xml:space="preserve"> </w:instrText>
          </w:r>
          <w:r>
            <w:rPr>
              <w:rFonts w:asciiTheme="minorEastAsia" w:hAnsiTheme="minorEastAsia" w:eastAsiaTheme="minorEastAsia"/>
              <w:sz w:val="22"/>
              <w:szCs w:val="28"/>
            </w:rPr>
            <w:instrText xml:space="preserve">PAGEREF _Toc200987755 \h</w:instrText>
          </w:r>
          <w:r>
            <w:rPr>
              <w:rFonts w:hint="eastAsia" w:asciiTheme="minorEastAsia" w:hAnsiTheme="minorEastAsia" w:eastAsiaTheme="minorEastAsia"/>
              <w:sz w:val="22"/>
              <w:szCs w:val="28"/>
            </w:rPr>
            <w:instrText xml:space="preserve"> </w:instrText>
          </w:r>
          <w:r>
            <w:rPr>
              <w:rFonts w:hint="eastAsia" w:asciiTheme="minorEastAsia" w:hAnsiTheme="minorEastAsia" w:eastAsiaTheme="minorEastAsia"/>
              <w:sz w:val="22"/>
              <w:szCs w:val="28"/>
            </w:rPr>
            <w:fldChar w:fldCharType="separate"/>
          </w:r>
          <w:r>
            <w:rPr>
              <w:rFonts w:asciiTheme="minorEastAsia" w:hAnsiTheme="minorEastAsia" w:eastAsiaTheme="minorEastAsia"/>
              <w:sz w:val="22"/>
              <w:szCs w:val="28"/>
            </w:rPr>
            <w:t>133</w:t>
          </w:r>
          <w:r>
            <w:rPr>
              <w:rFonts w:hint="eastAsia" w:asciiTheme="minorEastAsia" w:hAnsiTheme="minorEastAsia" w:eastAsiaTheme="minorEastAsia"/>
              <w:sz w:val="22"/>
              <w:szCs w:val="28"/>
            </w:rPr>
            <w:fldChar w:fldCharType="end"/>
          </w:r>
          <w:r>
            <w:rPr>
              <w:rFonts w:hint="eastAsia" w:asciiTheme="minorEastAsia" w:hAnsiTheme="minorEastAsia" w:eastAsiaTheme="minorEastAsia"/>
              <w:sz w:val="22"/>
              <w:szCs w:val="28"/>
            </w:rPr>
            <w:fldChar w:fldCharType="end"/>
          </w:r>
        </w:p>
        <w:p w14:paraId="528D03F7">
          <w:pPr>
            <w:pStyle w:val="18"/>
            <w:spacing w:after="120" w:afterLines="50"/>
            <w:rPr>
              <w:rFonts w:hint="eastAsia" w:asciiTheme="minorEastAsia" w:hAnsiTheme="minorEastAsia" w:eastAsiaTheme="minorEastAsia" w:cstheme="minorBidi"/>
              <w:color w:val="auto"/>
              <w:sz w:val="20"/>
              <w:szCs w:val="21"/>
              <w14:ligatures w14:val="standardContextual"/>
            </w:rPr>
          </w:pPr>
          <w:r>
            <w:fldChar w:fldCharType="begin"/>
          </w:r>
          <w:r>
            <w:instrText xml:space="preserve"> HYPERLINK \l "_Toc200987756" </w:instrText>
          </w:r>
          <w:r>
            <w:fldChar w:fldCharType="separate"/>
          </w:r>
          <w:r>
            <w:rPr>
              <w:rStyle w:val="27"/>
              <w:rFonts w:hint="eastAsia" w:asciiTheme="minorEastAsia" w:hAnsiTheme="minorEastAsia" w:eastAsiaTheme="minorEastAsia"/>
              <w:sz w:val="22"/>
              <w:szCs w:val="28"/>
            </w:rPr>
            <w:t>附件8：水性面漆VOCs检测报告</w:t>
          </w:r>
          <w:r>
            <w:rPr>
              <w:rFonts w:hint="eastAsia" w:asciiTheme="minorEastAsia" w:hAnsiTheme="minorEastAsia" w:eastAsiaTheme="minorEastAsia"/>
              <w:sz w:val="22"/>
              <w:szCs w:val="28"/>
            </w:rPr>
            <w:tab/>
          </w:r>
          <w:r>
            <w:rPr>
              <w:rFonts w:hint="eastAsia" w:asciiTheme="minorEastAsia" w:hAnsiTheme="minorEastAsia" w:eastAsiaTheme="minorEastAsia"/>
              <w:sz w:val="22"/>
              <w:szCs w:val="28"/>
            </w:rPr>
            <w:fldChar w:fldCharType="begin"/>
          </w:r>
          <w:r>
            <w:rPr>
              <w:rFonts w:hint="eastAsia" w:asciiTheme="minorEastAsia" w:hAnsiTheme="minorEastAsia" w:eastAsiaTheme="minorEastAsia"/>
              <w:sz w:val="22"/>
              <w:szCs w:val="28"/>
            </w:rPr>
            <w:instrText xml:space="preserve"> </w:instrText>
          </w:r>
          <w:r>
            <w:rPr>
              <w:rFonts w:asciiTheme="minorEastAsia" w:hAnsiTheme="minorEastAsia" w:eastAsiaTheme="minorEastAsia"/>
              <w:sz w:val="22"/>
              <w:szCs w:val="28"/>
            </w:rPr>
            <w:instrText xml:space="preserve">PAGEREF _Toc200987756 \h</w:instrText>
          </w:r>
          <w:r>
            <w:rPr>
              <w:rFonts w:hint="eastAsia" w:asciiTheme="minorEastAsia" w:hAnsiTheme="minorEastAsia" w:eastAsiaTheme="minorEastAsia"/>
              <w:sz w:val="22"/>
              <w:szCs w:val="28"/>
            </w:rPr>
            <w:instrText xml:space="preserve"> </w:instrText>
          </w:r>
          <w:r>
            <w:rPr>
              <w:rFonts w:hint="eastAsia" w:asciiTheme="minorEastAsia" w:hAnsiTheme="minorEastAsia" w:eastAsiaTheme="minorEastAsia"/>
              <w:sz w:val="22"/>
              <w:szCs w:val="28"/>
            </w:rPr>
            <w:fldChar w:fldCharType="separate"/>
          </w:r>
          <w:r>
            <w:rPr>
              <w:rFonts w:asciiTheme="minorEastAsia" w:hAnsiTheme="minorEastAsia" w:eastAsiaTheme="minorEastAsia"/>
              <w:sz w:val="22"/>
              <w:szCs w:val="28"/>
            </w:rPr>
            <w:t>139</w:t>
          </w:r>
          <w:r>
            <w:rPr>
              <w:rFonts w:hint="eastAsia" w:asciiTheme="minorEastAsia" w:hAnsiTheme="minorEastAsia" w:eastAsiaTheme="minorEastAsia"/>
              <w:sz w:val="22"/>
              <w:szCs w:val="28"/>
            </w:rPr>
            <w:fldChar w:fldCharType="end"/>
          </w:r>
          <w:r>
            <w:rPr>
              <w:rFonts w:hint="eastAsia" w:asciiTheme="minorEastAsia" w:hAnsiTheme="minorEastAsia" w:eastAsiaTheme="minorEastAsia"/>
              <w:sz w:val="22"/>
              <w:szCs w:val="28"/>
            </w:rPr>
            <w:fldChar w:fldCharType="end"/>
          </w:r>
        </w:p>
        <w:p w14:paraId="06DE0C8D">
          <w:pPr>
            <w:pStyle w:val="18"/>
            <w:spacing w:after="120" w:afterLines="50"/>
            <w:rPr>
              <w:rFonts w:hint="eastAsia" w:asciiTheme="minorEastAsia" w:hAnsiTheme="minorEastAsia" w:eastAsiaTheme="minorEastAsia" w:cstheme="minorBidi"/>
              <w:color w:val="auto"/>
              <w:sz w:val="20"/>
              <w:szCs w:val="21"/>
              <w14:ligatures w14:val="standardContextual"/>
            </w:rPr>
          </w:pPr>
          <w:r>
            <w:fldChar w:fldCharType="begin"/>
          </w:r>
          <w:r>
            <w:instrText xml:space="preserve"> HYPERLINK \l "_Toc200987757" </w:instrText>
          </w:r>
          <w:r>
            <w:fldChar w:fldCharType="separate"/>
          </w:r>
          <w:r>
            <w:rPr>
              <w:rStyle w:val="27"/>
              <w:rFonts w:hint="eastAsia" w:asciiTheme="minorEastAsia" w:hAnsiTheme="minorEastAsia" w:eastAsiaTheme="minorEastAsia"/>
              <w:sz w:val="22"/>
              <w:szCs w:val="28"/>
            </w:rPr>
            <w:t>附件9：水性油墨MSDS</w:t>
          </w:r>
          <w:r>
            <w:rPr>
              <w:rFonts w:hint="eastAsia" w:asciiTheme="minorEastAsia" w:hAnsiTheme="minorEastAsia" w:eastAsiaTheme="minorEastAsia"/>
              <w:sz w:val="22"/>
              <w:szCs w:val="28"/>
            </w:rPr>
            <w:tab/>
          </w:r>
          <w:r>
            <w:rPr>
              <w:rFonts w:hint="eastAsia" w:asciiTheme="minorEastAsia" w:hAnsiTheme="minorEastAsia" w:eastAsiaTheme="minorEastAsia"/>
              <w:sz w:val="22"/>
              <w:szCs w:val="28"/>
            </w:rPr>
            <w:fldChar w:fldCharType="begin"/>
          </w:r>
          <w:r>
            <w:rPr>
              <w:rFonts w:hint="eastAsia" w:asciiTheme="minorEastAsia" w:hAnsiTheme="minorEastAsia" w:eastAsiaTheme="minorEastAsia"/>
              <w:sz w:val="22"/>
              <w:szCs w:val="28"/>
            </w:rPr>
            <w:instrText xml:space="preserve"> </w:instrText>
          </w:r>
          <w:r>
            <w:rPr>
              <w:rFonts w:asciiTheme="minorEastAsia" w:hAnsiTheme="minorEastAsia" w:eastAsiaTheme="minorEastAsia"/>
              <w:sz w:val="22"/>
              <w:szCs w:val="28"/>
            </w:rPr>
            <w:instrText xml:space="preserve">PAGEREF _Toc200987757 \h</w:instrText>
          </w:r>
          <w:r>
            <w:rPr>
              <w:rFonts w:hint="eastAsia" w:asciiTheme="minorEastAsia" w:hAnsiTheme="minorEastAsia" w:eastAsiaTheme="minorEastAsia"/>
              <w:sz w:val="22"/>
              <w:szCs w:val="28"/>
            </w:rPr>
            <w:instrText xml:space="preserve"> </w:instrText>
          </w:r>
          <w:r>
            <w:rPr>
              <w:rFonts w:hint="eastAsia" w:asciiTheme="minorEastAsia" w:hAnsiTheme="minorEastAsia" w:eastAsiaTheme="minorEastAsia"/>
              <w:sz w:val="22"/>
              <w:szCs w:val="28"/>
            </w:rPr>
            <w:fldChar w:fldCharType="separate"/>
          </w:r>
          <w:r>
            <w:rPr>
              <w:rFonts w:asciiTheme="minorEastAsia" w:hAnsiTheme="minorEastAsia" w:eastAsiaTheme="minorEastAsia"/>
              <w:sz w:val="22"/>
              <w:szCs w:val="28"/>
            </w:rPr>
            <w:t>143</w:t>
          </w:r>
          <w:r>
            <w:rPr>
              <w:rFonts w:hint="eastAsia" w:asciiTheme="minorEastAsia" w:hAnsiTheme="minorEastAsia" w:eastAsiaTheme="minorEastAsia"/>
              <w:sz w:val="22"/>
              <w:szCs w:val="28"/>
            </w:rPr>
            <w:fldChar w:fldCharType="end"/>
          </w:r>
          <w:r>
            <w:rPr>
              <w:rFonts w:hint="eastAsia" w:asciiTheme="minorEastAsia" w:hAnsiTheme="minorEastAsia" w:eastAsiaTheme="minorEastAsia"/>
              <w:sz w:val="22"/>
              <w:szCs w:val="28"/>
            </w:rPr>
            <w:fldChar w:fldCharType="end"/>
          </w:r>
        </w:p>
        <w:p w14:paraId="0F942D54">
          <w:pPr>
            <w:pStyle w:val="18"/>
            <w:spacing w:after="120" w:afterLines="50"/>
            <w:rPr>
              <w:rFonts w:hint="eastAsia" w:asciiTheme="minorEastAsia" w:hAnsiTheme="minorEastAsia" w:eastAsiaTheme="minorEastAsia" w:cstheme="minorBidi"/>
              <w:color w:val="auto"/>
              <w:sz w:val="20"/>
              <w:szCs w:val="21"/>
              <w14:ligatures w14:val="standardContextual"/>
            </w:rPr>
          </w:pPr>
          <w:r>
            <w:fldChar w:fldCharType="begin"/>
          </w:r>
          <w:r>
            <w:instrText xml:space="preserve"> HYPERLINK \l "_Toc200987758" </w:instrText>
          </w:r>
          <w:r>
            <w:fldChar w:fldCharType="separate"/>
          </w:r>
          <w:r>
            <w:rPr>
              <w:rStyle w:val="27"/>
              <w:rFonts w:hint="eastAsia" w:asciiTheme="minorEastAsia" w:hAnsiTheme="minorEastAsia" w:eastAsiaTheme="minorEastAsia"/>
              <w:sz w:val="22"/>
              <w:szCs w:val="28"/>
            </w:rPr>
            <w:t>附件10：水性油墨VOCs检测报告</w:t>
          </w:r>
          <w:r>
            <w:rPr>
              <w:rFonts w:hint="eastAsia" w:asciiTheme="minorEastAsia" w:hAnsiTheme="minorEastAsia" w:eastAsiaTheme="minorEastAsia"/>
              <w:sz w:val="22"/>
              <w:szCs w:val="28"/>
            </w:rPr>
            <w:tab/>
          </w:r>
          <w:r>
            <w:rPr>
              <w:rFonts w:hint="eastAsia" w:asciiTheme="minorEastAsia" w:hAnsiTheme="minorEastAsia" w:eastAsiaTheme="minorEastAsia"/>
              <w:sz w:val="22"/>
              <w:szCs w:val="28"/>
            </w:rPr>
            <w:fldChar w:fldCharType="begin"/>
          </w:r>
          <w:r>
            <w:rPr>
              <w:rFonts w:hint="eastAsia" w:asciiTheme="minorEastAsia" w:hAnsiTheme="minorEastAsia" w:eastAsiaTheme="minorEastAsia"/>
              <w:sz w:val="22"/>
              <w:szCs w:val="28"/>
            </w:rPr>
            <w:instrText xml:space="preserve"> </w:instrText>
          </w:r>
          <w:r>
            <w:rPr>
              <w:rFonts w:asciiTheme="minorEastAsia" w:hAnsiTheme="minorEastAsia" w:eastAsiaTheme="minorEastAsia"/>
              <w:sz w:val="22"/>
              <w:szCs w:val="28"/>
            </w:rPr>
            <w:instrText xml:space="preserve">PAGEREF _Toc200987758 \h</w:instrText>
          </w:r>
          <w:r>
            <w:rPr>
              <w:rFonts w:hint="eastAsia" w:asciiTheme="minorEastAsia" w:hAnsiTheme="minorEastAsia" w:eastAsiaTheme="minorEastAsia"/>
              <w:sz w:val="22"/>
              <w:szCs w:val="28"/>
            </w:rPr>
            <w:instrText xml:space="preserve"> </w:instrText>
          </w:r>
          <w:r>
            <w:rPr>
              <w:rFonts w:hint="eastAsia" w:asciiTheme="minorEastAsia" w:hAnsiTheme="minorEastAsia" w:eastAsiaTheme="minorEastAsia"/>
              <w:sz w:val="22"/>
              <w:szCs w:val="28"/>
            </w:rPr>
            <w:fldChar w:fldCharType="separate"/>
          </w:r>
          <w:r>
            <w:rPr>
              <w:rFonts w:asciiTheme="minorEastAsia" w:hAnsiTheme="minorEastAsia" w:eastAsiaTheme="minorEastAsia"/>
              <w:sz w:val="22"/>
              <w:szCs w:val="28"/>
            </w:rPr>
            <w:t>145</w:t>
          </w:r>
          <w:r>
            <w:rPr>
              <w:rFonts w:hint="eastAsia" w:asciiTheme="minorEastAsia" w:hAnsiTheme="minorEastAsia" w:eastAsiaTheme="minorEastAsia"/>
              <w:sz w:val="22"/>
              <w:szCs w:val="28"/>
            </w:rPr>
            <w:fldChar w:fldCharType="end"/>
          </w:r>
          <w:r>
            <w:rPr>
              <w:rFonts w:hint="eastAsia" w:asciiTheme="minorEastAsia" w:hAnsiTheme="minorEastAsia" w:eastAsiaTheme="minorEastAsia"/>
              <w:sz w:val="22"/>
              <w:szCs w:val="28"/>
            </w:rPr>
            <w:fldChar w:fldCharType="end"/>
          </w:r>
        </w:p>
        <w:p w14:paraId="429BBA85">
          <w:pPr>
            <w:pStyle w:val="18"/>
            <w:spacing w:after="120" w:afterLines="50"/>
            <w:rPr>
              <w:rFonts w:hint="eastAsia" w:asciiTheme="minorEastAsia" w:hAnsiTheme="minorEastAsia" w:eastAsiaTheme="minorEastAsia" w:cstheme="minorBidi"/>
              <w:color w:val="auto"/>
              <w:sz w:val="20"/>
              <w:szCs w:val="21"/>
              <w14:ligatures w14:val="standardContextual"/>
            </w:rPr>
          </w:pPr>
          <w:r>
            <w:fldChar w:fldCharType="begin"/>
          </w:r>
          <w:r>
            <w:instrText xml:space="preserve"> HYPERLINK \l "_Toc200987759" </w:instrText>
          </w:r>
          <w:r>
            <w:fldChar w:fldCharType="separate"/>
          </w:r>
          <w:r>
            <w:rPr>
              <w:rStyle w:val="27"/>
              <w:rFonts w:hint="eastAsia" w:asciiTheme="minorEastAsia" w:hAnsiTheme="minorEastAsia" w:eastAsiaTheme="minorEastAsia"/>
              <w:sz w:val="22"/>
              <w:szCs w:val="28"/>
            </w:rPr>
            <w:t>附件11：半水基清洗剂MSDS</w:t>
          </w:r>
          <w:r>
            <w:rPr>
              <w:rFonts w:hint="eastAsia" w:asciiTheme="minorEastAsia" w:hAnsiTheme="minorEastAsia" w:eastAsiaTheme="minorEastAsia"/>
              <w:sz w:val="22"/>
              <w:szCs w:val="28"/>
            </w:rPr>
            <w:tab/>
          </w:r>
          <w:r>
            <w:rPr>
              <w:rFonts w:hint="eastAsia" w:asciiTheme="minorEastAsia" w:hAnsiTheme="minorEastAsia" w:eastAsiaTheme="minorEastAsia"/>
              <w:sz w:val="22"/>
              <w:szCs w:val="28"/>
            </w:rPr>
            <w:fldChar w:fldCharType="begin"/>
          </w:r>
          <w:r>
            <w:rPr>
              <w:rFonts w:hint="eastAsia" w:asciiTheme="minorEastAsia" w:hAnsiTheme="minorEastAsia" w:eastAsiaTheme="minorEastAsia"/>
              <w:sz w:val="22"/>
              <w:szCs w:val="28"/>
            </w:rPr>
            <w:instrText xml:space="preserve"> </w:instrText>
          </w:r>
          <w:r>
            <w:rPr>
              <w:rFonts w:asciiTheme="minorEastAsia" w:hAnsiTheme="minorEastAsia" w:eastAsiaTheme="minorEastAsia"/>
              <w:sz w:val="22"/>
              <w:szCs w:val="28"/>
            </w:rPr>
            <w:instrText xml:space="preserve">PAGEREF _Toc200987759 \h</w:instrText>
          </w:r>
          <w:r>
            <w:rPr>
              <w:rFonts w:hint="eastAsia" w:asciiTheme="minorEastAsia" w:hAnsiTheme="minorEastAsia" w:eastAsiaTheme="minorEastAsia"/>
              <w:sz w:val="22"/>
              <w:szCs w:val="28"/>
            </w:rPr>
            <w:instrText xml:space="preserve"> </w:instrText>
          </w:r>
          <w:r>
            <w:rPr>
              <w:rFonts w:hint="eastAsia" w:asciiTheme="minorEastAsia" w:hAnsiTheme="minorEastAsia" w:eastAsiaTheme="minorEastAsia"/>
              <w:sz w:val="22"/>
              <w:szCs w:val="28"/>
            </w:rPr>
            <w:fldChar w:fldCharType="separate"/>
          </w:r>
          <w:r>
            <w:rPr>
              <w:rFonts w:asciiTheme="minorEastAsia" w:hAnsiTheme="minorEastAsia" w:eastAsiaTheme="minorEastAsia"/>
              <w:sz w:val="22"/>
              <w:szCs w:val="28"/>
            </w:rPr>
            <w:t>148</w:t>
          </w:r>
          <w:r>
            <w:rPr>
              <w:rFonts w:hint="eastAsia" w:asciiTheme="minorEastAsia" w:hAnsiTheme="minorEastAsia" w:eastAsiaTheme="minorEastAsia"/>
              <w:sz w:val="22"/>
              <w:szCs w:val="28"/>
            </w:rPr>
            <w:fldChar w:fldCharType="end"/>
          </w:r>
          <w:r>
            <w:rPr>
              <w:rFonts w:hint="eastAsia" w:asciiTheme="minorEastAsia" w:hAnsiTheme="minorEastAsia" w:eastAsiaTheme="minorEastAsia"/>
              <w:sz w:val="22"/>
              <w:szCs w:val="28"/>
            </w:rPr>
            <w:fldChar w:fldCharType="end"/>
          </w:r>
        </w:p>
        <w:p w14:paraId="6B4F5356">
          <w:pPr>
            <w:pStyle w:val="18"/>
            <w:spacing w:after="120" w:afterLines="50"/>
            <w:rPr>
              <w:rFonts w:hint="eastAsia" w:asciiTheme="minorEastAsia" w:hAnsiTheme="minorEastAsia" w:eastAsiaTheme="minorEastAsia" w:cstheme="minorBidi"/>
              <w:color w:val="auto"/>
              <w:sz w:val="20"/>
              <w:szCs w:val="21"/>
              <w14:ligatures w14:val="standardContextual"/>
            </w:rPr>
          </w:pPr>
          <w:r>
            <w:fldChar w:fldCharType="begin"/>
          </w:r>
          <w:r>
            <w:instrText xml:space="preserve"> HYPERLINK \l "_Toc200987760" </w:instrText>
          </w:r>
          <w:r>
            <w:fldChar w:fldCharType="separate"/>
          </w:r>
          <w:r>
            <w:rPr>
              <w:rStyle w:val="27"/>
              <w:rFonts w:hint="eastAsia" w:asciiTheme="minorEastAsia" w:hAnsiTheme="minorEastAsia" w:eastAsiaTheme="minorEastAsia"/>
              <w:sz w:val="22"/>
              <w:szCs w:val="28"/>
            </w:rPr>
            <w:t>附件12：半水基清洗剂VOCs含量检测报告</w:t>
          </w:r>
          <w:r>
            <w:rPr>
              <w:rFonts w:hint="eastAsia" w:asciiTheme="minorEastAsia" w:hAnsiTheme="minorEastAsia" w:eastAsiaTheme="minorEastAsia"/>
              <w:sz w:val="22"/>
              <w:szCs w:val="28"/>
            </w:rPr>
            <w:tab/>
          </w:r>
          <w:r>
            <w:rPr>
              <w:rFonts w:hint="eastAsia" w:asciiTheme="minorEastAsia" w:hAnsiTheme="minorEastAsia" w:eastAsiaTheme="minorEastAsia"/>
              <w:sz w:val="22"/>
              <w:szCs w:val="28"/>
            </w:rPr>
            <w:fldChar w:fldCharType="begin"/>
          </w:r>
          <w:r>
            <w:rPr>
              <w:rFonts w:hint="eastAsia" w:asciiTheme="minorEastAsia" w:hAnsiTheme="minorEastAsia" w:eastAsiaTheme="minorEastAsia"/>
              <w:sz w:val="22"/>
              <w:szCs w:val="28"/>
            </w:rPr>
            <w:instrText xml:space="preserve"> </w:instrText>
          </w:r>
          <w:r>
            <w:rPr>
              <w:rFonts w:asciiTheme="minorEastAsia" w:hAnsiTheme="minorEastAsia" w:eastAsiaTheme="minorEastAsia"/>
              <w:sz w:val="22"/>
              <w:szCs w:val="28"/>
            </w:rPr>
            <w:instrText xml:space="preserve">PAGEREF _Toc200987760 \h</w:instrText>
          </w:r>
          <w:r>
            <w:rPr>
              <w:rFonts w:hint="eastAsia" w:asciiTheme="minorEastAsia" w:hAnsiTheme="minorEastAsia" w:eastAsiaTheme="minorEastAsia"/>
              <w:sz w:val="22"/>
              <w:szCs w:val="28"/>
            </w:rPr>
            <w:instrText xml:space="preserve"> </w:instrText>
          </w:r>
          <w:r>
            <w:rPr>
              <w:rFonts w:hint="eastAsia" w:asciiTheme="minorEastAsia" w:hAnsiTheme="minorEastAsia" w:eastAsiaTheme="minorEastAsia"/>
              <w:sz w:val="22"/>
              <w:szCs w:val="28"/>
            </w:rPr>
            <w:fldChar w:fldCharType="separate"/>
          </w:r>
          <w:r>
            <w:rPr>
              <w:rFonts w:asciiTheme="minorEastAsia" w:hAnsiTheme="minorEastAsia" w:eastAsiaTheme="minorEastAsia"/>
              <w:sz w:val="22"/>
              <w:szCs w:val="28"/>
            </w:rPr>
            <w:t>153</w:t>
          </w:r>
          <w:r>
            <w:rPr>
              <w:rFonts w:hint="eastAsia" w:asciiTheme="minorEastAsia" w:hAnsiTheme="minorEastAsia" w:eastAsiaTheme="minorEastAsia"/>
              <w:sz w:val="22"/>
              <w:szCs w:val="28"/>
            </w:rPr>
            <w:fldChar w:fldCharType="end"/>
          </w:r>
          <w:r>
            <w:rPr>
              <w:rFonts w:hint="eastAsia" w:asciiTheme="minorEastAsia" w:hAnsiTheme="minorEastAsia" w:eastAsiaTheme="minorEastAsia"/>
              <w:sz w:val="22"/>
              <w:szCs w:val="28"/>
            </w:rPr>
            <w:fldChar w:fldCharType="end"/>
          </w:r>
        </w:p>
        <w:p w14:paraId="0972FB2A">
          <w:pPr>
            <w:ind w:firstLine="482"/>
          </w:pPr>
          <w:r>
            <w:rPr>
              <w:b/>
              <w:bCs/>
              <w:lang w:val="zh-CN"/>
            </w:rPr>
            <w:fldChar w:fldCharType="end"/>
          </w:r>
        </w:p>
      </w:sdtContent>
    </w:sdt>
    <w:p w14:paraId="023D769C">
      <w:pPr>
        <w:pStyle w:val="18"/>
      </w:pPr>
      <w:r>
        <w:rPr>
          <w:sz w:val="18"/>
          <w:szCs w:val="21"/>
        </w:rPr>
        <w:fldChar w:fldCharType="begin"/>
      </w:r>
      <w:r>
        <w:rPr>
          <w:rFonts w:hint="eastAsia"/>
          <w:sz w:val="18"/>
          <w:szCs w:val="21"/>
        </w:rPr>
        <w:instrText xml:space="preserve"> TOC \o "1-3" \h \z \u </w:instrText>
      </w:r>
      <w:r>
        <w:rPr>
          <w:sz w:val="18"/>
          <w:szCs w:val="21"/>
        </w:rPr>
        <w:fldChar w:fldCharType="separate"/>
      </w:r>
      <w:r>
        <w:fldChar w:fldCharType="begin"/>
      </w:r>
      <w:r>
        <w:instrText xml:space="preserve"> HYPERLINK \l "_Toc199146993" </w:instrText>
      </w:r>
      <w:r>
        <w:fldChar w:fldCharType="separate"/>
      </w:r>
      <w:r>
        <w:fldChar w:fldCharType="end"/>
      </w:r>
    </w:p>
    <w:p w14:paraId="08F983B4">
      <w:pPr>
        <w:spacing w:line="288" w:lineRule="auto"/>
        <w:ind w:firstLine="361"/>
        <w:jc w:val="center"/>
        <w:rPr>
          <w:rFonts w:asciiTheme="majorBidi" w:hAnsiTheme="majorBidi" w:eastAsiaTheme="minorEastAsia" w:cstheme="majorBidi"/>
          <w:snapToGrid w:val="0"/>
          <w:color w:val="000000" w:themeColor="text1"/>
          <w:sz w:val="30"/>
          <w:szCs w:val="30"/>
          <w14:textFill>
            <w14:solidFill>
              <w14:schemeClr w14:val="tx1"/>
            </w14:solidFill>
          </w14:textFill>
        </w:rPr>
        <w:sectPr>
          <w:pgSz w:w="11906" w:h="16838"/>
          <w:pgMar w:top="1418" w:right="1418" w:bottom="1418" w:left="1418" w:header="992" w:footer="992" w:gutter="0"/>
          <w:cols w:space="708" w:num="1"/>
          <w:docGrid w:linePitch="360" w:charSpace="0"/>
        </w:sectPr>
      </w:pPr>
      <w:r>
        <w:rPr>
          <w:rFonts w:asciiTheme="majorBidi" w:hAnsiTheme="majorBidi" w:eastAsiaTheme="minorEastAsia" w:cstheme="majorBidi"/>
          <w:b/>
          <w:bCs/>
          <w:color w:val="000000" w:themeColor="text1"/>
          <w:kern w:val="2"/>
          <w:sz w:val="18"/>
          <w:szCs w:val="21"/>
          <w14:textFill>
            <w14:solidFill>
              <w14:schemeClr w14:val="tx1"/>
            </w14:solidFill>
          </w14:textFill>
        </w:rPr>
        <w:fldChar w:fldCharType="end"/>
      </w:r>
    </w:p>
    <w:p w14:paraId="63E801B0">
      <w:pPr>
        <w:pStyle w:val="2"/>
      </w:pPr>
      <w:bookmarkStart w:id="0" w:name="_Toc199146994"/>
      <w:bookmarkStart w:id="1" w:name="_Toc200987719"/>
      <w:r>
        <w:t>一、建设项目基本情况</w:t>
      </w:r>
      <w:bookmarkEnd w:id="0"/>
      <w:bookmarkEnd w:id="1"/>
    </w:p>
    <w:tbl>
      <w:tblPr>
        <w:tblStyle w:val="21"/>
        <w:tblW w:w="5005" w:type="pct"/>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57" w:type="dxa"/>
          <w:bottom w:w="0" w:type="dxa"/>
          <w:right w:w="57" w:type="dxa"/>
        </w:tblCellMar>
      </w:tblPr>
      <w:tblGrid>
        <w:gridCol w:w="420"/>
        <w:gridCol w:w="1660"/>
        <w:gridCol w:w="2491"/>
        <w:gridCol w:w="2002"/>
        <w:gridCol w:w="3148"/>
      </w:tblGrid>
      <w:tr w14:paraId="2311DA1F">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57" w:type="dxa"/>
            <w:bottom w:w="0" w:type="dxa"/>
            <w:right w:w="57" w:type="dxa"/>
          </w:tblCellMar>
        </w:tblPrEx>
        <w:trPr>
          <w:trHeight w:val="567" w:hRule="atLeast"/>
          <w:jc w:val="center"/>
        </w:trPr>
        <w:tc>
          <w:tcPr>
            <w:tcW w:w="1070" w:type="pct"/>
            <w:gridSpan w:val="2"/>
            <w:tcMar>
              <w:top w:w="16" w:type="dxa"/>
              <w:left w:w="16" w:type="dxa"/>
              <w:right w:w="16" w:type="dxa"/>
            </w:tcMar>
            <w:vAlign w:val="center"/>
          </w:tcPr>
          <w:p w14:paraId="569596C7">
            <w:pPr>
              <w:pStyle w:val="10"/>
              <w:spacing w:before="48"/>
            </w:pPr>
            <w:r>
              <w:t>建设项目名称</w:t>
            </w:r>
          </w:p>
        </w:tc>
        <w:tc>
          <w:tcPr>
            <w:tcW w:w="3930" w:type="pct"/>
            <w:gridSpan w:val="3"/>
            <w:vAlign w:val="center"/>
          </w:tcPr>
          <w:p w14:paraId="43C621F7">
            <w:pPr>
              <w:pStyle w:val="10"/>
              <w:spacing w:before="48"/>
            </w:pPr>
            <w:r>
              <w:t>惠州市胜辉科技有限公司年产塑胶台灯60万个、塑胶包装盒40万个、塑胶零件40万个生产线新建项目</w:t>
            </w:r>
          </w:p>
        </w:tc>
      </w:tr>
      <w:tr w14:paraId="62D4AF4F">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57" w:type="dxa"/>
            <w:bottom w:w="0" w:type="dxa"/>
            <w:right w:w="57" w:type="dxa"/>
          </w:tblCellMar>
        </w:tblPrEx>
        <w:trPr>
          <w:trHeight w:val="117" w:hRule="atLeast"/>
          <w:jc w:val="center"/>
        </w:trPr>
        <w:tc>
          <w:tcPr>
            <w:tcW w:w="1070" w:type="pct"/>
            <w:gridSpan w:val="2"/>
            <w:tcMar>
              <w:top w:w="16" w:type="dxa"/>
              <w:left w:w="16" w:type="dxa"/>
              <w:right w:w="16" w:type="dxa"/>
            </w:tcMar>
            <w:vAlign w:val="center"/>
          </w:tcPr>
          <w:p w14:paraId="7EE9A57C">
            <w:pPr>
              <w:pStyle w:val="10"/>
              <w:spacing w:before="48"/>
            </w:pPr>
            <w:r>
              <w:t>项目代码</w:t>
            </w:r>
          </w:p>
        </w:tc>
        <w:tc>
          <w:tcPr>
            <w:tcW w:w="3930" w:type="pct"/>
            <w:gridSpan w:val="3"/>
            <w:vAlign w:val="center"/>
          </w:tcPr>
          <w:p w14:paraId="647E7829">
            <w:pPr>
              <w:pStyle w:val="10"/>
              <w:spacing w:before="48"/>
            </w:pPr>
          </w:p>
        </w:tc>
      </w:tr>
      <w:tr w14:paraId="6DAB4A5D">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57" w:type="dxa"/>
            <w:bottom w:w="0" w:type="dxa"/>
            <w:right w:w="57" w:type="dxa"/>
          </w:tblCellMar>
        </w:tblPrEx>
        <w:trPr>
          <w:trHeight w:val="225" w:hRule="atLeast"/>
          <w:jc w:val="center"/>
        </w:trPr>
        <w:tc>
          <w:tcPr>
            <w:tcW w:w="1070" w:type="pct"/>
            <w:gridSpan w:val="2"/>
            <w:tcMar>
              <w:top w:w="16" w:type="dxa"/>
              <w:left w:w="16" w:type="dxa"/>
              <w:right w:w="16" w:type="dxa"/>
            </w:tcMar>
            <w:vAlign w:val="center"/>
          </w:tcPr>
          <w:p w14:paraId="1456518E">
            <w:pPr>
              <w:pStyle w:val="10"/>
              <w:spacing w:before="48"/>
            </w:pPr>
            <w:r>
              <w:t>建设单位联系人</w:t>
            </w:r>
          </w:p>
        </w:tc>
        <w:tc>
          <w:tcPr>
            <w:tcW w:w="1281" w:type="pct"/>
            <w:vAlign w:val="center"/>
          </w:tcPr>
          <w:p w14:paraId="4E835E9F">
            <w:pPr>
              <w:pStyle w:val="10"/>
              <w:spacing w:before="48"/>
            </w:pPr>
          </w:p>
        </w:tc>
        <w:tc>
          <w:tcPr>
            <w:tcW w:w="1030" w:type="pct"/>
            <w:vAlign w:val="center"/>
          </w:tcPr>
          <w:p w14:paraId="20D1CFC8">
            <w:pPr>
              <w:pStyle w:val="10"/>
              <w:spacing w:before="48"/>
            </w:pPr>
            <w:r>
              <w:t>联系方式</w:t>
            </w:r>
          </w:p>
        </w:tc>
        <w:tc>
          <w:tcPr>
            <w:tcW w:w="1619" w:type="pct"/>
            <w:vAlign w:val="center"/>
          </w:tcPr>
          <w:p w14:paraId="2C1CF337">
            <w:pPr>
              <w:pStyle w:val="10"/>
              <w:spacing w:before="48"/>
            </w:pPr>
          </w:p>
        </w:tc>
      </w:tr>
      <w:tr w14:paraId="57517E37">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57" w:type="dxa"/>
            <w:bottom w:w="0" w:type="dxa"/>
            <w:right w:w="57" w:type="dxa"/>
          </w:tblCellMar>
        </w:tblPrEx>
        <w:trPr>
          <w:trHeight w:val="567" w:hRule="atLeast"/>
          <w:jc w:val="center"/>
        </w:trPr>
        <w:tc>
          <w:tcPr>
            <w:tcW w:w="1070" w:type="pct"/>
            <w:gridSpan w:val="2"/>
            <w:tcMar>
              <w:top w:w="16" w:type="dxa"/>
              <w:left w:w="16" w:type="dxa"/>
              <w:right w:w="16" w:type="dxa"/>
            </w:tcMar>
            <w:vAlign w:val="center"/>
          </w:tcPr>
          <w:p w14:paraId="5F50B344">
            <w:pPr>
              <w:pStyle w:val="10"/>
              <w:spacing w:before="48"/>
            </w:pPr>
            <w:r>
              <w:t>建设地点</w:t>
            </w:r>
          </w:p>
        </w:tc>
        <w:tc>
          <w:tcPr>
            <w:tcW w:w="3930" w:type="pct"/>
            <w:gridSpan w:val="3"/>
            <w:vAlign w:val="center"/>
          </w:tcPr>
          <w:p w14:paraId="35FA1DAE">
            <w:pPr>
              <w:pStyle w:val="10"/>
              <w:spacing w:before="48"/>
            </w:pPr>
            <w:r>
              <w:t>广东省惠州市博罗县园洲镇博罗智能装备产业园园洲片区绿化北路3号（10-b 号厂房 101、201、301楼）</w:t>
            </w:r>
          </w:p>
        </w:tc>
      </w:tr>
      <w:tr w14:paraId="7F33D81A">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57" w:type="dxa"/>
            <w:bottom w:w="0" w:type="dxa"/>
            <w:right w:w="57" w:type="dxa"/>
          </w:tblCellMar>
        </w:tblPrEx>
        <w:trPr>
          <w:trHeight w:val="567" w:hRule="atLeast"/>
          <w:jc w:val="center"/>
        </w:trPr>
        <w:tc>
          <w:tcPr>
            <w:tcW w:w="1070" w:type="pct"/>
            <w:gridSpan w:val="2"/>
            <w:tcMar>
              <w:top w:w="16" w:type="dxa"/>
              <w:left w:w="16" w:type="dxa"/>
              <w:right w:w="16" w:type="dxa"/>
            </w:tcMar>
            <w:vAlign w:val="center"/>
          </w:tcPr>
          <w:p w14:paraId="6C63F44C">
            <w:pPr>
              <w:pStyle w:val="10"/>
              <w:spacing w:before="48"/>
            </w:pPr>
            <w:r>
              <w:t>地理坐标</w:t>
            </w:r>
          </w:p>
        </w:tc>
        <w:tc>
          <w:tcPr>
            <w:tcW w:w="3930" w:type="pct"/>
            <w:gridSpan w:val="3"/>
            <w:vAlign w:val="center"/>
          </w:tcPr>
          <w:p w14:paraId="519FEC2A">
            <w:pPr>
              <w:pStyle w:val="10"/>
              <w:spacing w:before="48"/>
            </w:pPr>
            <w:r>
              <w:t>（E：114度0分44.201秒，N：23度6分38.838秒）</w:t>
            </w:r>
          </w:p>
        </w:tc>
      </w:tr>
      <w:tr w14:paraId="3292790B">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57" w:type="dxa"/>
            <w:bottom w:w="0" w:type="dxa"/>
            <w:right w:w="57" w:type="dxa"/>
          </w:tblCellMar>
        </w:tblPrEx>
        <w:trPr>
          <w:trHeight w:val="765" w:hRule="atLeast"/>
          <w:jc w:val="center"/>
        </w:trPr>
        <w:tc>
          <w:tcPr>
            <w:tcW w:w="1070" w:type="pct"/>
            <w:gridSpan w:val="2"/>
            <w:tcMar>
              <w:top w:w="16" w:type="dxa"/>
              <w:left w:w="16" w:type="dxa"/>
              <w:right w:w="16" w:type="dxa"/>
            </w:tcMar>
            <w:vAlign w:val="center"/>
          </w:tcPr>
          <w:p w14:paraId="02F65D47">
            <w:pPr>
              <w:pStyle w:val="10"/>
              <w:spacing w:before="48"/>
            </w:pPr>
            <w:r>
              <w:t>国民经济</w:t>
            </w:r>
          </w:p>
          <w:p w14:paraId="40651BC6">
            <w:pPr>
              <w:pStyle w:val="10"/>
              <w:spacing w:before="48"/>
            </w:pPr>
            <w:r>
              <w:t>行业类别</w:t>
            </w:r>
          </w:p>
        </w:tc>
        <w:tc>
          <w:tcPr>
            <w:tcW w:w="1281" w:type="pct"/>
            <w:vAlign w:val="center"/>
          </w:tcPr>
          <w:p w14:paraId="01E75081">
            <w:pPr>
              <w:pStyle w:val="10"/>
              <w:spacing w:before="48"/>
            </w:pPr>
            <w:r>
              <w:t>C2929塑料零件及其他塑料制品制造</w:t>
            </w:r>
          </w:p>
        </w:tc>
        <w:tc>
          <w:tcPr>
            <w:tcW w:w="1030" w:type="pct"/>
            <w:vAlign w:val="center"/>
          </w:tcPr>
          <w:p w14:paraId="2208199D">
            <w:pPr>
              <w:pStyle w:val="10"/>
              <w:spacing w:before="48"/>
            </w:pPr>
            <w:r>
              <w:t>建设项目</w:t>
            </w:r>
          </w:p>
          <w:p w14:paraId="2BCB7115">
            <w:pPr>
              <w:pStyle w:val="10"/>
              <w:spacing w:before="48"/>
            </w:pPr>
            <w:r>
              <w:t>行业类别</w:t>
            </w:r>
          </w:p>
        </w:tc>
        <w:tc>
          <w:tcPr>
            <w:tcW w:w="1619" w:type="pct"/>
            <w:vAlign w:val="center"/>
          </w:tcPr>
          <w:p w14:paraId="36BE0354">
            <w:pPr>
              <w:pStyle w:val="10"/>
              <w:spacing w:before="48"/>
            </w:pPr>
            <w:r>
              <w:t>53 塑料制品业 292</w:t>
            </w:r>
          </w:p>
        </w:tc>
      </w:tr>
      <w:tr w14:paraId="39A37783">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57" w:type="dxa"/>
            <w:bottom w:w="0" w:type="dxa"/>
            <w:right w:w="57" w:type="dxa"/>
          </w:tblCellMar>
        </w:tblPrEx>
        <w:trPr>
          <w:trHeight w:val="765" w:hRule="atLeast"/>
          <w:jc w:val="center"/>
        </w:trPr>
        <w:tc>
          <w:tcPr>
            <w:tcW w:w="1070" w:type="pct"/>
            <w:gridSpan w:val="2"/>
            <w:tcMar>
              <w:top w:w="16" w:type="dxa"/>
              <w:left w:w="16" w:type="dxa"/>
              <w:right w:w="16" w:type="dxa"/>
            </w:tcMar>
            <w:vAlign w:val="center"/>
          </w:tcPr>
          <w:p w14:paraId="383A786F">
            <w:pPr>
              <w:pStyle w:val="10"/>
              <w:spacing w:before="48"/>
            </w:pPr>
            <w:r>
              <w:t>建设性质</w:t>
            </w:r>
          </w:p>
        </w:tc>
        <w:tc>
          <w:tcPr>
            <w:tcW w:w="1281" w:type="pct"/>
            <w:vAlign w:val="center"/>
          </w:tcPr>
          <w:p w14:paraId="362B0135">
            <w:pPr>
              <w:pStyle w:val="10"/>
              <w:spacing w:before="48"/>
              <w:jc w:val="left"/>
            </w:pPr>
            <w:r>
              <w:rPr/>
              <w:sym w:font="Wingdings" w:char="00FE"/>
            </w:r>
            <w:r>
              <w:t>新建（迁建）</w:t>
            </w:r>
          </w:p>
          <w:p w14:paraId="2ADA21A7">
            <w:pPr>
              <w:pStyle w:val="10"/>
              <w:spacing w:before="48"/>
              <w:jc w:val="left"/>
            </w:pPr>
            <w:r>
              <w:rPr/>
              <w:sym w:font="Wingdings" w:char="00A8"/>
            </w:r>
            <w:r>
              <w:t>改建</w:t>
            </w:r>
          </w:p>
          <w:p w14:paraId="0D49BD84">
            <w:pPr>
              <w:pStyle w:val="10"/>
              <w:spacing w:before="48"/>
              <w:jc w:val="left"/>
            </w:pPr>
            <w:r>
              <w:rPr/>
              <w:sym w:font="Wingdings" w:char="00A8"/>
            </w:r>
            <w:r>
              <w:t>扩建</w:t>
            </w:r>
          </w:p>
          <w:p w14:paraId="60F82D1E">
            <w:pPr>
              <w:pStyle w:val="10"/>
              <w:spacing w:before="48"/>
              <w:jc w:val="left"/>
            </w:pPr>
            <w:r>
              <w:rPr/>
              <w:sym w:font="Wingdings" w:char="00A8"/>
            </w:r>
            <w:r>
              <w:t>技术改造</w:t>
            </w:r>
          </w:p>
        </w:tc>
        <w:tc>
          <w:tcPr>
            <w:tcW w:w="1030" w:type="pct"/>
            <w:vAlign w:val="center"/>
          </w:tcPr>
          <w:p w14:paraId="2BE7D2A2">
            <w:pPr>
              <w:pStyle w:val="10"/>
              <w:spacing w:before="48"/>
            </w:pPr>
            <w:r>
              <w:t>建设项目</w:t>
            </w:r>
          </w:p>
          <w:p w14:paraId="7788588E">
            <w:pPr>
              <w:pStyle w:val="10"/>
              <w:spacing w:before="48"/>
            </w:pPr>
            <w:r>
              <w:t>申报情形</w:t>
            </w:r>
          </w:p>
        </w:tc>
        <w:tc>
          <w:tcPr>
            <w:tcW w:w="1619" w:type="pct"/>
            <w:vAlign w:val="center"/>
          </w:tcPr>
          <w:p w14:paraId="44BA3945">
            <w:pPr>
              <w:pStyle w:val="10"/>
              <w:spacing w:before="48"/>
              <w:jc w:val="left"/>
            </w:pPr>
            <w:r>
              <w:rPr/>
              <w:sym w:font="Wingdings" w:char="00FE"/>
            </w:r>
            <w:r>
              <w:t>首次申报项目</w:t>
            </w:r>
          </w:p>
          <w:p w14:paraId="3733E54F">
            <w:pPr>
              <w:pStyle w:val="10"/>
              <w:spacing w:before="48"/>
              <w:jc w:val="left"/>
            </w:pPr>
            <w:r>
              <w:rPr/>
              <w:sym w:font="Wingdings" w:char="00A8"/>
            </w:r>
            <w:r>
              <w:t>不予批准后再次申报项目</w:t>
            </w:r>
          </w:p>
          <w:p w14:paraId="5CF0C7FC">
            <w:pPr>
              <w:pStyle w:val="10"/>
              <w:spacing w:before="48"/>
              <w:jc w:val="left"/>
            </w:pPr>
            <w:r>
              <w:rPr/>
              <w:sym w:font="Wingdings" w:char="00A8"/>
            </w:r>
            <w:r>
              <w:t>超五年重新审核项目</w:t>
            </w:r>
          </w:p>
          <w:p w14:paraId="1C3508E8">
            <w:pPr>
              <w:pStyle w:val="10"/>
              <w:spacing w:before="48"/>
              <w:jc w:val="left"/>
            </w:pPr>
            <w:r>
              <w:rPr/>
              <w:sym w:font="Wingdings" w:char="00A8"/>
            </w:r>
            <w:r>
              <w:t>重大变动重新报批项目</w:t>
            </w:r>
          </w:p>
        </w:tc>
      </w:tr>
      <w:tr w14:paraId="67995725">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57" w:type="dxa"/>
            <w:bottom w:w="0" w:type="dxa"/>
            <w:right w:w="57" w:type="dxa"/>
          </w:tblCellMar>
        </w:tblPrEx>
        <w:trPr>
          <w:trHeight w:val="1031" w:hRule="atLeast"/>
          <w:jc w:val="center"/>
        </w:trPr>
        <w:tc>
          <w:tcPr>
            <w:tcW w:w="1070" w:type="pct"/>
            <w:gridSpan w:val="2"/>
            <w:tcMar>
              <w:top w:w="16" w:type="dxa"/>
              <w:left w:w="16" w:type="dxa"/>
              <w:right w:w="16" w:type="dxa"/>
            </w:tcMar>
            <w:vAlign w:val="center"/>
          </w:tcPr>
          <w:p w14:paraId="4F2C9E27">
            <w:pPr>
              <w:pStyle w:val="10"/>
              <w:spacing w:before="48"/>
            </w:pPr>
            <w:r>
              <w:t>项目审批（核准/</w:t>
            </w:r>
          </w:p>
          <w:p w14:paraId="7DBC1588">
            <w:pPr>
              <w:pStyle w:val="10"/>
              <w:spacing w:before="48"/>
            </w:pPr>
            <w:r>
              <w:t>备案）部门（选填）</w:t>
            </w:r>
          </w:p>
        </w:tc>
        <w:tc>
          <w:tcPr>
            <w:tcW w:w="1281" w:type="pct"/>
            <w:vAlign w:val="center"/>
          </w:tcPr>
          <w:p w14:paraId="3392FAAB">
            <w:pPr>
              <w:pStyle w:val="10"/>
              <w:spacing w:before="48"/>
            </w:pPr>
            <w:r>
              <w:t>——</w:t>
            </w:r>
          </w:p>
        </w:tc>
        <w:tc>
          <w:tcPr>
            <w:tcW w:w="1030" w:type="pct"/>
            <w:vAlign w:val="center"/>
          </w:tcPr>
          <w:p w14:paraId="326DCCD2">
            <w:pPr>
              <w:pStyle w:val="10"/>
              <w:spacing w:before="48"/>
            </w:pPr>
            <w:r>
              <w:t>项目审批（核准/备案）文号（选填）</w:t>
            </w:r>
          </w:p>
        </w:tc>
        <w:tc>
          <w:tcPr>
            <w:tcW w:w="1619" w:type="pct"/>
            <w:vAlign w:val="center"/>
          </w:tcPr>
          <w:p w14:paraId="39575D0C">
            <w:pPr>
              <w:pStyle w:val="10"/>
              <w:spacing w:before="48"/>
            </w:pPr>
            <w:r>
              <w:t>——</w:t>
            </w:r>
          </w:p>
        </w:tc>
      </w:tr>
      <w:tr w14:paraId="353AB267">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57" w:type="dxa"/>
            <w:bottom w:w="0" w:type="dxa"/>
            <w:right w:w="57" w:type="dxa"/>
          </w:tblCellMar>
        </w:tblPrEx>
        <w:trPr>
          <w:trHeight w:val="567" w:hRule="atLeast"/>
          <w:jc w:val="center"/>
        </w:trPr>
        <w:tc>
          <w:tcPr>
            <w:tcW w:w="1070" w:type="pct"/>
            <w:gridSpan w:val="2"/>
            <w:tcMar>
              <w:top w:w="16" w:type="dxa"/>
              <w:left w:w="16" w:type="dxa"/>
              <w:right w:w="16" w:type="dxa"/>
            </w:tcMar>
            <w:vAlign w:val="center"/>
          </w:tcPr>
          <w:p w14:paraId="00B112B8">
            <w:pPr>
              <w:pStyle w:val="10"/>
              <w:spacing w:before="48"/>
            </w:pPr>
            <w:r>
              <w:t>总投资（万元）</w:t>
            </w:r>
          </w:p>
        </w:tc>
        <w:tc>
          <w:tcPr>
            <w:tcW w:w="1281" w:type="pct"/>
            <w:vAlign w:val="center"/>
          </w:tcPr>
          <w:p w14:paraId="2427BC04">
            <w:pPr>
              <w:pStyle w:val="10"/>
              <w:spacing w:before="48"/>
            </w:pPr>
            <w:r>
              <w:t>1400.00</w:t>
            </w:r>
          </w:p>
        </w:tc>
        <w:tc>
          <w:tcPr>
            <w:tcW w:w="1030" w:type="pct"/>
            <w:tcMar>
              <w:top w:w="16" w:type="dxa"/>
              <w:left w:w="16" w:type="dxa"/>
              <w:right w:w="16" w:type="dxa"/>
            </w:tcMar>
            <w:vAlign w:val="center"/>
          </w:tcPr>
          <w:p w14:paraId="2364AE83">
            <w:pPr>
              <w:pStyle w:val="10"/>
              <w:spacing w:before="48"/>
            </w:pPr>
            <w:r>
              <w:t>环保投资（万元）</w:t>
            </w:r>
          </w:p>
        </w:tc>
        <w:tc>
          <w:tcPr>
            <w:tcW w:w="1619" w:type="pct"/>
            <w:vAlign w:val="center"/>
          </w:tcPr>
          <w:p w14:paraId="68879A63">
            <w:pPr>
              <w:pStyle w:val="10"/>
              <w:spacing w:before="48"/>
            </w:pPr>
            <w:r>
              <w:t>20.00</w:t>
            </w:r>
          </w:p>
        </w:tc>
      </w:tr>
      <w:tr w14:paraId="2346582E">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57" w:type="dxa"/>
            <w:bottom w:w="0" w:type="dxa"/>
            <w:right w:w="57" w:type="dxa"/>
          </w:tblCellMar>
        </w:tblPrEx>
        <w:trPr>
          <w:trHeight w:val="567" w:hRule="atLeast"/>
          <w:jc w:val="center"/>
        </w:trPr>
        <w:tc>
          <w:tcPr>
            <w:tcW w:w="1070" w:type="pct"/>
            <w:gridSpan w:val="2"/>
            <w:tcMar>
              <w:top w:w="16" w:type="dxa"/>
              <w:left w:w="16" w:type="dxa"/>
              <w:right w:w="16" w:type="dxa"/>
            </w:tcMar>
            <w:vAlign w:val="center"/>
          </w:tcPr>
          <w:p w14:paraId="27DAE0E7">
            <w:pPr>
              <w:pStyle w:val="10"/>
              <w:spacing w:before="48"/>
            </w:pPr>
            <w:r>
              <w:t>环保投资占比（%）</w:t>
            </w:r>
          </w:p>
        </w:tc>
        <w:tc>
          <w:tcPr>
            <w:tcW w:w="1281" w:type="pct"/>
            <w:vAlign w:val="center"/>
          </w:tcPr>
          <w:p w14:paraId="12F2BC56">
            <w:pPr>
              <w:pStyle w:val="10"/>
              <w:spacing w:before="48"/>
            </w:pPr>
            <w:r>
              <w:t>1.43</w:t>
            </w:r>
          </w:p>
        </w:tc>
        <w:tc>
          <w:tcPr>
            <w:tcW w:w="1030" w:type="pct"/>
            <w:tcMar>
              <w:top w:w="16" w:type="dxa"/>
              <w:left w:w="16" w:type="dxa"/>
              <w:right w:w="16" w:type="dxa"/>
            </w:tcMar>
            <w:vAlign w:val="center"/>
          </w:tcPr>
          <w:p w14:paraId="052FEE7C">
            <w:pPr>
              <w:pStyle w:val="10"/>
              <w:spacing w:before="48"/>
            </w:pPr>
            <w:r>
              <w:t>施工工期</w:t>
            </w:r>
          </w:p>
        </w:tc>
        <w:tc>
          <w:tcPr>
            <w:tcW w:w="1619" w:type="pct"/>
            <w:vAlign w:val="center"/>
          </w:tcPr>
          <w:p w14:paraId="1ADCCA37">
            <w:pPr>
              <w:pStyle w:val="10"/>
              <w:spacing w:before="48"/>
            </w:pPr>
            <w:r>
              <w:t>2个月</w:t>
            </w:r>
          </w:p>
        </w:tc>
      </w:tr>
      <w:tr w14:paraId="62D48F07">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57" w:type="dxa"/>
            <w:bottom w:w="0" w:type="dxa"/>
            <w:right w:w="57" w:type="dxa"/>
          </w:tblCellMar>
        </w:tblPrEx>
        <w:trPr>
          <w:trHeight w:val="765" w:hRule="atLeast"/>
          <w:jc w:val="center"/>
        </w:trPr>
        <w:tc>
          <w:tcPr>
            <w:tcW w:w="1070" w:type="pct"/>
            <w:gridSpan w:val="2"/>
            <w:tcMar>
              <w:top w:w="16" w:type="dxa"/>
              <w:left w:w="16" w:type="dxa"/>
              <w:right w:w="16" w:type="dxa"/>
            </w:tcMar>
            <w:vAlign w:val="center"/>
          </w:tcPr>
          <w:p w14:paraId="5CB19907">
            <w:pPr>
              <w:pStyle w:val="10"/>
              <w:spacing w:before="48"/>
            </w:pPr>
            <w:r>
              <w:t>是否开工建设</w:t>
            </w:r>
          </w:p>
        </w:tc>
        <w:tc>
          <w:tcPr>
            <w:tcW w:w="1281" w:type="pct"/>
            <w:vAlign w:val="center"/>
          </w:tcPr>
          <w:p w14:paraId="244883DA">
            <w:pPr>
              <w:pStyle w:val="10"/>
              <w:spacing w:before="48"/>
            </w:pPr>
            <w:r>
              <w:rPr/>
              <w:sym w:font="Wingdings" w:char="00FE"/>
            </w:r>
            <w:r>
              <w:t>否</w:t>
            </w:r>
          </w:p>
          <w:p w14:paraId="0CF701AA">
            <w:pPr>
              <w:pStyle w:val="10"/>
              <w:spacing w:before="48"/>
            </w:pPr>
            <w:r>
              <w:rPr/>
              <w:sym w:font="Wingdings" w:char="00A8"/>
            </w:r>
            <w:r>
              <w:t>是</w:t>
            </w:r>
          </w:p>
        </w:tc>
        <w:tc>
          <w:tcPr>
            <w:tcW w:w="1030" w:type="pct"/>
            <w:tcMar>
              <w:top w:w="16" w:type="dxa"/>
              <w:left w:w="16" w:type="dxa"/>
              <w:right w:w="16" w:type="dxa"/>
            </w:tcMar>
            <w:vAlign w:val="center"/>
          </w:tcPr>
          <w:p w14:paraId="7B078476">
            <w:pPr>
              <w:pStyle w:val="10"/>
              <w:spacing w:before="48"/>
            </w:pPr>
            <w:r>
              <w:t>用地（用海）</w:t>
            </w:r>
          </w:p>
          <w:p w14:paraId="6A719B6D">
            <w:pPr>
              <w:pStyle w:val="10"/>
              <w:spacing w:before="48"/>
            </w:pPr>
            <w:r>
              <w:t>面积（m</w:t>
            </w:r>
            <w:r>
              <w:rPr>
                <w:vertAlign w:val="superscript"/>
              </w:rPr>
              <w:t>2</w:t>
            </w:r>
            <w:r>
              <w:t>）</w:t>
            </w:r>
          </w:p>
        </w:tc>
        <w:tc>
          <w:tcPr>
            <w:tcW w:w="1619" w:type="pct"/>
            <w:vAlign w:val="center"/>
          </w:tcPr>
          <w:p w14:paraId="2364887B">
            <w:pPr>
              <w:pStyle w:val="10"/>
              <w:spacing w:before="48"/>
            </w:pPr>
            <w:r>
              <w:t>893.95</w:t>
            </w:r>
          </w:p>
        </w:tc>
      </w:tr>
      <w:tr w14:paraId="726F5394">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57" w:type="dxa"/>
            <w:bottom w:w="0" w:type="dxa"/>
            <w:right w:w="57" w:type="dxa"/>
          </w:tblCellMar>
        </w:tblPrEx>
        <w:trPr>
          <w:trHeight w:val="567" w:hRule="atLeast"/>
          <w:jc w:val="center"/>
        </w:trPr>
        <w:tc>
          <w:tcPr>
            <w:tcW w:w="1070" w:type="pct"/>
            <w:gridSpan w:val="2"/>
            <w:vAlign w:val="center"/>
          </w:tcPr>
          <w:p w14:paraId="0F7FF02A">
            <w:pPr>
              <w:pStyle w:val="10"/>
              <w:spacing w:before="48"/>
            </w:pPr>
            <w:r>
              <w:t>专项评价设置情况</w:t>
            </w:r>
          </w:p>
        </w:tc>
        <w:tc>
          <w:tcPr>
            <w:tcW w:w="3930" w:type="pct"/>
            <w:gridSpan w:val="3"/>
            <w:vAlign w:val="center"/>
          </w:tcPr>
          <w:p w14:paraId="3A2D2EF6">
            <w:pPr>
              <w:pStyle w:val="10"/>
              <w:spacing w:before="48"/>
            </w:pPr>
            <w:r>
              <w:t>无</w:t>
            </w:r>
          </w:p>
        </w:tc>
      </w:tr>
      <w:tr w14:paraId="3667A04A">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57" w:type="dxa"/>
            <w:bottom w:w="0" w:type="dxa"/>
            <w:right w:w="57" w:type="dxa"/>
          </w:tblCellMar>
        </w:tblPrEx>
        <w:trPr>
          <w:trHeight w:val="624" w:hRule="atLeast"/>
          <w:jc w:val="center"/>
        </w:trPr>
        <w:tc>
          <w:tcPr>
            <w:tcW w:w="1070" w:type="pct"/>
            <w:gridSpan w:val="2"/>
            <w:vAlign w:val="center"/>
          </w:tcPr>
          <w:p w14:paraId="33E64828">
            <w:pPr>
              <w:pStyle w:val="10"/>
              <w:spacing w:before="48"/>
            </w:pPr>
            <w:r>
              <w:t>规划情况</w:t>
            </w:r>
          </w:p>
        </w:tc>
        <w:tc>
          <w:tcPr>
            <w:tcW w:w="3930" w:type="pct"/>
            <w:gridSpan w:val="3"/>
            <w:vAlign w:val="center"/>
          </w:tcPr>
          <w:p w14:paraId="378EF603">
            <w:pPr>
              <w:pStyle w:val="10"/>
              <w:spacing w:before="48"/>
            </w:pPr>
            <w:r>
              <w:t>规划名称：《博罗智能装备产业园园洲片区(起步区)控制性详细规划》</w:t>
            </w:r>
          </w:p>
          <w:p w14:paraId="246AF5E2">
            <w:pPr>
              <w:pStyle w:val="10"/>
              <w:spacing w:before="48"/>
            </w:pPr>
            <w:r>
              <w:t>审批机关：博罗县人民政府</w:t>
            </w:r>
          </w:p>
        </w:tc>
      </w:tr>
      <w:tr w14:paraId="70567A0D">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57" w:type="dxa"/>
            <w:bottom w:w="0" w:type="dxa"/>
            <w:right w:w="57" w:type="dxa"/>
          </w:tblCellMar>
        </w:tblPrEx>
        <w:trPr>
          <w:trHeight w:val="567" w:hRule="atLeast"/>
          <w:jc w:val="center"/>
        </w:trPr>
        <w:tc>
          <w:tcPr>
            <w:tcW w:w="1070" w:type="pct"/>
            <w:gridSpan w:val="2"/>
            <w:vAlign w:val="center"/>
          </w:tcPr>
          <w:p w14:paraId="407D11C5">
            <w:pPr>
              <w:pStyle w:val="10"/>
              <w:spacing w:before="48"/>
            </w:pPr>
            <w:r>
              <w:t>规划环境影响</w:t>
            </w:r>
          </w:p>
          <w:p w14:paraId="191F9912">
            <w:pPr>
              <w:pStyle w:val="10"/>
              <w:spacing w:before="48"/>
            </w:pPr>
            <w:r>
              <w:t>评价情况</w:t>
            </w:r>
          </w:p>
        </w:tc>
        <w:tc>
          <w:tcPr>
            <w:tcW w:w="3930" w:type="pct"/>
            <w:gridSpan w:val="3"/>
            <w:vAlign w:val="center"/>
          </w:tcPr>
          <w:p w14:paraId="6C400D98">
            <w:pPr>
              <w:pStyle w:val="10"/>
              <w:spacing w:before="48"/>
            </w:pPr>
            <w:r>
              <w:t>无</w:t>
            </w:r>
          </w:p>
        </w:tc>
      </w:tr>
      <w:tr w14:paraId="496F3020">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57" w:type="dxa"/>
            <w:bottom w:w="0" w:type="dxa"/>
            <w:right w:w="57" w:type="dxa"/>
          </w:tblCellMar>
        </w:tblPrEx>
        <w:trPr>
          <w:trHeight w:val="1630" w:hRule="atLeast"/>
          <w:jc w:val="center"/>
        </w:trPr>
        <w:tc>
          <w:tcPr>
            <w:tcW w:w="1070" w:type="pct"/>
            <w:gridSpan w:val="2"/>
            <w:vAlign w:val="center"/>
          </w:tcPr>
          <w:p w14:paraId="40952C0D">
            <w:pPr>
              <w:pStyle w:val="10"/>
              <w:spacing w:before="48"/>
            </w:pPr>
            <w:r>
              <w:t>规划及规划环境影响评价符合性分析</w:t>
            </w:r>
          </w:p>
        </w:tc>
        <w:tc>
          <w:tcPr>
            <w:tcW w:w="3930" w:type="pct"/>
            <w:gridSpan w:val="3"/>
            <w:vAlign w:val="center"/>
          </w:tcPr>
          <w:p w14:paraId="35C7B4C8">
            <w:pPr>
              <w:pStyle w:val="10"/>
              <w:spacing w:before="48"/>
            </w:pPr>
            <w:r>
              <w:t>根据《博罗智能装备产业园园洲片区(起步区)控制性详细规划》(博罗县自然资源局，二〇二四年三月)，项目所在地块为工业用地，项目主要从事塑料零件及其他塑料制品制造的生产，符合规划园区规划要求。</w:t>
            </w:r>
          </w:p>
        </w:tc>
      </w:tr>
      <w:tr w14:paraId="217129F0">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57" w:type="dxa"/>
            <w:bottom w:w="0" w:type="dxa"/>
            <w:right w:w="57" w:type="dxa"/>
          </w:tblCellMar>
        </w:tblPrEx>
        <w:trPr>
          <w:trHeight w:val="397" w:hRule="atLeast"/>
          <w:jc w:val="center"/>
        </w:trPr>
        <w:tc>
          <w:tcPr>
            <w:tcW w:w="216" w:type="pct"/>
            <w:vAlign w:val="center"/>
          </w:tcPr>
          <w:p w14:paraId="499622CD">
            <w:pPr>
              <w:pStyle w:val="10"/>
              <w:spacing w:before="48"/>
            </w:pPr>
            <w:r>
              <w:t>其他符合性分析</w:t>
            </w:r>
          </w:p>
        </w:tc>
        <w:tc>
          <w:tcPr>
            <w:tcW w:w="4784" w:type="pct"/>
            <w:gridSpan w:val="4"/>
            <w:vAlign w:val="center"/>
          </w:tcPr>
          <w:p w14:paraId="3FB74FB7">
            <w:pPr>
              <w:autoSpaceDE w:val="0"/>
              <w:autoSpaceDN w:val="0"/>
              <w:ind w:firstLine="482"/>
              <w:rPr>
                <w:rFonts w:asciiTheme="majorBidi" w:hAnsiTheme="majorBidi" w:eastAsiaTheme="minorEastAsia" w:cstheme="majorBidi"/>
                <w:b/>
                <w:color w:val="000000" w:themeColor="text1"/>
                <w14:textFill>
                  <w14:solidFill>
                    <w14:schemeClr w14:val="tx1"/>
                  </w14:solidFill>
                </w14:textFill>
              </w:rPr>
            </w:pPr>
            <w:r>
              <w:rPr>
                <w:rFonts w:asciiTheme="majorBidi" w:hAnsiTheme="majorBidi" w:eastAsiaTheme="minorEastAsia" w:cstheme="majorBidi"/>
                <w:b/>
                <w:color w:val="000000" w:themeColor="text1"/>
                <w14:textFill>
                  <w14:solidFill>
                    <w14:schemeClr w14:val="tx1"/>
                  </w14:solidFill>
                </w14:textFill>
              </w:rPr>
              <w:t>（一）与广东省三线一单符合性分析</w:t>
            </w:r>
          </w:p>
          <w:p w14:paraId="39E2A80A">
            <w:pPr>
              <w:ind w:firstLine="480"/>
              <w:rPr>
                <w:rFonts w:asciiTheme="majorBidi" w:hAnsiTheme="majorBidi" w:eastAsiaTheme="minorEastAsia" w:cstheme="majorBidi"/>
                <w:color w:val="000000" w:themeColor="text1"/>
                <w:kern w:val="2"/>
                <w14:textFill>
                  <w14:solidFill>
                    <w14:schemeClr w14:val="tx1"/>
                  </w14:solidFill>
                </w14:textFill>
              </w:rPr>
            </w:pPr>
            <w:r>
              <w:rPr>
                <w:rFonts w:asciiTheme="majorBidi" w:hAnsiTheme="majorBidi" w:eastAsiaTheme="minorEastAsia" w:cstheme="majorBidi"/>
                <w:color w:val="000000" w:themeColor="text1"/>
                <w:kern w:val="2"/>
                <w14:textFill>
                  <w14:solidFill>
                    <w14:schemeClr w14:val="tx1"/>
                  </w14:solidFill>
                </w14:textFill>
              </w:rPr>
              <w:t>根据《广东省</w:t>
            </w:r>
            <w:r>
              <w:rPr>
                <w:rFonts w:ascii="宋体" w:hAnsi="宋体" w:eastAsiaTheme="minorEastAsia" w:cstheme="majorBidi"/>
                <w:color w:val="000000" w:themeColor="text1"/>
                <w:kern w:val="2"/>
                <w14:textFill>
                  <w14:solidFill>
                    <w14:schemeClr w14:val="tx1"/>
                  </w14:solidFill>
                </w14:textFill>
              </w:rPr>
              <w:t>“</w:t>
            </w:r>
            <w:r>
              <w:rPr>
                <w:rFonts w:asciiTheme="majorBidi" w:hAnsiTheme="majorBidi" w:eastAsiaTheme="minorEastAsia" w:cstheme="majorBidi"/>
                <w:color w:val="000000" w:themeColor="text1"/>
                <w:kern w:val="2"/>
                <w14:textFill>
                  <w14:solidFill>
                    <w14:schemeClr w14:val="tx1"/>
                  </w14:solidFill>
                </w14:textFill>
              </w:rPr>
              <w:t>三线一单</w:t>
            </w:r>
            <w:r>
              <w:rPr>
                <w:rFonts w:ascii="宋体" w:hAnsi="宋体" w:eastAsiaTheme="minorEastAsia" w:cstheme="majorBidi"/>
                <w:color w:val="000000" w:themeColor="text1"/>
                <w:kern w:val="2"/>
                <w14:textFill>
                  <w14:solidFill>
                    <w14:schemeClr w14:val="tx1"/>
                  </w14:solidFill>
                </w14:textFill>
              </w:rPr>
              <w:t>”</w:t>
            </w:r>
            <w:r>
              <w:rPr>
                <w:rFonts w:asciiTheme="majorBidi" w:hAnsiTheme="majorBidi" w:eastAsiaTheme="minorEastAsia" w:cstheme="majorBidi"/>
                <w:color w:val="000000" w:themeColor="text1"/>
                <w:kern w:val="2"/>
                <w14:textFill>
                  <w14:solidFill>
                    <w14:schemeClr w14:val="tx1"/>
                  </w14:solidFill>
                </w14:textFill>
              </w:rPr>
              <w:t>生态环境分区管控方案》（粤府﹝2020﹞71号）（三）环境管控单元总体管控要求-重点管控单元：推动产业转型升级、强化污染减排、提升资源利用效率为重点，加快解决资源环境负荷大、局部区域生态环境质量差、生态环境风险高等问题。</w:t>
            </w:r>
          </w:p>
          <w:p w14:paraId="47555EA0">
            <w:pPr>
              <w:ind w:firstLine="480"/>
              <w:rPr>
                <w:rFonts w:asciiTheme="majorBidi" w:hAnsiTheme="majorBidi" w:eastAsiaTheme="minorEastAsia" w:cstheme="majorBidi"/>
                <w:color w:val="000000" w:themeColor="text1"/>
                <w:kern w:val="2"/>
                <w14:textFill>
                  <w14:solidFill>
                    <w14:schemeClr w14:val="tx1"/>
                  </w14:solidFill>
                </w14:textFill>
              </w:rPr>
            </w:pPr>
            <w:r>
              <w:rPr>
                <w:rFonts w:asciiTheme="majorBidi" w:hAnsiTheme="majorBidi" w:eastAsiaTheme="minorEastAsia" w:cstheme="majorBidi"/>
                <w:color w:val="000000" w:themeColor="text1"/>
                <w:kern w:val="2"/>
                <w14:textFill>
                  <w14:solidFill>
                    <w14:schemeClr w14:val="tx1"/>
                  </w14:solidFill>
                </w14:textFill>
              </w:rPr>
              <w:t>——省级以上工业园区重点管控单元。依法开展园区规划环评，严格落实规划环评管理要求，开展环境质量跟踪监测，发布环境管理状况公告，制定并实施园区突发环境事件应急预案，定期开展环境安全隐患排查，提升风险防控及应急处置能力。周边1公里范围内涉及生态保护红线、自然保护地、饮用水水源地等生态环境敏感区域的园区，应优化产业布局，控制开发强度，优先引进无污染或轻污染的产业和项目，防止侵占生态空间。纳污水体水质超标的园区，应实施污水深度处理，新建、改建、扩建项目应实行重点污染物排放等量或减量替代。造纸、电镀、印染、鞣革等专业园区或基地应不断提升工艺水平，提高水回用率，逐步削减污染物排放总量；石化园区加快绿色智能升级改造，强化环保投入和管理，构建高效、清洁、低碳、循环的绿色制造体系。</w:t>
            </w:r>
          </w:p>
          <w:p w14:paraId="311BF58B">
            <w:pPr>
              <w:ind w:firstLine="480"/>
              <w:rPr>
                <w:rFonts w:asciiTheme="majorBidi" w:hAnsiTheme="majorBidi" w:eastAsiaTheme="minorEastAsia" w:cstheme="majorBidi"/>
                <w:color w:val="000000" w:themeColor="text1"/>
                <w:kern w:val="2"/>
                <w14:textFill>
                  <w14:solidFill>
                    <w14:schemeClr w14:val="tx1"/>
                  </w14:solidFill>
                </w14:textFill>
              </w:rPr>
            </w:pPr>
            <w:r>
              <w:rPr>
                <w:rFonts w:asciiTheme="majorBidi" w:hAnsiTheme="majorBidi" w:eastAsiaTheme="minorEastAsia" w:cstheme="majorBidi"/>
                <w:color w:val="000000" w:themeColor="text1"/>
                <w:kern w:val="2"/>
                <w14:textFill>
                  <w14:solidFill>
                    <w14:schemeClr w14:val="tx1"/>
                  </w14:solidFill>
                </w14:textFill>
              </w:rPr>
              <w:t>——水环境质量超标类重点管控单元。加强山水林田湖草系统治理，开展江河、湖泊、水库、湿地保护与修复，提升流域生态环境承载力。严格控制耗水量大、污染物排放强度高的行业发展，新建、改建、扩建项目实施重点水污染物减量替代。以城镇生活污染为主的单元，加快推进城镇生活污水有效收集处理，重点完善污水处理设施配套管网建设，加快实施雨污分流改造，推动提升污水处理设施进水水量和浓度，充分发挥污水处理设施治污效能。以农业污染为主的单元，大力推进畜禽养殖生态化转型及水产养殖业绿色发展，实施种植业</w:t>
            </w:r>
            <w:r>
              <w:rPr>
                <w:rFonts w:ascii="宋体" w:hAnsi="宋体" w:eastAsiaTheme="minorEastAsia" w:cstheme="majorBidi"/>
                <w:color w:val="000000" w:themeColor="text1"/>
                <w:kern w:val="2"/>
                <w14:textFill>
                  <w14:solidFill>
                    <w14:schemeClr w14:val="tx1"/>
                  </w14:solidFill>
                </w14:textFill>
              </w:rPr>
              <w:t>“</w:t>
            </w:r>
            <w:r>
              <w:rPr>
                <w:rFonts w:asciiTheme="majorBidi" w:hAnsiTheme="majorBidi" w:eastAsiaTheme="minorEastAsia" w:cstheme="majorBidi"/>
                <w:color w:val="000000" w:themeColor="text1"/>
                <w:kern w:val="2"/>
                <w14:textFill>
                  <w14:solidFill>
                    <w14:schemeClr w14:val="tx1"/>
                  </w14:solidFill>
                </w14:textFill>
              </w:rPr>
              <w:t>肥药双控</w:t>
            </w:r>
            <w:r>
              <w:rPr>
                <w:rFonts w:ascii="宋体" w:hAnsi="宋体" w:eastAsiaTheme="minorEastAsia" w:cstheme="majorBidi"/>
                <w:color w:val="000000" w:themeColor="text1"/>
                <w:kern w:val="2"/>
                <w14:textFill>
                  <w14:solidFill>
                    <w14:schemeClr w14:val="tx1"/>
                  </w14:solidFill>
                </w14:textFill>
              </w:rPr>
              <w:t>”</w:t>
            </w:r>
            <w:r>
              <w:rPr>
                <w:rFonts w:asciiTheme="majorBidi" w:hAnsiTheme="majorBidi" w:eastAsiaTheme="minorEastAsia" w:cstheme="majorBidi"/>
                <w:color w:val="000000" w:themeColor="text1"/>
                <w:kern w:val="2"/>
                <w14:textFill>
                  <w14:solidFill>
                    <w14:schemeClr w14:val="tx1"/>
                  </w14:solidFill>
                </w14:textFill>
              </w:rPr>
              <w:t>，加强畜禽养殖废弃物资源化利用，加快规模化畜禽养殖场粪便污水贮存、处理与利用配套设施建设，强化水产养殖尾水治理。</w:t>
            </w:r>
          </w:p>
          <w:p w14:paraId="18A7B209">
            <w:pPr>
              <w:ind w:firstLine="480"/>
              <w:rPr>
                <w:rFonts w:asciiTheme="majorBidi" w:hAnsiTheme="majorBidi" w:eastAsiaTheme="minorEastAsia" w:cstheme="majorBidi"/>
                <w:color w:val="000000" w:themeColor="text1"/>
                <w:kern w:val="2"/>
                <w14:textFill>
                  <w14:solidFill>
                    <w14:schemeClr w14:val="tx1"/>
                  </w14:solidFill>
                </w14:textFill>
              </w:rPr>
            </w:pPr>
            <w:r>
              <w:rPr>
                <w:rFonts w:asciiTheme="majorBidi" w:hAnsiTheme="majorBidi" w:eastAsiaTheme="minorEastAsia" w:cstheme="majorBidi"/>
                <w:color w:val="000000" w:themeColor="text1"/>
                <w:kern w:val="2"/>
                <w14:textFill>
                  <w14:solidFill>
                    <w14:schemeClr w14:val="tx1"/>
                  </w14:solidFill>
                </w14:textFill>
              </w:rPr>
              <w:t>——大气环境受体敏感类重点管控单元。严格限制新建钢铁、燃煤燃油火电、石化、储油库等项目，产生和排放有毒有害大气污染物项目，以及使用溶剂型油墨、涂料、清洗剂、胶黏剂等高挥发性有机物原辅材料的项目；鼓励现有该类项目逐步搬迁退出。</w:t>
            </w:r>
          </w:p>
          <w:p w14:paraId="603A88E1">
            <w:pPr>
              <w:ind w:firstLine="482"/>
              <w:rPr>
                <w:rFonts w:asciiTheme="majorBidi" w:hAnsiTheme="majorBidi" w:eastAsiaTheme="minorEastAsia" w:cstheme="majorBidi"/>
                <w:color w:val="000000" w:themeColor="text1"/>
                <w:kern w:val="2"/>
                <w14:textFill>
                  <w14:solidFill>
                    <w14:schemeClr w14:val="tx1"/>
                  </w14:solidFill>
                </w14:textFill>
              </w:rPr>
            </w:pPr>
            <w:r>
              <w:rPr>
                <w:rFonts w:asciiTheme="majorBidi" w:hAnsiTheme="majorBidi" w:eastAsiaTheme="minorEastAsia" w:cstheme="majorBidi"/>
                <w:b/>
                <w:bCs/>
                <w:color w:val="000000" w:themeColor="text1"/>
                <w:kern w:val="2"/>
                <w14:textFill>
                  <w14:solidFill>
                    <w14:schemeClr w14:val="tx1"/>
                  </w14:solidFill>
                </w14:textFill>
              </w:rPr>
              <w:t>符合性分析：</w:t>
            </w:r>
            <w:r>
              <w:rPr>
                <w:rFonts w:asciiTheme="majorBidi" w:hAnsiTheme="majorBidi" w:eastAsiaTheme="minorEastAsia" w:cstheme="majorBidi"/>
                <w:color w:val="000000" w:themeColor="text1"/>
                <w:kern w:val="2"/>
                <w14:textFill>
                  <w14:solidFill>
                    <w14:schemeClr w14:val="tx1"/>
                  </w14:solidFill>
                </w14:textFill>
              </w:rPr>
              <w:t>项目位于广东省惠州市博罗县园洲镇博罗智能装备产业园园洲片区绿化北路3号（10-b号厂房101、201、301楼），地理位置详见附图1。根据《广东省</w:t>
            </w:r>
            <w:r>
              <w:rPr>
                <w:rFonts w:ascii="宋体" w:hAnsi="宋体" w:eastAsiaTheme="minorEastAsia" w:cstheme="majorBidi"/>
                <w:color w:val="000000" w:themeColor="text1"/>
                <w:kern w:val="2"/>
                <w14:textFill>
                  <w14:solidFill>
                    <w14:schemeClr w14:val="tx1"/>
                  </w14:solidFill>
                </w14:textFill>
              </w:rPr>
              <w:t>“</w:t>
            </w:r>
            <w:r>
              <w:rPr>
                <w:rFonts w:asciiTheme="majorBidi" w:hAnsiTheme="majorBidi" w:eastAsiaTheme="minorEastAsia" w:cstheme="majorBidi"/>
                <w:color w:val="000000" w:themeColor="text1"/>
                <w:kern w:val="2"/>
                <w14:textFill>
                  <w14:solidFill>
                    <w14:schemeClr w14:val="tx1"/>
                  </w14:solidFill>
                </w14:textFill>
              </w:rPr>
              <w:t>三线一单</w:t>
            </w:r>
            <w:r>
              <w:rPr>
                <w:rFonts w:ascii="宋体" w:hAnsi="宋体" w:eastAsiaTheme="minorEastAsia" w:cstheme="majorBidi"/>
                <w:color w:val="000000" w:themeColor="text1"/>
                <w:kern w:val="2"/>
                <w14:textFill>
                  <w14:solidFill>
                    <w14:schemeClr w14:val="tx1"/>
                  </w14:solidFill>
                </w14:textFill>
              </w:rPr>
              <w:t>”</w:t>
            </w:r>
            <w:r>
              <w:rPr>
                <w:rFonts w:asciiTheme="majorBidi" w:hAnsiTheme="majorBidi" w:eastAsiaTheme="minorEastAsia" w:cstheme="majorBidi"/>
                <w:color w:val="000000" w:themeColor="text1"/>
                <w:kern w:val="2"/>
                <w14:textFill>
                  <w14:solidFill>
                    <w14:schemeClr w14:val="tx1"/>
                  </w14:solidFill>
                </w14:textFill>
              </w:rPr>
              <w:t>生态环境分区管控方案》（粤府〔2020〕71号）以及广东省三线一单应用平台，本规划地块涉及重点管控单元（详见附图2~附图7）。本项目生活污水经三级化粪池预处理后排入博罗县园洲镇第五生活污水处理厂深度处理后排入园洲中心排渠，经过沙河汇入东江；</w:t>
            </w:r>
            <w:r>
              <w:rPr>
                <w:rFonts w:asciiTheme="majorBidi" w:hAnsiTheme="majorBidi" w:eastAsiaTheme="minorEastAsia" w:cstheme="majorBidi"/>
                <w:color w:val="000000" w:themeColor="text1"/>
                <w14:textFill>
                  <w14:solidFill>
                    <w14:schemeClr w14:val="tx1"/>
                  </w14:solidFill>
                </w14:textFill>
              </w:rPr>
              <w:t>工业废气等均采取相关防治措施，对周围环境影响不大。因此，本规划与《广东省</w:t>
            </w:r>
            <w:r>
              <w:rPr>
                <w:rFonts w:ascii="宋体" w:hAnsi="宋体" w:eastAsiaTheme="minorEastAsia" w:cstheme="majorBidi"/>
                <w:color w:val="000000" w:themeColor="text1"/>
                <w14:textFill>
                  <w14:solidFill>
                    <w14:schemeClr w14:val="tx1"/>
                  </w14:solidFill>
                </w14:textFill>
              </w:rPr>
              <w:t>“</w:t>
            </w:r>
            <w:r>
              <w:rPr>
                <w:rFonts w:asciiTheme="majorBidi" w:hAnsiTheme="majorBidi" w:eastAsiaTheme="minorEastAsia" w:cstheme="majorBidi"/>
                <w:color w:val="000000" w:themeColor="text1"/>
                <w14:textFill>
                  <w14:solidFill>
                    <w14:schemeClr w14:val="tx1"/>
                  </w14:solidFill>
                </w14:textFill>
              </w:rPr>
              <w:t>三线一单</w:t>
            </w:r>
            <w:r>
              <w:rPr>
                <w:rFonts w:ascii="宋体" w:hAnsi="宋体" w:eastAsiaTheme="minorEastAsia" w:cstheme="majorBidi"/>
                <w:color w:val="000000" w:themeColor="text1"/>
                <w14:textFill>
                  <w14:solidFill>
                    <w14:schemeClr w14:val="tx1"/>
                  </w14:solidFill>
                </w14:textFill>
              </w:rPr>
              <w:t>”</w:t>
            </w:r>
            <w:r>
              <w:rPr>
                <w:rFonts w:asciiTheme="majorBidi" w:hAnsiTheme="majorBidi" w:eastAsiaTheme="minorEastAsia" w:cstheme="majorBidi"/>
                <w:color w:val="000000" w:themeColor="text1"/>
                <w14:textFill>
                  <w14:solidFill>
                    <w14:schemeClr w14:val="tx1"/>
                  </w14:solidFill>
                </w14:textFill>
              </w:rPr>
              <w:t>生态环境分区管控方案》（粤府〔2020〕71号）是相符的。</w:t>
            </w:r>
          </w:p>
          <w:p w14:paraId="1FC1F0E2">
            <w:pPr>
              <w:autoSpaceDE w:val="0"/>
              <w:autoSpaceDN w:val="0"/>
              <w:ind w:firstLine="482"/>
              <w:rPr>
                <w:rFonts w:asciiTheme="majorBidi" w:hAnsiTheme="majorBidi" w:eastAsiaTheme="minorEastAsia" w:cstheme="majorBidi"/>
                <w:b/>
                <w:color w:val="000000" w:themeColor="text1"/>
                <w14:textFill>
                  <w14:solidFill>
                    <w14:schemeClr w14:val="tx1"/>
                  </w14:solidFill>
                </w14:textFill>
              </w:rPr>
            </w:pPr>
            <w:r>
              <w:rPr>
                <w:rFonts w:asciiTheme="majorBidi" w:hAnsiTheme="majorBidi" w:eastAsiaTheme="minorEastAsia" w:cstheme="majorBidi"/>
                <w:b/>
                <w:color w:val="000000" w:themeColor="text1"/>
                <w14:textFill>
                  <w14:solidFill>
                    <w14:schemeClr w14:val="tx1"/>
                  </w14:solidFill>
                </w14:textFill>
              </w:rPr>
              <w:t>（二）与博罗县三线一单符合性分析</w:t>
            </w:r>
          </w:p>
          <w:p w14:paraId="6E42E2D8">
            <w:pPr>
              <w:adjustRightInd/>
              <w:snapToGrid/>
              <w:ind w:firstLine="482"/>
              <w:rPr>
                <w:rFonts w:asciiTheme="majorBidi" w:hAnsiTheme="majorBidi" w:eastAsiaTheme="minorEastAsia" w:cstheme="majorBidi"/>
                <w:b/>
                <w:bCs/>
                <w:color w:val="000000" w:themeColor="text1"/>
                <w:kern w:val="2"/>
                <w14:textFill>
                  <w14:solidFill>
                    <w14:schemeClr w14:val="tx1"/>
                  </w14:solidFill>
                </w14:textFill>
              </w:rPr>
            </w:pPr>
            <w:r>
              <w:rPr>
                <w:rFonts w:asciiTheme="majorBidi" w:hAnsiTheme="majorBidi" w:eastAsiaTheme="minorEastAsia" w:cstheme="majorBidi"/>
                <w:b/>
                <w:bCs/>
                <w:color w:val="000000" w:themeColor="text1"/>
                <w:kern w:val="2"/>
                <w14:textFill>
                  <w14:solidFill>
                    <w14:schemeClr w14:val="tx1"/>
                  </w14:solidFill>
                </w14:textFill>
              </w:rPr>
              <w:t>1.生态保护红线</w:t>
            </w:r>
          </w:p>
          <w:p w14:paraId="17056305">
            <w:pPr>
              <w:autoSpaceDE w:val="0"/>
              <w:autoSpaceDN w:val="0"/>
              <w:snapToGrid/>
              <w:ind w:firstLine="480"/>
              <w:textAlignment w:val="baseline"/>
              <w:rPr>
                <w:rFonts w:asciiTheme="majorBidi" w:hAnsiTheme="majorBidi" w:eastAsiaTheme="minorEastAsia" w:cstheme="majorBidi"/>
                <w:color w:val="000000" w:themeColor="text1"/>
                <w:kern w:val="2"/>
                <w14:textFill>
                  <w14:solidFill>
                    <w14:schemeClr w14:val="tx1"/>
                  </w14:solidFill>
                </w14:textFill>
              </w:rPr>
            </w:pPr>
            <w:r>
              <w:rPr>
                <w:rFonts w:asciiTheme="majorBidi" w:hAnsiTheme="majorBidi" w:eastAsiaTheme="minorEastAsia" w:cstheme="majorBidi"/>
                <w:color w:val="000000" w:themeColor="text1"/>
                <w:kern w:val="2"/>
                <w14:textFill>
                  <w14:solidFill>
                    <w14:schemeClr w14:val="tx1"/>
                  </w14:solidFill>
                </w14:textFill>
              </w:rPr>
              <w:t>项目位于广东省惠州市博罗县园洲镇博罗智能装备产业园园洲片区绿化北路3号（10-b号厂房101、201、301楼），根据《博罗县生态保护红线、环境质量底线、资源利用上线和环境准入清单研究报告》的表3.3-2和《博罗县</w:t>
            </w:r>
            <w:r>
              <w:rPr>
                <w:rFonts w:ascii="宋体" w:hAnsi="宋体" w:eastAsiaTheme="minorEastAsia" w:cstheme="majorBidi"/>
                <w:color w:val="000000" w:themeColor="text1"/>
                <w:kern w:val="2"/>
                <w14:textFill>
                  <w14:solidFill>
                    <w14:schemeClr w14:val="tx1"/>
                  </w14:solidFill>
                </w14:textFill>
              </w:rPr>
              <w:t>“</w:t>
            </w:r>
            <w:r>
              <w:rPr>
                <w:rFonts w:asciiTheme="majorBidi" w:hAnsiTheme="majorBidi" w:eastAsiaTheme="minorEastAsia" w:cstheme="majorBidi"/>
                <w:color w:val="000000" w:themeColor="text1"/>
                <w:kern w:val="2"/>
                <w14:textFill>
                  <w14:solidFill>
                    <w14:schemeClr w14:val="tx1"/>
                  </w14:solidFill>
                </w14:textFill>
              </w:rPr>
              <w:t>三线一单</w:t>
            </w:r>
            <w:r>
              <w:rPr>
                <w:rFonts w:ascii="宋体" w:hAnsi="宋体" w:eastAsiaTheme="minorEastAsia" w:cstheme="majorBidi"/>
                <w:color w:val="000000" w:themeColor="text1"/>
                <w:kern w:val="2"/>
                <w14:textFill>
                  <w14:solidFill>
                    <w14:schemeClr w14:val="tx1"/>
                  </w14:solidFill>
                </w14:textFill>
              </w:rPr>
              <w:t>”</w:t>
            </w:r>
            <w:r>
              <w:rPr>
                <w:rFonts w:asciiTheme="majorBidi" w:hAnsiTheme="majorBidi" w:eastAsiaTheme="minorEastAsia" w:cstheme="majorBidi"/>
                <w:color w:val="000000" w:themeColor="text1"/>
                <w:kern w:val="2"/>
                <w14:textFill>
                  <w14:solidFill>
                    <w14:schemeClr w14:val="tx1"/>
                  </w14:solidFill>
                </w14:textFill>
              </w:rPr>
              <w:t>生态环境分区管控图集》图7 生态空间最终划定情况（附图8），本项目位于生态空间一般管控区，不涉及生态保护红线、一般生态空间范围内，符合生态保护红线的要求。</w:t>
            </w:r>
          </w:p>
          <w:p w14:paraId="44B475AE">
            <w:pPr>
              <w:adjustRightInd/>
              <w:snapToGrid/>
              <w:ind w:firstLine="482"/>
              <w:rPr>
                <w:rFonts w:asciiTheme="majorBidi" w:hAnsiTheme="majorBidi" w:eastAsiaTheme="minorEastAsia" w:cstheme="majorBidi"/>
                <w:b/>
                <w:bCs/>
                <w:color w:val="000000" w:themeColor="text1"/>
                <w:kern w:val="2"/>
                <w14:textFill>
                  <w14:solidFill>
                    <w14:schemeClr w14:val="tx1"/>
                  </w14:solidFill>
                </w14:textFill>
              </w:rPr>
            </w:pPr>
            <w:r>
              <w:rPr>
                <w:rFonts w:asciiTheme="majorBidi" w:hAnsiTheme="majorBidi" w:eastAsiaTheme="minorEastAsia" w:cstheme="majorBidi"/>
                <w:b/>
                <w:bCs/>
                <w:color w:val="000000" w:themeColor="text1"/>
                <w:kern w:val="2"/>
                <w14:textFill>
                  <w14:solidFill>
                    <w14:schemeClr w14:val="tx1"/>
                  </w14:solidFill>
                </w14:textFill>
              </w:rPr>
              <w:t>2.环境质量底线</w:t>
            </w:r>
          </w:p>
          <w:p w14:paraId="5A137D42">
            <w:pPr>
              <w:autoSpaceDE w:val="0"/>
              <w:autoSpaceDN w:val="0"/>
              <w:snapToGrid/>
              <w:ind w:firstLine="480"/>
              <w:textAlignment w:val="baseline"/>
              <w:rPr>
                <w:rFonts w:asciiTheme="majorBidi" w:hAnsiTheme="majorBidi" w:eastAsiaTheme="minorEastAsia" w:cstheme="majorBidi"/>
                <w:color w:val="000000" w:themeColor="text1"/>
                <w:kern w:val="2"/>
                <w14:textFill>
                  <w14:solidFill>
                    <w14:schemeClr w14:val="tx1"/>
                  </w14:solidFill>
                </w14:textFill>
              </w:rPr>
            </w:pPr>
            <w:r>
              <w:rPr>
                <w:rFonts w:asciiTheme="majorBidi" w:hAnsiTheme="majorBidi" w:eastAsiaTheme="minorEastAsia" w:cstheme="majorBidi"/>
                <w:color w:val="000000" w:themeColor="text1"/>
                <w:kern w:val="2"/>
                <w14:textFill>
                  <w14:solidFill>
                    <w14:schemeClr w14:val="tx1"/>
                  </w14:solidFill>
                </w14:textFill>
              </w:rPr>
              <w:t>根据《博罗县生态保护红线、环境质量底线、资源利用上线和环境准入清单研究报告》表4.8-2和《博罗县</w:t>
            </w:r>
            <w:r>
              <w:rPr>
                <w:rFonts w:ascii="宋体" w:hAnsi="宋体" w:eastAsiaTheme="minorEastAsia" w:cstheme="majorBidi"/>
                <w:color w:val="000000" w:themeColor="text1"/>
                <w:kern w:val="2"/>
                <w14:textFill>
                  <w14:solidFill>
                    <w14:schemeClr w14:val="tx1"/>
                  </w14:solidFill>
                </w14:textFill>
              </w:rPr>
              <w:t>“</w:t>
            </w:r>
            <w:r>
              <w:rPr>
                <w:rFonts w:asciiTheme="majorBidi" w:hAnsiTheme="majorBidi" w:eastAsiaTheme="minorEastAsia" w:cstheme="majorBidi"/>
                <w:color w:val="000000" w:themeColor="text1"/>
                <w:kern w:val="2"/>
                <w14:textFill>
                  <w14:solidFill>
                    <w14:schemeClr w14:val="tx1"/>
                  </w14:solidFill>
                </w14:textFill>
              </w:rPr>
              <w:t>三线一单</w:t>
            </w:r>
            <w:r>
              <w:rPr>
                <w:rFonts w:ascii="宋体" w:hAnsi="宋体" w:eastAsiaTheme="minorEastAsia" w:cstheme="majorBidi"/>
                <w:color w:val="000000" w:themeColor="text1"/>
                <w:kern w:val="2"/>
                <w14:textFill>
                  <w14:solidFill>
                    <w14:schemeClr w14:val="tx1"/>
                  </w14:solidFill>
                </w14:textFill>
              </w:rPr>
              <w:t>”</w:t>
            </w:r>
            <w:r>
              <w:rPr>
                <w:rFonts w:asciiTheme="majorBidi" w:hAnsiTheme="majorBidi" w:eastAsiaTheme="minorEastAsia" w:cstheme="majorBidi"/>
                <w:color w:val="000000" w:themeColor="text1"/>
                <w:kern w:val="2"/>
                <w14:textFill>
                  <w14:solidFill>
                    <w14:schemeClr w14:val="tx1"/>
                  </w14:solidFill>
                </w14:textFill>
              </w:rPr>
              <w:t>生态环境分区管控图集》图10博罗县水环境质量底线管控分区划定情况（附图9），项目所在地为水环境生活污染重点管控区，管控区内要求：</w:t>
            </w:r>
            <w:r>
              <w:rPr>
                <w:rFonts w:ascii="Cambria Math" w:hAnsi="Cambria Math" w:cs="Cambria Math" w:eastAsiaTheme="minorEastAsia"/>
                <w:color w:val="000000" w:themeColor="text1"/>
                <w:kern w:val="2"/>
                <w14:textFill>
                  <w14:solidFill>
                    <w14:schemeClr w14:val="tx1"/>
                  </w14:solidFill>
                </w14:textFill>
              </w:rPr>
              <w:t>①</w:t>
            </w:r>
            <w:r>
              <w:rPr>
                <w:rFonts w:asciiTheme="majorBidi" w:hAnsiTheme="majorBidi" w:eastAsiaTheme="minorEastAsia" w:cstheme="majorBidi"/>
                <w:color w:val="000000" w:themeColor="text1"/>
                <w:kern w:val="2"/>
                <w14:textFill>
                  <w14:solidFill>
                    <w14:schemeClr w14:val="tx1"/>
                  </w14:solidFill>
                </w14:textFill>
              </w:rPr>
              <w:t>加强涉水项目环境准入管理，饮用水水源保护区内禁止新、扩、改建排放污染物的项目，饮用水水源准保护区禁止新、扩建对水体污染严重的建设项目；</w:t>
            </w:r>
            <w:r>
              <w:rPr>
                <w:rFonts w:ascii="Cambria Math" w:hAnsi="Cambria Math" w:cs="Cambria Math" w:eastAsiaTheme="minorEastAsia"/>
                <w:color w:val="000000" w:themeColor="text1"/>
                <w:kern w:val="2"/>
                <w14:textFill>
                  <w14:solidFill>
                    <w14:schemeClr w14:val="tx1"/>
                  </w14:solidFill>
                </w14:textFill>
              </w:rPr>
              <w:t>②</w:t>
            </w:r>
            <w:r>
              <w:rPr>
                <w:rFonts w:asciiTheme="majorBidi" w:hAnsiTheme="majorBidi" w:eastAsiaTheme="minorEastAsia" w:cstheme="majorBidi"/>
                <w:color w:val="000000" w:themeColor="text1"/>
                <w:kern w:val="2"/>
                <w14:textFill>
                  <w14:solidFill>
                    <w14:schemeClr w14:val="tx1"/>
                  </w14:solidFill>
                </w14:textFill>
              </w:rPr>
              <w:t>加快推进生活污水处理设施建设和提质增效，率先消除城中村、老旧城区和城乡结合部生活污水收集处理设施空白区。项目所在地不涉及饮用水水源保护区及准保护区。项目附近纳污河流为园洲中心排渠，执行《地表水环境质量标准》（GB3838-2002）Ⅴ类标准值。项目所在地已接驳市政污水管网，产生的生活污水经三级化粪池预处理达到广东省《水污染物排放限值》（DB44/26-2001）第二时段三级标准后，通过市政污水管网排入博罗县园洲镇第五生活污水处理厂处理，尾水排入园洲中心排渠，不会对附近河流造成影响。</w:t>
            </w:r>
          </w:p>
          <w:p w14:paraId="38B94024">
            <w:pPr>
              <w:autoSpaceDE w:val="0"/>
              <w:autoSpaceDN w:val="0"/>
              <w:snapToGrid/>
              <w:ind w:firstLine="480"/>
              <w:textAlignment w:val="baseline"/>
              <w:rPr>
                <w:rFonts w:asciiTheme="majorBidi" w:hAnsiTheme="majorBidi" w:eastAsiaTheme="minorEastAsia" w:cstheme="majorBidi"/>
                <w:color w:val="000000" w:themeColor="text1"/>
                <w:kern w:val="2"/>
                <w14:textFill>
                  <w14:solidFill>
                    <w14:schemeClr w14:val="tx1"/>
                  </w14:solidFill>
                </w14:textFill>
              </w:rPr>
            </w:pPr>
            <w:r>
              <w:rPr>
                <w:rFonts w:asciiTheme="majorBidi" w:hAnsiTheme="majorBidi" w:eastAsiaTheme="minorEastAsia" w:cstheme="majorBidi"/>
                <w:color w:val="000000" w:themeColor="text1"/>
                <w:kern w:val="2"/>
                <w14:textFill>
                  <w14:solidFill>
                    <w14:schemeClr w14:val="tx1"/>
                  </w14:solidFill>
                </w14:textFill>
              </w:rPr>
              <w:t>根据《</w:t>
            </w:r>
            <w:r>
              <w:rPr>
                <w:rFonts w:asciiTheme="majorBidi" w:hAnsiTheme="majorBidi" w:eastAsiaTheme="minorEastAsia" w:cstheme="majorBidi"/>
                <w:color w:val="000000" w:themeColor="text1"/>
                <w:kern w:val="2"/>
                <w:highlight w:val="yellow"/>
                <w14:textFill>
                  <w14:solidFill>
                    <w14:schemeClr w14:val="tx1"/>
                  </w14:solidFill>
                </w14:textFill>
              </w:rPr>
              <w:t>博罗县生态保护红线、环境质量底线、资源利用上线和环境准入清单研究报告》表5.4-2和《博罗县</w:t>
            </w:r>
            <w:r>
              <w:rPr>
                <w:rFonts w:ascii="宋体" w:hAnsi="宋体" w:eastAsiaTheme="minorEastAsia" w:cstheme="majorBidi"/>
                <w:color w:val="000000" w:themeColor="text1"/>
                <w:kern w:val="2"/>
                <w:highlight w:val="yellow"/>
                <w14:textFill>
                  <w14:solidFill>
                    <w14:schemeClr w14:val="tx1"/>
                  </w14:solidFill>
                </w14:textFill>
              </w:rPr>
              <w:t>“</w:t>
            </w:r>
            <w:r>
              <w:rPr>
                <w:rFonts w:asciiTheme="majorBidi" w:hAnsiTheme="majorBidi" w:eastAsiaTheme="minorEastAsia" w:cstheme="majorBidi"/>
                <w:color w:val="000000" w:themeColor="text1"/>
                <w:kern w:val="2"/>
                <w:highlight w:val="yellow"/>
                <w14:textFill>
                  <w14:solidFill>
                    <w14:schemeClr w14:val="tx1"/>
                  </w14:solidFill>
                </w14:textFill>
              </w:rPr>
              <w:t>三线一单</w:t>
            </w:r>
            <w:r>
              <w:rPr>
                <w:rFonts w:ascii="宋体" w:hAnsi="宋体" w:eastAsiaTheme="minorEastAsia" w:cstheme="majorBidi"/>
                <w:color w:val="000000" w:themeColor="text1"/>
                <w:kern w:val="2"/>
                <w:highlight w:val="yellow"/>
                <w14:textFill>
                  <w14:solidFill>
                    <w14:schemeClr w14:val="tx1"/>
                  </w14:solidFill>
                </w14:textFill>
              </w:rPr>
              <w:t>”</w:t>
            </w:r>
            <w:r>
              <w:rPr>
                <w:rFonts w:asciiTheme="majorBidi" w:hAnsiTheme="majorBidi" w:eastAsiaTheme="minorEastAsia" w:cstheme="majorBidi"/>
                <w:color w:val="000000" w:themeColor="text1"/>
                <w:kern w:val="2"/>
                <w:highlight w:val="yellow"/>
                <w14:textFill>
                  <w14:solidFill>
                    <w14:schemeClr w14:val="tx1"/>
                  </w14:solidFill>
                </w14:textFill>
              </w:rPr>
              <w:t>生态环境分区管控图集</w:t>
            </w:r>
            <w:r>
              <w:rPr>
                <w:rFonts w:asciiTheme="majorBidi" w:hAnsiTheme="majorBidi" w:eastAsiaTheme="minorEastAsia" w:cstheme="majorBidi"/>
                <w:color w:val="000000" w:themeColor="text1"/>
                <w:kern w:val="2"/>
                <w14:textFill>
                  <w14:solidFill>
                    <w14:schemeClr w14:val="tx1"/>
                  </w14:solidFill>
                </w14:textFill>
              </w:rPr>
              <w:t>》图14 博罗县大气环境质量底线管控分区划定情况（附图10），项目所在地属于大气环境高排放重点管控区，管控区内管控要求：</w:t>
            </w:r>
            <w:r>
              <w:rPr>
                <w:rFonts w:ascii="Cambria Math" w:hAnsi="Cambria Math" w:cs="Cambria Math" w:eastAsiaTheme="minorEastAsia"/>
                <w:color w:val="000000" w:themeColor="text1"/>
                <w:kern w:val="2"/>
                <w14:textFill>
                  <w14:solidFill>
                    <w14:schemeClr w14:val="tx1"/>
                  </w14:solidFill>
                </w14:textFill>
              </w:rPr>
              <w:t>①</w:t>
            </w:r>
            <w:r>
              <w:rPr>
                <w:rFonts w:asciiTheme="majorBidi" w:hAnsiTheme="majorBidi" w:eastAsiaTheme="minorEastAsia" w:cstheme="majorBidi"/>
                <w:color w:val="000000" w:themeColor="text1"/>
                <w:kern w:val="2"/>
                <w14:textFill>
                  <w14:solidFill>
                    <w14:schemeClr w14:val="tx1"/>
                  </w14:solidFill>
                </w14:textFill>
              </w:rPr>
              <w:t>加强涉气项目环境准入管理，严格限制新建生产和使用高挥发性有机物原辅材料的项目；</w:t>
            </w:r>
            <w:r>
              <w:rPr>
                <w:rFonts w:ascii="Cambria Math" w:hAnsi="Cambria Math" w:cs="Cambria Math" w:eastAsiaTheme="minorEastAsia"/>
                <w:color w:val="000000" w:themeColor="text1"/>
                <w:kern w:val="2"/>
                <w14:textFill>
                  <w14:solidFill>
                    <w14:schemeClr w14:val="tx1"/>
                  </w14:solidFill>
                </w14:textFill>
              </w:rPr>
              <w:t>②</w:t>
            </w:r>
            <w:r>
              <w:rPr>
                <w:rFonts w:asciiTheme="majorBidi" w:hAnsiTheme="majorBidi" w:eastAsiaTheme="minorEastAsia" w:cstheme="majorBidi"/>
                <w:color w:val="000000" w:themeColor="text1"/>
                <w:kern w:val="2"/>
                <w14:textFill>
                  <w14:solidFill>
                    <w14:schemeClr w14:val="tx1"/>
                  </w14:solidFill>
                </w14:textFill>
              </w:rPr>
              <w:t>优化调整能源结构，管控区内禁止使用高污染燃料；</w:t>
            </w:r>
            <w:r>
              <w:rPr>
                <w:rFonts w:ascii="Cambria Math" w:hAnsi="Cambria Math" w:cs="Cambria Math" w:eastAsiaTheme="minorEastAsia"/>
                <w:color w:val="000000" w:themeColor="text1"/>
                <w:kern w:val="2"/>
                <w14:textFill>
                  <w14:solidFill>
                    <w14:schemeClr w14:val="tx1"/>
                  </w14:solidFill>
                </w14:textFill>
              </w:rPr>
              <w:t>③</w:t>
            </w:r>
            <w:r>
              <w:rPr>
                <w:rFonts w:asciiTheme="majorBidi" w:hAnsiTheme="majorBidi" w:eastAsiaTheme="minorEastAsia" w:cstheme="majorBidi"/>
                <w:color w:val="000000" w:themeColor="text1"/>
                <w:kern w:val="2"/>
                <w14:textFill>
                  <w14:solidFill>
                    <w14:schemeClr w14:val="tx1"/>
                  </w14:solidFill>
                </w14:textFill>
              </w:rPr>
              <w:t>严控大气污染物排放，新建项目原则上实施氮氧化物等量替代、挥发性有机物倍量替代，全面加强无组织排放控制。项目生产过程中不使用高挥发性有机物原辅材料及高污染燃料，营运期产生的颗粒物、有机废气经废气处理设施处理后达标排放，不会对周围大气环境造成影响。项目VOCs由惠州市生态环境局博罗分局实施区域内VOCs倍量替代。</w:t>
            </w:r>
          </w:p>
          <w:p w14:paraId="35DE85E3">
            <w:pPr>
              <w:autoSpaceDE w:val="0"/>
              <w:autoSpaceDN w:val="0"/>
              <w:snapToGrid/>
              <w:ind w:firstLine="480"/>
              <w:textAlignment w:val="baseline"/>
              <w:rPr>
                <w:rFonts w:asciiTheme="majorBidi" w:hAnsiTheme="majorBidi" w:eastAsiaTheme="minorEastAsia" w:cstheme="majorBidi"/>
                <w:color w:val="000000" w:themeColor="text1"/>
                <w:kern w:val="2"/>
                <w14:textFill>
                  <w14:solidFill>
                    <w14:schemeClr w14:val="tx1"/>
                  </w14:solidFill>
                </w14:textFill>
              </w:rPr>
            </w:pPr>
            <w:r>
              <w:rPr>
                <w:rFonts w:asciiTheme="majorBidi" w:hAnsiTheme="majorBidi" w:eastAsiaTheme="minorEastAsia" w:cstheme="majorBidi"/>
                <w:color w:val="000000" w:themeColor="text1"/>
                <w:kern w:val="2"/>
                <w14:textFill>
                  <w14:solidFill>
                    <w14:schemeClr w14:val="tx1"/>
                  </w14:solidFill>
                </w14:textFill>
              </w:rPr>
              <w:t>根据《博罗县生态保护红线、环境质量底线、资源利用上线和环境准入清单研究报告》表6.1.1~6.1.3和《博罗县</w:t>
            </w:r>
            <w:r>
              <w:rPr>
                <w:rFonts w:ascii="宋体" w:hAnsi="宋体" w:eastAsiaTheme="minorEastAsia" w:cstheme="majorBidi"/>
                <w:color w:val="000000" w:themeColor="text1"/>
                <w:kern w:val="2"/>
                <w14:textFill>
                  <w14:solidFill>
                    <w14:schemeClr w14:val="tx1"/>
                  </w14:solidFill>
                </w14:textFill>
              </w:rPr>
              <w:t>“</w:t>
            </w:r>
            <w:r>
              <w:rPr>
                <w:rFonts w:asciiTheme="majorBidi" w:hAnsiTheme="majorBidi" w:eastAsiaTheme="minorEastAsia" w:cstheme="majorBidi"/>
                <w:color w:val="000000" w:themeColor="text1"/>
                <w:kern w:val="2"/>
                <w14:textFill>
                  <w14:solidFill>
                    <w14:schemeClr w14:val="tx1"/>
                  </w14:solidFill>
                </w14:textFill>
              </w:rPr>
              <w:t>三线一单</w:t>
            </w:r>
            <w:r>
              <w:rPr>
                <w:rFonts w:ascii="宋体" w:hAnsi="宋体" w:eastAsiaTheme="minorEastAsia" w:cstheme="majorBidi"/>
                <w:color w:val="000000" w:themeColor="text1"/>
                <w:kern w:val="2"/>
                <w14:textFill>
                  <w14:solidFill>
                    <w14:schemeClr w14:val="tx1"/>
                  </w14:solidFill>
                </w14:textFill>
              </w:rPr>
              <w:t>”</w:t>
            </w:r>
            <w:r>
              <w:rPr>
                <w:rFonts w:asciiTheme="majorBidi" w:hAnsiTheme="majorBidi" w:eastAsiaTheme="minorEastAsia" w:cstheme="majorBidi"/>
                <w:color w:val="000000" w:themeColor="text1"/>
                <w:kern w:val="2"/>
                <w14:textFill>
                  <w14:solidFill>
                    <w14:schemeClr w14:val="tx1"/>
                  </w14:solidFill>
                </w14:textFill>
              </w:rPr>
              <w:t>生态环境分区管控图集》图15 博罗县建设用地土壤管控分区划定情况（附图11），项目所在地属于博罗县土壤环境一般管控区-不含农用地；项目不排放重金属污染物，不会对周围土壤环境造成影响。</w:t>
            </w:r>
          </w:p>
          <w:p w14:paraId="34C32304">
            <w:pPr>
              <w:autoSpaceDE w:val="0"/>
              <w:autoSpaceDN w:val="0"/>
              <w:snapToGrid/>
              <w:ind w:firstLine="482"/>
              <w:textAlignment w:val="baseline"/>
              <w:rPr>
                <w:rFonts w:asciiTheme="majorBidi" w:hAnsiTheme="majorBidi" w:eastAsiaTheme="minorEastAsia" w:cstheme="majorBidi"/>
                <w:b/>
                <w:bCs/>
                <w:color w:val="000000" w:themeColor="text1"/>
                <w:kern w:val="2"/>
                <w14:textFill>
                  <w14:solidFill>
                    <w14:schemeClr w14:val="tx1"/>
                  </w14:solidFill>
                </w14:textFill>
              </w:rPr>
            </w:pPr>
            <w:r>
              <w:rPr>
                <w:rFonts w:asciiTheme="majorBidi" w:hAnsiTheme="majorBidi" w:eastAsiaTheme="minorEastAsia" w:cstheme="majorBidi"/>
                <w:b/>
                <w:bCs/>
                <w:color w:val="000000" w:themeColor="text1"/>
                <w:kern w:val="2"/>
                <w14:textFill>
                  <w14:solidFill>
                    <w14:schemeClr w14:val="tx1"/>
                  </w14:solidFill>
                </w14:textFill>
              </w:rPr>
              <w:t>3.资源利用上线</w:t>
            </w:r>
          </w:p>
          <w:p w14:paraId="3D232A38">
            <w:pPr>
              <w:autoSpaceDE w:val="0"/>
              <w:autoSpaceDN w:val="0"/>
              <w:snapToGrid/>
              <w:ind w:firstLine="480"/>
              <w:textAlignment w:val="baseline"/>
              <w:rPr>
                <w:rFonts w:asciiTheme="majorBidi" w:hAnsiTheme="majorBidi" w:eastAsiaTheme="minorEastAsia" w:cstheme="majorBidi"/>
                <w:color w:val="000000" w:themeColor="text1"/>
                <w:kern w:val="2"/>
                <w14:textFill>
                  <w14:solidFill>
                    <w14:schemeClr w14:val="tx1"/>
                  </w14:solidFill>
                </w14:textFill>
              </w:rPr>
            </w:pPr>
            <w:r>
              <w:rPr>
                <w:rFonts w:asciiTheme="majorBidi" w:hAnsiTheme="majorBidi" w:eastAsiaTheme="minorEastAsia" w:cstheme="majorBidi"/>
                <w:color w:val="000000" w:themeColor="text1"/>
                <w:kern w:val="2"/>
                <w14:textFill>
                  <w14:solidFill>
                    <w14:schemeClr w14:val="tx1"/>
                  </w14:solidFill>
                </w14:textFill>
              </w:rPr>
              <w:t>根据《博罗县生态保护红线、环境质量底线、资源利用上线和环境准入清单研究报告》表7.1.1~7.1.3和《博罗县</w:t>
            </w:r>
            <w:r>
              <w:rPr>
                <w:rFonts w:ascii="宋体" w:hAnsi="宋体" w:eastAsiaTheme="minorEastAsia" w:cstheme="majorBidi"/>
                <w:color w:val="000000" w:themeColor="text1"/>
                <w:kern w:val="2"/>
                <w14:textFill>
                  <w14:solidFill>
                    <w14:schemeClr w14:val="tx1"/>
                  </w14:solidFill>
                </w14:textFill>
              </w:rPr>
              <w:t>“</w:t>
            </w:r>
            <w:r>
              <w:rPr>
                <w:rFonts w:asciiTheme="majorBidi" w:hAnsiTheme="majorBidi" w:eastAsiaTheme="minorEastAsia" w:cstheme="majorBidi"/>
                <w:color w:val="000000" w:themeColor="text1"/>
                <w:kern w:val="2"/>
                <w14:textFill>
                  <w14:solidFill>
                    <w14:schemeClr w14:val="tx1"/>
                  </w14:solidFill>
                </w14:textFill>
              </w:rPr>
              <w:t>三线一单</w:t>
            </w:r>
            <w:r>
              <w:rPr>
                <w:rFonts w:ascii="宋体" w:hAnsi="宋体" w:eastAsiaTheme="minorEastAsia" w:cstheme="majorBidi"/>
                <w:color w:val="000000" w:themeColor="text1"/>
                <w:kern w:val="2"/>
                <w14:textFill>
                  <w14:solidFill>
                    <w14:schemeClr w14:val="tx1"/>
                  </w14:solidFill>
                </w14:textFill>
              </w:rPr>
              <w:t>”</w:t>
            </w:r>
            <w:r>
              <w:rPr>
                <w:rFonts w:asciiTheme="majorBidi" w:hAnsiTheme="majorBidi" w:eastAsiaTheme="minorEastAsia" w:cstheme="majorBidi"/>
                <w:color w:val="000000" w:themeColor="text1"/>
                <w:kern w:val="2"/>
                <w14:textFill>
                  <w14:solidFill>
                    <w14:schemeClr w14:val="tx1"/>
                  </w14:solidFill>
                </w14:textFill>
              </w:rPr>
              <w:t>生态环境分区管控图集》图16 博罗县资源利用上线——土地资源优先保护区划定情况（附图12）、图17 博罗县资源利用上线——矿产资源开发敏感区划定情况（附图13）、图18 博罗县资源利用上线——高污染燃料禁燃区划定情况（附图14），项目不在土地资源管控分区、能源（煤炭）管控分区、矿产资源管控分区范围内。项目运营期消耗一定量的水、电资源，由当地市政供水供电，区域水电资源较充足，项目消耗量没有超出资源负荷，没有超出资源利用上线。</w:t>
            </w:r>
          </w:p>
          <w:p w14:paraId="0917710D">
            <w:pPr>
              <w:autoSpaceDE w:val="0"/>
              <w:autoSpaceDN w:val="0"/>
              <w:ind w:firstLine="482"/>
              <w:rPr>
                <w:rFonts w:asciiTheme="majorBidi" w:hAnsiTheme="majorBidi" w:eastAsiaTheme="minorEastAsia" w:cstheme="majorBidi"/>
                <w:b/>
                <w:bCs/>
                <w:color w:val="000000" w:themeColor="text1"/>
                <w14:textFill>
                  <w14:solidFill>
                    <w14:schemeClr w14:val="tx1"/>
                  </w14:solidFill>
                </w14:textFill>
              </w:rPr>
            </w:pPr>
            <w:r>
              <w:rPr>
                <w:rFonts w:asciiTheme="majorBidi" w:hAnsiTheme="majorBidi" w:eastAsiaTheme="minorEastAsia" w:cstheme="majorBidi"/>
                <w:b/>
                <w:bCs/>
                <w:color w:val="000000" w:themeColor="text1"/>
                <w14:textFill>
                  <w14:solidFill>
                    <w14:schemeClr w14:val="tx1"/>
                  </w14:solidFill>
                </w14:textFill>
              </w:rPr>
              <w:t>4.生态环境准入清单</w:t>
            </w:r>
          </w:p>
          <w:p w14:paraId="6358B6DE">
            <w:pPr>
              <w:autoSpaceDE w:val="0"/>
              <w:autoSpaceDN w:val="0"/>
              <w:ind w:firstLine="480"/>
              <w:rPr>
                <w:rFonts w:asciiTheme="majorBidi" w:hAnsiTheme="majorBidi" w:eastAsiaTheme="minorEastAsia" w:cstheme="majorBidi"/>
                <w:color w:val="000000" w:themeColor="text1"/>
                <w14:textFill>
                  <w14:solidFill>
                    <w14:schemeClr w14:val="tx1"/>
                  </w14:solidFill>
                </w14:textFill>
              </w:rPr>
            </w:pPr>
            <w:r>
              <w:rPr>
                <w:rFonts w:asciiTheme="majorBidi" w:hAnsiTheme="majorBidi" w:eastAsiaTheme="minorEastAsia" w:cstheme="majorBidi"/>
                <w:color w:val="000000" w:themeColor="text1"/>
                <w14:textFill>
                  <w14:solidFill>
                    <w14:schemeClr w14:val="tx1"/>
                  </w14:solidFill>
                </w14:textFill>
              </w:rPr>
              <w:t>根据《</w:t>
            </w:r>
            <w:r>
              <w:rPr>
                <w:rFonts w:asciiTheme="majorBidi" w:hAnsiTheme="majorBidi" w:eastAsiaTheme="minorEastAsia" w:cstheme="majorBidi"/>
                <w:color w:val="000000" w:themeColor="text1"/>
                <w:kern w:val="2"/>
                <w14:textFill>
                  <w14:solidFill>
                    <w14:schemeClr w14:val="tx1"/>
                  </w14:solidFill>
                </w14:textFill>
              </w:rPr>
              <w:t>博罗县分类环境管控单元及环境准入负面清单</w:t>
            </w:r>
            <w:r>
              <w:rPr>
                <w:rFonts w:asciiTheme="majorBidi" w:hAnsiTheme="majorBidi" w:eastAsiaTheme="minorEastAsia" w:cstheme="majorBidi"/>
                <w:color w:val="000000" w:themeColor="text1"/>
                <w14:textFill>
                  <w14:solidFill>
                    <w14:schemeClr w14:val="tx1"/>
                  </w14:solidFill>
                </w14:textFill>
              </w:rPr>
              <w:t>》，本项目位于博罗沙河流域重点管控单元，环境管控单元编码ZH44132220001。</w:t>
            </w:r>
          </w:p>
          <w:p w14:paraId="5D6C56DC">
            <w:pPr>
              <w:ind w:firstLine="480"/>
              <w:rPr>
                <w:rFonts w:asciiTheme="majorBidi" w:hAnsiTheme="majorBidi" w:cstheme="majorBidi"/>
                <w:color w:val="000000" w:themeColor="text1"/>
                <w14:textFill>
                  <w14:solidFill>
                    <w14:schemeClr w14:val="tx1"/>
                  </w14:solidFill>
                </w14:textFill>
              </w:rPr>
            </w:pPr>
            <w:r>
              <w:rPr>
                <w:rFonts w:asciiTheme="majorBidi" w:hAnsiTheme="majorBidi" w:cstheme="majorBidi"/>
                <w:color w:val="000000" w:themeColor="text1"/>
                <w14:textFill>
                  <w14:solidFill>
                    <w14:schemeClr w14:val="tx1"/>
                  </w14:solidFill>
                </w14:textFill>
              </w:rPr>
              <w:t>表1-1 与《博罗县分类环境管控单元及环境准入负面清单》的相符性分析</w:t>
            </w:r>
          </w:p>
          <w:tbl>
            <w:tblPr>
              <w:tblStyle w:val="21"/>
              <w:tblW w:w="5000" w:type="pct"/>
              <w:tblInd w:w="0" w:type="dxa"/>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28" w:type="dxa"/>
                <w:bottom w:w="0" w:type="dxa"/>
                <w:right w:w="28" w:type="dxa"/>
              </w:tblCellMar>
            </w:tblPr>
            <w:tblGrid>
              <w:gridCol w:w="351"/>
              <w:gridCol w:w="4886"/>
              <w:gridCol w:w="3436"/>
              <w:gridCol w:w="514"/>
            </w:tblGrid>
            <w:tr w14:paraId="3D8DBFDF">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397" w:hRule="atLeast"/>
              </w:trPr>
              <w:tc>
                <w:tcPr>
                  <w:tcW w:w="2850" w:type="pct"/>
                  <w:gridSpan w:val="2"/>
                  <w:vAlign w:val="center"/>
                </w:tcPr>
                <w:p w14:paraId="4B8CED88">
                  <w:pPr>
                    <w:pStyle w:val="29"/>
                  </w:pPr>
                  <w:r>
                    <w:t>管控要求</w:t>
                  </w:r>
                </w:p>
              </w:tc>
              <w:tc>
                <w:tcPr>
                  <w:tcW w:w="1870" w:type="pct"/>
                  <w:vAlign w:val="center"/>
                </w:tcPr>
                <w:p w14:paraId="7881596A">
                  <w:pPr>
                    <w:pStyle w:val="29"/>
                  </w:pPr>
                  <w:r>
                    <w:t>本项目情况</w:t>
                  </w:r>
                </w:p>
              </w:tc>
              <w:tc>
                <w:tcPr>
                  <w:tcW w:w="281" w:type="pct"/>
                </w:tcPr>
                <w:p w14:paraId="15501DA3">
                  <w:pPr>
                    <w:pStyle w:val="29"/>
                  </w:pPr>
                  <w:r>
                    <w:t>符合性</w:t>
                  </w:r>
                </w:p>
              </w:tc>
            </w:tr>
            <w:tr w14:paraId="436C8E1D">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397" w:hRule="atLeast"/>
              </w:trPr>
              <w:tc>
                <w:tcPr>
                  <w:tcW w:w="191" w:type="pct"/>
                  <w:vAlign w:val="center"/>
                </w:tcPr>
                <w:p w14:paraId="51CFE57B">
                  <w:pPr>
                    <w:pStyle w:val="29"/>
                  </w:pPr>
                  <w:r>
                    <w:t>区域布局管控</w:t>
                  </w:r>
                </w:p>
              </w:tc>
              <w:tc>
                <w:tcPr>
                  <w:tcW w:w="2658" w:type="pct"/>
                </w:tcPr>
                <w:p w14:paraId="2FA39014">
                  <w:pPr>
                    <w:pStyle w:val="29"/>
                  </w:pPr>
                  <w:r>
                    <w:t xml:space="preserve">1-1.【产业/鼓励引导类】饮用水水源保护区外的区域，重点发展电子信息、智能家电、先进材料等产业。 </w:t>
                  </w:r>
                </w:p>
                <w:p w14:paraId="30DB2B6E">
                  <w:pPr>
                    <w:pStyle w:val="29"/>
                  </w:pPr>
                  <w:r>
                    <w:t xml:space="preserve">1-2.【产业/禁止类】除国家产业政策规定的禁止项目外，还禁止新建农药、铬盐、钛白粉生产项目，禁止新建稀土分离、炼砒、炼铍、纸浆制造、氰化法提炼产品、开采和冶炼放射性矿产及其他严重污染水环境的项目；严格控制新建造纸、制革、味精、电镀、漂染、印染、炼油、发酵酿造、非放射性矿产冶炼以及使用含汞、砷、镉、铬、铅为原料的项目。禁止在东江水系岸边和水上拆船。 </w:t>
                  </w:r>
                </w:p>
                <w:p w14:paraId="631DDE78">
                  <w:pPr>
                    <w:pStyle w:val="29"/>
                  </w:pPr>
                  <w:r>
                    <w:t xml:space="preserve">1-3.【产业/限制类】严格限制化工、包装印刷、工业涂装等高 VOCs </w:t>
                  </w:r>
                  <w:r>
                    <w:rPr>
                      <w:highlight w:val="yellow"/>
                    </w:rPr>
                    <w:t>排放</w:t>
                  </w:r>
                  <w:r>
                    <w:t xml:space="preserve">建设项目。 </w:t>
                  </w:r>
                </w:p>
                <w:p w14:paraId="0BEC94B0">
                  <w:pPr>
                    <w:pStyle w:val="29"/>
                  </w:pPr>
                  <w:r>
                    <w:t xml:space="preserve">1-4.【生态/限制类】一般生态空间内可开展生态保护红线内允许的活动，在不影响主导生态功能的前提下，还可开展国家和省规定不纳入环评管理的项目建设，以及生态旅游、基础设施建设、村庄建设等人为活动。 </w:t>
                  </w:r>
                </w:p>
                <w:p w14:paraId="0E10D76B">
                  <w:pPr>
                    <w:pStyle w:val="29"/>
                  </w:pPr>
                  <w:r>
                    <w:t>1-5.【水/禁止类】饮用水水源保护区涉及园洲镇东江饮用水水源保护区，饮用水水源保护区按照《广东省水污染防治条例》</w:t>
                  </w:r>
                  <w:r>
                    <w:rPr>
                      <w:rFonts w:ascii="宋体" w:hAnsi="宋体"/>
                    </w:rPr>
                    <w:t>“</w:t>
                  </w:r>
                  <w:r>
                    <w:t xml:space="preserve">第五章 饮用水水源 </w:t>
                  </w:r>
                </w:p>
                <w:p w14:paraId="3724CF2E">
                  <w:pPr>
                    <w:pStyle w:val="29"/>
                  </w:pPr>
                  <w:r>
                    <w:t>保护和流域特别规定</w:t>
                  </w:r>
                  <w:r>
                    <w:rPr>
                      <w:rFonts w:ascii="宋体" w:hAnsi="宋体"/>
                    </w:rPr>
                    <w:t>”</w:t>
                  </w:r>
                  <w:r>
                    <w:t xml:space="preserve">进行管理。一级保护区内禁止新建、改建、扩建与供水设施和保护水源无关的建设项目；已建成的与供水设施和保护水源无关的建设项目须拆除或者关闭。二级保护区内禁止新建、改建、扩建排放污染物的建设项目；已建成的排放污染物的建设项目须责令拆除或者关闭；不排放污染物的建设项目，除与供水设施和保护水源有关的外，应当尽量避让饮用水水源二级保护区；经组织论证确实无法避让的，应当依法严格审批。 </w:t>
                  </w:r>
                </w:p>
                <w:p w14:paraId="1A2CF11A">
                  <w:pPr>
                    <w:pStyle w:val="29"/>
                  </w:pPr>
                  <w:r>
                    <w:t xml:space="preserve">1-6.【水/禁止类】禁止在东江干流和沙河干流两岸最高水位线外延五百米范围内新建废弃物堆放场和处理场。已有的堆放场和处理场需采取有效的防治污染措施，危及水体水质安全的，由县级以上人民政府责令限 </w:t>
                  </w:r>
                </w:p>
                <w:p w14:paraId="492A40AC">
                  <w:pPr>
                    <w:pStyle w:val="29"/>
                  </w:pPr>
                  <w:r>
                    <w:t xml:space="preserve">期搬迁。 </w:t>
                  </w:r>
                </w:p>
                <w:p w14:paraId="74FFD23C">
                  <w:pPr>
                    <w:pStyle w:val="29"/>
                  </w:pPr>
                  <w:r>
                    <w:t xml:space="preserve">1-7.【水/禁止类】畜禽禁养区内不得从事畜禽养殖业。 </w:t>
                  </w:r>
                </w:p>
                <w:p w14:paraId="15313A24">
                  <w:pPr>
                    <w:pStyle w:val="29"/>
                  </w:pPr>
                  <w:r>
                    <w:t>1-8.【水/综合类】积极引导</w:t>
                  </w:r>
                  <w:r>
                    <w:rPr>
                      <w:rFonts w:ascii="宋体" w:hAnsi="宋体"/>
                    </w:rPr>
                    <w:t>“</w:t>
                  </w:r>
                  <w:r>
                    <w:t>散养户</w:t>
                  </w:r>
                  <w:r>
                    <w:rPr>
                      <w:rFonts w:ascii="宋体" w:hAnsi="宋体"/>
                    </w:rPr>
                    <w:t>”</w:t>
                  </w:r>
                  <w:r>
                    <w:t>自觉维护生态环境，规范养殖或主动退出畜禽养殖。</w:t>
                  </w:r>
                  <w:r>
                    <w:rPr>
                      <w:rFonts w:ascii="宋体" w:hAnsi="宋体"/>
                    </w:rPr>
                    <w:t>“</w:t>
                  </w:r>
                  <w:r>
                    <w:t>散户养殖</w:t>
                  </w:r>
                  <w:r>
                    <w:rPr>
                      <w:rFonts w:ascii="宋体" w:hAnsi="宋体"/>
                    </w:rPr>
                    <w:t>”</w:t>
                  </w:r>
                  <w:r>
                    <w:t>按照</w:t>
                  </w:r>
                  <w:r>
                    <w:rPr>
                      <w:rFonts w:ascii="宋体" w:hAnsi="宋体"/>
                    </w:rPr>
                    <w:t>“</w:t>
                  </w:r>
                  <w:r>
                    <w:t>小组统一监管、从严控制数量、配套相应设施、防渗收集粪便、科学处理还田</w:t>
                  </w:r>
                  <w:r>
                    <w:rPr>
                      <w:rFonts w:ascii="宋体" w:hAnsi="宋体"/>
                    </w:rPr>
                    <w:t>”</w:t>
                  </w:r>
                  <w:r>
                    <w:t xml:space="preserve">的原则，加强全程监管。加快推进流域内粪污塘的处理处置，降低养殖业对水环境的影响。 </w:t>
                  </w:r>
                </w:p>
                <w:p w14:paraId="1C9031C0">
                  <w:pPr>
                    <w:pStyle w:val="29"/>
                  </w:pPr>
                  <w:r>
                    <w:t>1-9.【大气/限制类】大气环境受体敏感重点管控区内严格限制新建储油库项目、产生和排放有毒有害大气污染物的建设项目以及使用溶剂型油 墨、涂料、清洗剂、胶黏剂等高挥发性有机物原辅材料项目，鼓励现有该类项目搬迁退出。</w:t>
                  </w:r>
                </w:p>
                <w:p w14:paraId="62D14ED7">
                  <w:pPr>
                    <w:pStyle w:val="29"/>
                  </w:pPr>
                  <w:r>
                    <w:t xml:space="preserve">1-10.【大气/鼓励引导类】大气环境高排放重点管控区内，强化达标监管，引导工业项目落地集聚发展，有序推进区域内行业企业提标改造。 </w:t>
                  </w:r>
                </w:p>
                <w:p w14:paraId="12CA81DF">
                  <w:pPr>
                    <w:pStyle w:val="29"/>
                  </w:pPr>
                  <w:r>
                    <w:t xml:space="preserve">1-11. 【土壤/禁止类】禁止在重金属重点防控区域内新建、改建、扩建增加重金属污染物排放总量的建设项目。 </w:t>
                  </w:r>
                </w:p>
                <w:p w14:paraId="7DE513D6">
                  <w:pPr>
                    <w:pStyle w:val="29"/>
                  </w:pPr>
                  <w:r>
                    <w:t>1-12.【土壤/限制类】重金属污染防控非重点区新建、改扩建重金属排放项目，应严格落实重金属总量替代与削减要求，严格控制重点行业发展规模。强化涉重金属污染行业建设项目环评审批管理，严格执行环保</w:t>
                  </w:r>
                  <w:r>
                    <w:rPr>
                      <w:rFonts w:ascii="宋体" w:hAnsi="宋体"/>
                    </w:rPr>
                    <w:t>“</w:t>
                  </w:r>
                  <w:r>
                    <w:t>三同时</w:t>
                  </w:r>
                  <w:r>
                    <w:rPr>
                      <w:rFonts w:ascii="宋体" w:hAnsi="宋体"/>
                    </w:rPr>
                    <w:t>”</w:t>
                  </w:r>
                  <w:r>
                    <w:t>制度。</w:t>
                  </w:r>
                </w:p>
              </w:tc>
              <w:tc>
                <w:tcPr>
                  <w:tcW w:w="1870" w:type="pct"/>
                </w:tcPr>
                <w:p w14:paraId="5836F20D">
                  <w:pPr>
                    <w:pStyle w:val="29"/>
                  </w:pPr>
                  <w:r>
                    <w:t>1-1.本项目为C2929塑料零件及其他塑料制品制造，产品涉智能家具配件，为智能家电等配套产业，属于鼓励引导类产业。</w:t>
                  </w:r>
                </w:p>
                <w:p w14:paraId="4EF0B98F">
                  <w:pPr>
                    <w:pStyle w:val="29"/>
                  </w:pPr>
                  <w:r>
                    <w:t>1-2.本项目不属于农药、铬盐、钛白粉生产项目，不属于稀土分离、炼砒、炼铍、纸浆制造、氰化法提炼产品、开采和冶炼放射性矿产及其他严重污染水环境的项目；不属于造纸、制革、味精、电镀、漂染、印染、炼油、发酵酿造、非放射性矿产冶炼以及使用含汞、砷、镉、铬、铅为原料的项目；项目不涉及拆船活动。</w:t>
                  </w:r>
                </w:p>
                <w:p w14:paraId="040B7ED1">
                  <w:pPr>
                    <w:pStyle w:val="29"/>
                  </w:pPr>
                  <w:r>
                    <w:t>1-3.项目</w:t>
                  </w:r>
                  <w:r>
                    <w:rPr>
                      <w:highlight w:val="yellow"/>
                    </w:rPr>
                    <w:t>使用的水性油漆与水性油墨为低VOCs含量原辅材料</w:t>
                  </w:r>
                  <w:r>
                    <w:t>，项目不属于高VOCs排放建设项目。</w:t>
                  </w:r>
                </w:p>
                <w:p w14:paraId="480CBF90">
                  <w:pPr>
                    <w:pStyle w:val="29"/>
                  </w:pPr>
                  <w:r>
                    <w:t>1-4.项目不涉及一般生态空间，不属于生态旅游、基础设施建设、村庄建设。</w:t>
                  </w:r>
                </w:p>
                <w:p w14:paraId="2C1DD486">
                  <w:pPr>
                    <w:pStyle w:val="29"/>
                  </w:pPr>
                  <w:r>
                    <w:t>1-5.项目不涉及饮用水水源保护区。</w:t>
                  </w:r>
                </w:p>
                <w:p w14:paraId="0F6EF106">
                  <w:pPr>
                    <w:pStyle w:val="29"/>
                  </w:pPr>
                  <w:r>
                    <w:t>1-6.项目距离沙河约2507m，距离东江约1957m，</w:t>
                  </w:r>
                  <w:r>
                    <w:rPr>
                      <w:kern w:val="2"/>
                    </w:rPr>
                    <w:t>项目距离沙河和东江超过500m，且不设置专业的废弃物堆放场和处理场。</w:t>
                  </w:r>
                </w:p>
                <w:p w14:paraId="2E212C94">
                  <w:pPr>
                    <w:pStyle w:val="29"/>
                  </w:pPr>
                  <w:r>
                    <w:t>1-7.项目不属于畜禽养殖业。</w:t>
                  </w:r>
                </w:p>
                <w:p w14:paraId="49B7E27C">
                  <w:pPr>
                    <w:pStyle w:val="29"/>
                  </w:pPr>
                  <w:r>
                    <w:t>1-8.项目不属于畜禽养殖业。</w:t>
                  </w:r>
                </w:p>
                <w:p w14:paraId="2E789C25">
                  <w:pPr>
                    <w:pStyle w:val="29"/>
                  </w:pPr>
                  <w:r>
                    <w:t>1-9本项目不属于大气环境受体敏感重点管控区内，项目不属于新建储油库项目、产生和排放有毒有害大气污染物的建设项目以及使用溶剂型油墨、涂料、清洗剂、胶黏剂等高挥发性有机物原辅材料项目。项目使用的ABS塑胶粒、水性油墨、水性面漆属于低VOCs物料，注塑成型工序废气、喷漆及烘干工序废气、印刷废气集中收集至1套</w:t>
                  </w:r>
                  <w:r>
                    <w:rPr>
                      <w:rFonts w:ascii="宋体" w:hAnsi="宋体"/>
                    </w:rPr>
                    <w:t>“</w:t>
                  </w:r>
                  <w:r>
                    <w:t>喷淋塔+干式过滤器+二级活性炭吸附装置</w:t>
                  </w:r>
                  <w:r>
                    <w:rPr>
                      <w:rFonts w:ascii="宋体" w:hAnsi="宋体"/>
                    </w:rPr>
                    <w:t>”</w:t>
                  </w:r>
                  <w:r>
                    <w:t>处理，处理达标后由1根65米高(DA001)排气筒高空排放。</w:t>
                  </w:r>
                </w:p>
                <w:p w14:paraId="640AFCE6">
                  <w:pPr>
                    <w:pStyle w:val="29"/>
                  </w:pPr>
                  <w:r>
                    <w:t>1-10.项目在高污染排放重点管控区内，生产过程中的大气污染物处理达标后排放。</w:t>
                  </w:r>
                </w:p>
                <w:p w14:paraId="1494EC02">
                  <w:pPr>
                    <w:pStyle w:val="29"/>
                  </w:pPr>
                  <w:r>
                    <w:t>1-11.项目不排放重金属污染物。</w:t>
                  </w:r>
                </w:p>
                <w:p w14:paraId="302EC425">
                  <w:pPr>
                    <w:pStyle w:val="29"/>
                  </w:pPr>
                  <w:r>
                    <w:t>1-12.项目不属于新建增加重金属污染物排放总量的建设项目，项目执行环保</w:t>
                  </w:r>
                  <w:r>
                    <w:rPr>
                      <w:rFonts w:ascii="宋体" w:hAnsi="宋体"/>
                    </w:rPr>
                    <w:t>“</w:t>
                  </w:r>
                  <w:r>
                    <w:t>三同时</w:t>
                  </w:r>
                  <w:r>
                    <w:rPr>
                      <w:rFonts w:ascii="宋体" w:hAnsi="宋体"/>
                    </w:rPr>
                    <w:t>”</w:t>
                  </w:r>
                  <w:r>
                    <w:t>制度。</w:t>
                  </w:r>
                </w:p>
              </w:tc>
              <w:tc>
                <w:tcPr>
                  <w:tcW w:w="281" w:type="pct"/>
                </w:tcPr>
                <w:p w14:paraId="0D279ADB">
                  <w:pPr>
                    <w:pStyle w:val="29"/>
                  </w:pPr>
                  <w:r>
                    <w:t>相符</w:t>
                  </w:r>
                </w:p>
              </w:tc>
            </w:tr>
            <w:tr w14:paraId="171AE125">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397" w:hRule="atLeast"/>
              </w:trPr>
              <w:tc>
                <w:tcPr>
                  <w:tcW w:w="191" w:type="pct"/>
                  <w:vAlign w:val="center"/>
                </w:tcPr>
                <w:p w14:paraId="034E0E45">
                  <w:pPr>
                    <w:pStyle w:val="29"/>
                  </w:pPr>
                  <w:r>
                    <w:t>能源资源利用</w:t>
                  </w:r>
                </w:p>
              </w:tc>
              <w:tc>
                <w:tcPr>
                  <w:tcW w:w="2658" w:type="pct"/>
                  <w:vAlign w:val="center"/>
                </w:tcPr>
                <w:p w14:paraId="6486153A">
                  <w:pPr>
                    <w:pStyle w:val="29"/>
                  </w:pPr>
                  <w:r>
                    <w:t>2-1.【能源/鼓励引导类】鼓励降低煤炭消耗、能源消耗，引导光伏等多种形式的新能源利用。</w:t>
                  </w:r>
                </w:p>
                <w:p w14:paraId="06E939B4">
                  <w:pPr>
                    <w:pStyle w:val="29"/>
                  </w:pPr>
                  <w:r>
                    <w:t>2-2.【能源/综合类】根据本地区大气环境质量改善要求逐步扩大高污染燃料禁燃区范围。</w:t>
                  </w:r>
                </w:p>
              </w:tc>
              <w:tc>
                <w:tcPr>
                  <w:tcW w:w="1870" w:type="pct"/>
                  <w:vAlign w:val="center"/>
                </w:tcPr>
                <w:p w14:paraId="3C575A86">
                  <w:pPr>
                    <w:pStyle w:val="29"/>
                  </w:pPr>
                  <w:r>
                    <w:t>2-1.本项目所用资源主要为水、电能源。</w:t>
                  </w:r>
                </w:p>
                <w:p w14:paraId="7E389FFE">
                  <w:pPr>
                    <w:pStyle w:val="29"/>
                  </w:pPr>
                  <w:r>
                    <w:t>2-2.项目不使用高污染燃料。</w:t>
                  </w:r>
                </w:p>
              </w:tc>
              <w:tc>
                <w:tcPr>
                  <w:tcW w:w="281" w:type="pct"/>
                  <w:vAlign w:val="center"/>
                </w:tcPr>
                <w:p w14:paraId="5D5EC0E4">
                  <w:pPr>
                    <w:pStyle w:val="29"/>
                  </w:pPr>
                  <w:r>
                    <w:t>相符</w:t>
                  </w:r>
                </w:p>
              </w:tc>
            </w:tr>
            <w:tr w14:paraId="23C1325B">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397" w:hRule="atLeast"/>
              </w:trPr>
              <w:tc>
                <w:tcPr>
                  <w:tcW w:w="191" w:type="pct"/>
                  <w:vAlign w:val="center"/>
                </w:tcPr>
                <w:p w14:paraId="00256497">
                  <w:pPr>
                    <w:pStyle w:val="29"/>
                  </w:pPr>
                  <w:r>
                    <w:t>污染物排放管控</w:t>
                  </w:r>
                </w:p>
              </w:tc>
              <w:tc>
                <w:tcPr>
                  <w:tcW w:w="2658" w:type="pct"/>
                  <w:vAlign w:val="center"/>
                </w:tcPr>
                <w:p w14:paraId="3590B811">
                  <w:pPr>
                    <w:pStyle w:val="29"/>
                  </w:pPr>
                  <w:r>
                    <w:t>3-1.【水/限制类】单元内城镇生活污水处理厂出水水质 COD、氨氮、总磷排放执行国家《地表水环境质量》（GB3838-2002）Ⅴ类标准，其余指标执行国家《城镇污水处理厂污染物排放标》（GB18918-2002）一级 A 标准与广东省《水污染物排放限值》较严值的标准。</w:t>
                  </w:r>
                </w:p>
                <w:p w14:paraId="0BF23B66">
                  <w:pPr>
                    <w:pStyle w:val="29"/>
                  </w:pPr>
                  <w:r>
                    <w:t>3-2.【水/限制类】严格控制流域内增加水污染物排放或对东江水质、水环境安全构成影响的项目。</w:t>
                  </w:r>
                </w:p>
                <w:p w14:paraId="66DD6409">
                  <w:pPr>
                    <w:pStyle w:val="29"/>
                  </w:pPr>
                  <w:r>
                    <w:t>3-3. 【水/综合类】统筹规划农村环境基础设施建设，加强农村人居环境综合整治，采用集中与分散相结合的模式建设和完善农村污水、垃圾收集和处理设施，实施农村厕所改造，因地制宜实施雨污分流，将有条件的农村和城镇周边村庄纳入城镇污水、垃圾处理体系，并做好资金保障。</w:t>
                  </w:r>
                </w:p>
                <w:p w14:paraId="56539F02">
                  <w:pPr>
                    <w:pStyle w:val="29"/>
                  </w:pPr>
                  <w:r>
                    <w:t>3-4. 【水/综合类】强化农业面源污染治理，控制农药化肥使用量。</w:t>
                  </w:r>
                </w:p>
                <w:p w14:paraId="61080596">
                  <w:pPr>
                    <w:pStyle w:val="29"/>
                  </w:pPr>
                  <w:r>
                    <w:t>3-5. 【大气/限制类】重点行业新建涉VOCs排放的工业企业原则上应入园进区。新建项目 VOCs 实施倍量替代。</w:t>
                  </w:r>
                </w:p>
                <w:p w14:paraId="0BCB40FC">
                  <w:pPr>
                    <w:pStyle w:val="29"/>
                  </w:pPr>
                  <w:r>
                    <w:t>3-6. 【土壤/禁止类】禁止向农用地排放重金属或者其他有毒有害物质含量超标的污水、污泥，以及可能造成土壤污染的清淤底泥、尾矿、矿渣等。</w:t>
                  </w:r>
                </w:p>
              </w:tc>
              <w:tc>
                <w:tcPr>
                  <w:tcW w:w="1870" w:type="pct"/>
                  <w:vAlign w:val="center"/>
                </w:tcPr>
                <w:p w14:paraId="0F88AFD5">
                  <w:pPr>
                    <w:pStyle w:val="29"/>
                  </w:pPr>
                  <w:r>
                    <w:t>3-1.项目生活污水经三级化粪池预处理后通过市政污水管网纳入博罗县园洲镇第五生活污水处理厂处理，处理后的尾水中COD、氨氮、总磷浓度执行《地表水环境质量标准》（GB3838-2002）中Ⅴ类水浓度标准，其余排放执行《城镇污水处理厂污染物排放标准》（GB18918-2002）一级A标准及广东省《水污染物排放限值》（DB44/26-2001）第二时段一级标准的较严值标准。</w:t>
                  </w:r>
                </w:p>
                <w:p w14:paraId="09CE3F45">
                  <w:pPr>
                    <w:pStyle w:val="29"/>
                  </w:pPr>
                  <w:r>
                    <w:t>3-2.项目污水不直接排入东江，生活污水经三级化粪池预处理后通过市政污水管网纳入博罗县园洲镇第五生活污水处理厂处理后排入园洲中心排渠，经沙河汇入东江。</w:t>
                  </w:r>
                </w:p>
                <w:p w14:paraId="485DF915">
                  <w:pPr>
                    <w:pStyle w:val="29"/>
                  </w:pPr>
                  <w:r>
                    <w:t>3-3. 项目不涉及农村环境基础设施建设。</w:t>
                  </w:r>
                </w:p>
                <w:p w14:paraId="58296B40">
                  <w:pPr>
                    <w:pStyle w:val="29"/>
                  </w:pPr>
                  <w:r>
                    <w:t>3-4.项目不涉及农业面源污染。</w:t>
                  </w:r>
                </w:p>
                <w:p w14:paraId="4804612C">
                  <w:pPr>
                    <w:pStyle w:val="29"/>
                  </w:pPr>
                  <w:r>
                    <w:t>3-5.项目不属于重点行业，VOCs排放实施倍量替代，VOCs总量来源于惠州市生态环境局博罗分局。</w:t>
                  </w:r>
                </w:p>
                <w:p w14:paraId="6B10B68A">
                  <w:pPr>
                    <w:pStyle w:val="29"/>
                  </w:pPr>
                  <w:r>
                    <w:t>3-6.项目不向农用地排放重金属或者其他有毒有害物质含量超标的污水、污泥，以及可能造成土壤污染的清淤底泥、尾矿、矿渣等。</w:t>
                  </w:r>
                </w:p>
              </w:tc>
              <w:tc>
                <w:tcPr>
                  <w:tcW w:w="281" w:type="pct"/>
                  <w:vAlign w:val="center"/>
                </w:tcPr>
                <w:p w14:paraId="7B37B900">
                  <w:pPr>
                    <w:pStyle w:val="29"/>
                  </w:pPr>
                  <w:r>
                    <w:t>相符</w:t>
                  </w:r>
                </w:p>
              </w:tc>
            </w:tr>
            <w:tr w14:paraId="017F0F69">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397" w:hRule="atLeast"/>
              </w:trPr>
              <w:tc>
                <w:tcPr>
                  <w:tcW w:w="191" w:type="pct"/>
                  <w:vAlign w:val="center"/>
                </w:tcPr>
                <w:p w14:paraId="6429DEBA">
                  <w:pPr>
                    <w:pStyle w:val="29"/>
                  </w:pPr>
                  <w:r>
                    <w:t>环境风险防控</w:t>
                  </w:r>
                </w:p>
              </w:tc>
              <w:tc>
                <w:tcPr>
                  <w:tcW w:w="2658" w:type="pct"/>
                  <w:vAlign w:val="center"/>
                </w:tcPr>
                <w:p w14:paraId="355267CD">
                  <w:pPr>
                    <w:pStyle w:val="29"/>
                  </w:pPr>
                  <w:r>
                    <w:t>4-1. 【水/综合类】城镇污水处理厂、涉水企业应采取有效措施，防止事故废水直接排入水体。</w:t>
                  </w:r>
                </w:p>
                <w:p w14:paraId="35650255">
                  <w:pPr>
                    <w:pStyle w:val="29"/>
                  </w:pPr>
                  <w:r>
                    <w:t>4-2. 【水/综合类】加强饮用水水源保护区内环境风险排查，开展风险评估及水环境预警监测。</w:t>
                  </w:r>
                </w:p>
                <w:p w14:paraId="7F174F11">
                  <w:pPr>
                    <w:pStyle w:val="29"/>
                  </w:pPr>
                  <w:r>
                    <w:t>4-3. 【大气/综合类】建立环境监测预警制度，加强污染天气预警预报；生产、储存和使用有毒有害气体的企业（有毒有害气体的企业指列入《有毒有害大气污染物名录》的、以及其他对人体康和生态环境造成危害的气体），需建立有毒有害气体环境风险预警体系。</w:t>
                  </w:r>
                </w:p>
              </w:tc>
              <w:tc>
                <w:tcPr>
                  <w:tcW w:w="1870" w:type="pct"/>
                  <w:vAlign w:val="center"/>
                </w:tcPr>
                <w:p w14:paraId="3C41375C">
                  <w:pPr>
                    <w:pStyle w:val="29"/>
                  </w:pPr>
                  <w:r>
                    <w:t>4-1.项目运营期无生产废水外排，运营期将加强风险防范措施，防止事故废水外排。</w:t>
                  </w:r>
                </w:p>
                <w:p w14:paraId="2CF5ABC0">
                  <w:pPr>
                    <w:pStyle w:val="29"/>
                  </w:pPr>
                  <w:r>
                    <w:t>4-2.项目不在饮用水水源保护区内。</w:t>
                  </w:r>
                </w:p>
                <w:p w14:paraId="67CAAABB">
                  <w:pPr>
                    <w:pStyle w:val="29"/>
                  </w:pPr>
                  <w:r>
                    <w:t>4-3.项目不生产、储存和使用有毒有害气体，生产过程中产生的大气污染物经有效处理后达标排放，并且定期开展污染物监测。</w:t>
                  </w:r>
                </w:p>
              </w:tc>
              <w:tc>
                <w:tcPr>
                  <w:tcW w:w="281" w:type="pct"/>
                  <w:vAlign w:val="center"/>
                </w:tcPr>
                <w:p w14:paraId="6504BACC">
                  <w:pPr>
                    <w:pStyle w:val="29"/>
                  </w:pPr>
                  <w:r>
                    <w:t>相符</w:t>
                  </w:r>
                </w:p>
              </w:tc>
            </w:tr>
          </w:tbl>
          <w:p w14:paraId="027EE6D2">
            <w:pPr>
              <w:adjustRightInd/>
              <w:snapToGrid/>
              <w:ind w:firstLine="480"/>
              <w:outlineLvl w:val="3"/>
              <w:rPr>
                <w:rFonts w:asciiTheme="majorBidi" w:hAnsiTheme="majorBidi" w:eastAsiaTheme="minorEastAsia" w:cstheme="majorBidi"/>
                <w:b/>
                <w:bCs/>
                <w:color w:val="000000" w:themeColor="text1"/>
                <w14:textFill>
                  <w14:solidFill>
                    <w14:schemeClr w14:val="tx1"/>
                  </w14:solidFill>
                </w14:textFill>
              </w:rPr>
            </w:pPr>
            <w:r>
              <w:rPr>
                <w:rFonts w:asciiTheme="majorBidi" w:hAnsiTheme="majorBidi" w:eastAsiaTheme="minorEastAsia" w:cstheme="majorBidi"/>
                <w:color w:val="000000" w:themeColor="text1"/>
                <w14:textFill>
                  <w14:solidFill>
                    <w14:schemeClr w14:val="tx1"/>
                  </w14:solidFill>
                </w14:textFill>
              </w:rPr>
              <w:t>综上所述，本项目符合博罗县</w:t>
            </w:r>
            <w:r>
              <w:rPr>
                <w:rFonts w:ascii="宋体" w:hAnsi="宋体" w:eastAsiaTheme="minorEastAsia" w:cstheme="majorBidi"/>
                <w:color w:val="000000" w:themeColor="text1"/>
                <w14:textFill>
                  <w14:solidFill>
                    <w14:schemeClr w14:val="tx1"/>
                  </w14:solidFill>
                </w14:textFill>
              </w:rPr>
              <w:t>“</w:t>
            </w:r>
            <w:r>
              <w:rPr>
                <w:rFonts w:asciiTheme="majorBidi" w:hAnsiTheme="majorBidi" w:eastAsiaTheme="minorEastAsia" w:cstheme="majorBidi"/>
                <w:color w:val="000000" w:themeColor="text1"/>
                <w14:textFill>
                  <w14:solidFill>
                    <w14:schemeClr w14:val="tx1"/>
                  </w14:solidFill>
                </w14:textFill>
              </w:rPr>
              <w:t>三线一单</w:t>
            </w:r>
            <w:r>
              <w:rPr>
                <w:rFonts w:ascii="宋体" w:hAnsi="宋体" w:eastAsiaTheme="minorEastAsia" w:cstheme="majorBidi"/>
                <w:color w:val="000000" w:themeColor="text1"/>
                <w14:textFill>
                  <w14:solidFill>
                    <w14:schemeClr w14:val="tx1"/>
                  </w14:solidFill>
                </w14:textFill>
              </w:rPr>
              <w:t>”</w:t>
            </w:r>
            <w:r>
              <w:rPr>
                <w:rFonts w:asciiTheme="majorBidi" w:hAnsiTheme="majorBidi" w:eastAsiaTheme="minorEastAsia" w:cstheme="majorBidi"/>
                <w:color w:val="000000" w:themeColor="text1"/>
                <w14:textFill>
                  <w14:solidFill>
                    <w14:schemeClr w14:val="tx1"/>
                  </w14:solidFill>
                </w14:textFill>
              </w:rPr>
              <w:t>管理要求</w:t>
            </w:r>
            <w:r>
              <w:rPr>
                <w:rFonts w:asciiTheme="majorBidi" w:hAnsiTheme="majorBidi" w:eastAsiaTheme="minorEastAsia" w:cstheme="majorBidi"/>
                <w:bCs/>
                <w:color w:val="000000" w:themeColor="text1"/>
                <w:kern w:val="2"/>
                <w14:textFill>
                  <w14:solidFill>
                    <w14:schemeClr w14:val="tx1"/>
                  </w14:solidFill>
                </w14:textFill>
              </w:rPr>
              <w:t>。</w:t>
            </w:r>
          </w:p>
          <w:p w14:paraId="5969B831">
            <w:pPr>
              <w:autoSpaceDE w:val="0"/>
              <w:autoSpaceDN w:val="0"/>
              <w:ind w:firstLine="482"/>
              <w:rPr>
                <w:rFonts w:asciiTheme="majorBidi" w:hAnsiTheme="majorBidi" w:eastAsiaTheme="minorEastAsia" w:cstheme="majorBidi"/>
                <w:b/>
                <w:bCs/>
                <w:color w:val="000000" w:themeColor="text1"/>
                <w:szCs w:val="21"/>
                <w14:textFill>
                  <w14:solidFill>
                    <w14:schemeClr w14:val="tx1"/>
                  </w14:solidFill>
                </w14:textFill>
              </w:rPr>
            </w:pPr>
            <w:r>
              <w:rPr>
                <w:rFonts w:asciiTheme="majorBidi" w:hAnsiTheme="majorBidi" w:eastAsiaTheme="minorEastAsia" w:cstheme="majorBidi"/>
                <w:b/>
                <w:bCs/>
                <w:color w:val="000000" w:themeColor="text1"/>
                <w:szCs w:val="21"/>
                <w14:textFill>
                  <w14:solidFill>
                    <w14:schemeClr w14:val="tx1"/>
                  </w14:solidFill>
                </w14:textFill>
              </w:rPr>
              <w:t>（三）产业政策合理性分析</w:t>
            </w:r>
          </w:p>
          <w:p w14:paraId="47CC1417">
            <w:pPr>
              <w:autoSpaceDE w:val="0"/>
              <w:autoSpaceDN w:val="0"/>
              <w:ind w:firstLine="480"/>
              <w:rPr>
                <w:rFonts w:asciiTheme="majorBidi" w:hAnsiTheme="majorBidi" w:eastAsiaTheme="minorEastAsia" w:cstheme="majorBidi"/>
                <w:color w:val="000000" w:themeColor="text1"/>
                <w:kern w:val="2"/>
                <w:szCs w:val="21"/>
                <w14:textFill>
                  <w14:solidFill>
                    <w14:schemeClr w14:val="tx1"/>
                  </w14:solidFill>
                </w14:textFill>
              </w:rPr>
            </w:pPr>
            <w:r>
              <w:rPr>
                <w:rFonts w:asciiTheme="majorBidi" w:hAnsiTheme="majorBidi" w:eastAsiaTheme="minorEastAsia" w:cstheme="majorBidi"/>
                <w:color w:val="000000" w:themeColor="text1"/>
                <w:szCs w:val="21"/>
                <w14:textFill>
                  <w14:solidFill>
                    <w14:schemeClr w14:val="tx1"/>
                  </w14:solidFill>
                </w14:textFill>
              </w:rPr>
              <w:t>项目</w:t>
            </w:r>
            <w:r>
              <w:rPr>
                <w:rFonts w:asciiTheme="majorBidi" w:hAnsiTheme="majorBidi" w:eastAsiaTheme="minorEastAsia" w:cstheme="majorBidi"/>
                <w:color w:val="000000" w:themeColor="text1"/>
                <w:kern w:val="2"/>
                <w14:textFill>
                  <w14:solidFill>
                    <w14:schemeClr w14:val="tx1"/>
                  </w14:solidFill>
                </w14:textFill>
              </w:rPr>
              <w:t>主要从事塑胶台灯上下盖、塑胶包装盒上下盖及塑胶零件的生产</w:t>
            </w:r>
            <w:r>
              <w:rPr>
                <w:rFonts w:asciiTheme="majorBidi" w:hAnsiTheme="majorBidi" w:eastAsiaTheme="minorEastAsia" w:cstheme="majorBidi"/>
                <w:color w:val="000000" w:themeColor="text1"/>
                <w:szCs w:val="21"/>
                <w14:textFill>
                  <w14:solidFill>
                    <w14:schemeClr w14:val="tx1"/>
                  </w14:solidFill>
                </w14:textFill>
              </w:rPr>
              <w:t>，属于《国民经济行业分类》（GB/T4754-2017）（按第1号修改单修订）中的C2929塑料零件及其他塑料制品制造。项目不属于《产业结构调整指导目录（2024年本）》中的鼓励类、限制类和淘汰类项目，属于允许类生产项目。</w:t>
            </w:r>
          </w:p>
          <w:p w14:paraId="7B2B913D">
            <w:pPr>
              <w:autoSpaceDE w:val="0"/>
              <w:autoSpaceDN w:val="0"/>
              <w:ind w:firstLine="482"/>
              <w:rPr>
                <w:rFonts w:asciiTheme="majorBidi" w:hAnsiTheme="majorBidi" w:eastAsiaTheme="minorEastAsia" w:cstheme="majorBidi"/>
                <w:b/>
                <w:bCs/>
                <w:color w:val="000000" w:themeColor="text1"/>
                <w:szCs w:val="21"/>
                <w14:textFill>
                  <w14:solidFill>
                    <w14:schemeClr w14:val="tx1"/>
                  </w14:solidFill>
                </w14:textFill>
              </w:rPr>
            </w:pPr>
            <w:r>
              <w:rPr>
                <w:rFonts w:asciiTheme="majorBidi" w:hAnsiTheme="majorBidi" w:eastAsiaTheme="minorEastAsia" w:cstheme="majorBidi"/>
                <w:b/>
                <w:bCs/>
                <w:color w:val="000000" w:themeColor="text1"/>
                <w:szCs w:val="21"/>
                <w14:textFill>
                  <w14:solidFill>
                    <w14:schemeClr w14:val="tx1"/>
                  </w14:solidFill>
                </w14:textFill>
              </w:rPr>
              <w:t>（四）与《市场准入负面清单（</w:t>
            </w:r>
            <w:r>
              <w:rPr>
                <w:rFonts w:hint="eastAsia" w:asciiTheme="majorBidi" w:hAnsiTheme="majorBidi" w:eastAsiaTheme="minorEastAsia" w:cstheme="majorBidi"/>
                <w:b/>
                <w:bCs/>
                <w:color w:val="000000" w:themeColor="text1"/>
                <w:szCs w:val="21"/>
                <w14:textFill>
                  <w14:solidFill>
                    <w14:schemeClr w14:val="tx1"/>
                  </w14:solidFill>
                </w14:textFill>
              </w:rPr>
              <w:t>202</w:t>
            </w:r>
            <w:r>
              <w:rPr>
                <w:rFonts w:hint="eastAsia" w:asciiTheme="majorBidi" w:hAnsiTheme="majorBidi" w:eastAsiaTheme="minorEastAsia" w:cstheme="majorBidi"/>
                <w:b/>
                <w:bCs/>
                <w:color w:val="0000FF"/>
                <w:szCs w:val="21"/>
              </w:rPr>
              <w:t>5</w:t>
            </w:r>
            <w:r>
              <w:rPr>
                <w:rFonts w:hint="eastAsia" w:asciiTheme="majorBidi" w:hAnsiTheme="majorBidi" w:eastAsiaTheme="minorEastAsia" w:cstheme="majorBidi"/>
                <w:b/>
                <w:bCs/>
                <w:color w:val="000000" w:themeColor="text1"/>
                <w:szCs w:val="21"/>
                <w14:textFill>
                  <w14:solidFill>
                    <w14:schemeClr w14:val="tx1"/>
                  </w14:solidFill>
                </w14:textFill>
              </w:rPr>
              <w:t>年版</w:t>
            </w:r>
            <w:r>
              <w:rPr>
                <w:rFonts w:asciiTheme="majorBidi" w:hAnsiTheme="majorBidi" w:eastAsiaTheme="minorEastAsia" w:cstheme="majorBidi"/>
                <w:b/>
                <w:bCs/>
                <w:color w:val="000000" w:themeColor="text1"/>
                <w:szCs w:val="21"/>
                <w14:textFill>
                  <w14:solidFill>
                    <w14:schemeClr w14:val="tx1"/>
                  </w14:solidFill>
                </w14:textFill>
              </w:rPr>
              <w:t>）》（发改体改规</w:t>
            </w:r>
            <w:r>
              <w:rPr>
                <w:rFonts w:asciiTheme="majorBidi" w:hAnsiTheme="majorBidi" w:eastAsiaTheme="minorEastAsia" w:cstheme="majorBidi"/>
                <w:color w:val="000000" w:themeColor="text1"/>
                <w:szCs w:val="21"/>
                <w14:textFill>
                  <w14:solidFill>
                    <w14:schemeClr w14:val="tx1"/>
                  </w14:solidFill>
                </w14:textFill>
              </w:rPr>
              <w:t>〔202</w:t>
            </w:r>
            <w:r>
              <w:rPr>
                <w:rFonts w:hint="eastAsia" w:asciiTheme="majorBidi" w:hAnsiTheme="majorBidi" w:eastAsiaTheme="minorEastAsia" w:cstheme="majorBidi"/>
                <w:color w:val="0000FF"/>
                <w:szCs w:val="21"/>
              </w:rPr>
              <w:t>5</w:t>
            </w:r>
            <w:r>
              <w:rPr>
                <w:rFonts w:asciiTheme="majorBidi" w:hAnsiTheme="majorBidi" w:eastAsiaTheme="minorEastAsia" w:cstheme="majorBidi"/>
                <w:color w:val="000000" w:themeColor="text1"/>
                <w:szCs w:val="21"/>
                <w14:textFill>
                  <w14:solidFill>
                    <w14:schemeClr w14:val="tx1"/>
                  </w14:solidFill>
                </w14:textFill>
              </w:rPr>
              <w:t>〕</w:t>
            </w:r>
            <w:r>
              <w:rPr>
                <w:rFonts w:hint="eastAsia" w:asciiTheme="majorBidi" w:hAnsiTheme="majorBidi" w:eastAsiaTheme="minorEastAsia" w:cstheme="majorBidi"/>
                <w:color w:val="0000FF"/>
                <w:szCs w:val="21"/>
              </w:rPr>
              <w:t>466</w:t>
            </w:r>
            <w:r>
              <w:rPr>
                <w:rFonts w:asciiTheme="majorBidi" w:hAnsiTheme="majorBidi" w:eastAsiaTheme="minorEastAsia" w:cstheme="majorBidi"/>
                <w:color w:val="000000" w:themeColor="text1"/>
                <w:szCs w:val="21"/>
                <w14:textFill>
                  <w14:solidFill>
                    <w14:schemeClr w14:val="tx1"/>
                  </w14:solidFill>
                </w14:textFill>
              </w:rPr>
              <w:t>号</w:t>
            </w:r>
            <w:r>
              <w:rPr>
                <w:rFonts w:asciiTheme="majorBidi" w:hAnsiTheme="majorBidi" w:eastAsiaTheme="minorEastAsia" w:cstheme="majorBidi"/>
                <w:b/>
                <w:bCs/>
                <w:color w:val="000000" w:themeColor="text1"/>
                <w:szCs w:val="21"/>
                <w14:textFill>
                  <w14:solidFill>
                    <w14:schemeClr w14:val="tx1"/>
                  </w14:solidFill>
                </w14:textFill>
              </w:rPr>
              <w:t>）的相符性分析</w:t>
            </w:r>
          </w:p>
          <w:p w14:paraId="516FDE06">
            <w:pPr>
              <w:autoSpaceDE w:val="0"/>
              <w:autoSpaceDN w:val="0"/>
              <w:ind w:firstLine="480"/>
              <w:rPr>
                <w:rFonts w:asciiTheme="majorBidi" w:hAnsiTheme="majorBidi" w:eastAsiaTheme="minorEastAsia" w:cstheme="majorBidi"/>
                <w:color w:val="000000" w:themeColor="text1"/>
                <w:szCs w:val="21"/>
                <w14:textFill>
                  <w14:solidFill>
                    <w14:schemeClr w14:val="tx1"/>
                  </w14:solidFill>
                </w14:textFill>
              </w:rPr>
            </w:pPr>
            <w:r>
              <w:rPr>
                <w:rFonts w:asciiTheme="majorBidi" w:hAnsiTheme="majorBidi" w:eastAsiaTheme="minorEastAsia" w:cstheme="majorBidi"/>
                <w:color w:val="000000" w:themeColor="text1"/>
                <w:szCs w:val="21"/>
                <w14:textFill>
                  <w14:solidFill>
                    <w14:schemeClr w14:val="tx1"/>
                  </w14:solidFill>
                </w14:textFill>
              </w:rPr>
              <w:t>根据《市场准入负面清单（202</w:t>
            </w:r>
            <w:r>
              <w:rPr>
                <w:rFonts w:hint="eastAsia" w:asciiTheme="majorBidi" w:hAnsiTheme="majorBidi" w:eastAsiaTheme="minorEastAsia" w:cstheme="majorBidi"/>
                <w:color w:val="0000FF"/>
                <w:szCs w:val="21"/>
              </w:rPr>
              <w:t>5</w:t>
            </w:r>
            <w:r>
              <w:rPr>
                <w:rFonts w:asciiTheme="majorBidi" w:hAnsiTheme="majorBidi" w:eastAsiaTheme="minorEastAsia" w:cstheme="majorBidi"/>
                <w:color w:val="000000" w:themeColor="text1"/>
                <w:szCs w:val="21"/>
                <w14:textFill>
                  <w14:solidFill>
                    <w14:schemeClr w14:val="tx1"/>
                  </w14:solidFill>
                </w14:textFill>
              </w:rPr>
              <w:t>年版）》（发改体改规〔202</w:t>
            </w:r>
            <w:r>
              <w:rPr>
                <w:rFonts w:hint="eastAsia" w:asciiTheme="majorBidi" w:hAnsiTheme="majorBidi" w:eastAsiaTheme="minorEastAsia" w:cstheme="majorBidi"/>
                <w:color w:val="0000FF"/>
                <w:szCs w:val="21"/>
              </w:rPr>
              <w:t>5</w:t>
            </w:r>
            <w:r>
              <w:rPr>
                <w:rFonts w:asciiTheme="majorBidi" w:hAnsiTheme="majorBidi" w:eastAsiaTheme="minorEastAsia" w:cstheme="majorBidi"/>
                <w:color w:val="000000" w:themeColor="text1"/>
                <w:szCs w:val="21"/>
                <w14:textFill>
                  <w14:solidFill>
                    <w14:schemeClr w14:val="tx1"/>
                  </w14:solidFill>
                </w14:textFill>
              </w:rPr>
              <w:t>〕</w:t>
            </w:r>
            <w:r>
              <w:rPr>
                <w:rFonts w:hint="eastAsia" w:asciiTheme="majorBidi" w:hAnsiTheme="majorBidi" w:eastAsiaTheme="minorEastAsia" w:cstheme="majorBidi"/>
                <w:color w:val="0000FF"/>
                <w:szCs w:val="21"/>
              </w:rPr>
              <w:t>466</w:t>
            </w:r>
            <w:r>
              <w:rPr>
                <w:rFonts w:asciiTheme="majorBidi" w:hAnsiTheme="majorBidi" w:eastAsiaTheme="minorEastAsia" w:cstheme="majorBidi"/>
                <w:color w:val="000000" w:themeColor="text1"/>
                <w:szCs w:val="21"/>
                <w14:textFill>
                  <w14:solidFill>
                    <w14:schemeClr w14:val="tx1"/>
                  </w14:solidFill>
                </w14:textFill>
              </w:rPr>
              <w:t>号）内容：对禁止准入事项，市场主体不得进入，行政机关不予审批、核准，不得办理有关手续；对许可准入事项，包括有关资格的要求和程序、技术标准和许可要求等，由市场主体提出申请，行政机关依法依规作出是否予以准入的决定；对市场准入负面清单以外的行业、领域、业务等，各类市场主体皆可依法平等进入。</w:t>
            </w:r>
          </w:p>
          <w:p w14:paraId="4BA5789A">
            <w:pPr>
              <w:autoSpaceDE w:val="0"/>
              <w:autoSpaceDN w:val="0"/>
              <w:ind w:firstLine="480"/>
              <w:rPr>
                <w:rFonts w:asciiTheme="majorBidi" w:hAnsiTheme="majorBidi" w:eastAsiaTheme="minorEastAsia" w:cstheme="majorBidi"/>
                <w:color w:val="000000" w:themeColor="text1"/>
                <w:kern w:val="2"/>
                <w:szCs w:val="21"/>
                <w14:textFill>
                  <w14:solidFill>
                    <w14:schemeClr w14:val="tx1"/>
                  </w14:solidFill>
                </w14:textFill>
              </w:rPr>
            </w:pPr>
            <w:r>
              <w:rPr>
                <w:rFonts w:asciiTheme="majorBidi" w:hAnsiTheme="majorBidi" w:eastAsiaTheme="minorEastAsia" w:cstheme="majorBidi"/>
                <w:color w:val="000000" w:themeColor="text1"/>
                <w:szCs w:val="21"/>
                <w14:textFill>
                  <w14:solidFill>
                    <w14:schemeClr w14:val="tx1"/>
                  </w14:solidFill>
                </w14:textFill>
              </w:rPr>
              <w:t>项目</w:t>
            </w:r>
            <w:r>
              <w:rPr>
                <w:rFonts w:asciiTheme="majorBidi" w:hAnsiTheme="majorBidi" w:eastAsiaTheme="minorEastAsia" w:cstheme="majorBidi"/>
                <w:color w:val="000000" w:themeColor="text1"/>
                <w:kern w:val="2"/>
                <w14:textFill>
                  <w14:solidFill>
                    <w14:schemeClr w14:val="tx1"/>
                  </w14:solidFill>
                </w14:textFill>
              </w:rPr>
              <w:t>主要从事塑胶台灯上下盖、塑胶包装盒上下盖及塑胶零件的生产</w:t>
            </w:r>
            <w:r>
              <w:rPr>
                <w:rFonts w:asciiTheme="majorBidi" w:hAnsiTheme="majorBidi" w:eastAsiaTheme="minorEastAsia" w:cstheme="majorBidi"/>
                <w:color w:val="000000" w:themeColor="text1"/>
                <w:szCs w:val="21"/>
                <w14:textFill>
                  <w14:solidFill>
                    <w14:schemeClr w14:val="tx1"/>
                  </w14:solidFill>
                </w14:textFill>
              </w:rPr>
              <w:t>，属于《国民经济行业分类》（GB/T4754-2017）（按第1号修改单修订）中的C2929塑料零件及其他塑料制品制造。不属于</w:t>
            </w:r>
            <w:r>
              <w:rPr>
                <w:rFonts w:asciiTheme="majorBidi" w:hAnsiTheme="majorBidi" w:eastAsiaTheme="minorEastAsia" w:cstheme="majorBidi"/>
                <w:color w:val="000000" w:themeColor="text1"/>
                <w:kern w:val="2"/>
                <w:szCs w:val="21"/>
                <w14:textFill>
                  <w14:solidFill>
                    <w14:schemeClr w14:val="tx1"/>
                  </w14:solidFill>
                </w14:textFill>
              </w:rPr>
              <w:t>《市场准入负面清单（2022年版）》禁止或需要许可的类别，项目建设符合《市场准入负面清单（2022年版）》</w:t>
            </w:r>
            <w:r>
              <w:rPr>
                <w:rFonts w:asciiTheme="majorBidi" w:hAnsiTheme="majorBidi" w:eastAsiaTheme="minorEastAsia" w:cstheme="majorBidi"/>
                <w:color w:val="000000" w:themeColor="text1"/>
                <w:szCs w:val="21"/>
                <w14:textFill>
                  <w14:solidFill>
                    <w14:schemeClr w14:val="tx1"/>
                  </w14:solidFill>
                </w14:textFill>
              </w:rPr>
              <w:t>（发改体改规〔2022〕397号）</w:t>
            </w:r>
            <w:r>
              <w:rPr>
                <w:rFonts w:asciiTheme="majorBidi" w:hAnsiTheme="majorBidi" w:eastAsiaTheme="minorEastAsia" w:cstheme="majorBidi"/>
                <w:color w:val="000000" w:themeColor="text1"/>
                <w:kern w:val="2"/>
                <w:szCs w:val="21"/>
                <w14:textFill>
                  <w14:solidFill>
                    <w14:schemeClr w14:val="tx1"/>
                  </w14:solidFill>
                </w14:textFill>
              </w:rPr>
              <w:t>相关要求。</w:t>
            </w:r>
          </w:p>
          <w:p w14:paraId="26107F6B">
            <w:pPr>
              <w:autoSpaceDE w:val="0"/>
              <w:autoSpaceDN w:val="0"/>
              <w:ind w:firstLine="482"/>
              <w:rPr>
                <w:rFonts w:asciiTheme="majorBidi" w:hAnsiTheme="majorBidi" w:eastAsiaTheme="minorEastAsia" w:cstheme="majorBidi"/>
                <w:b/>
                <w:bCs/>
                <w:color w:val="000000" w:themeColor="text1"/>
                <w:szCs w:val="21"/>
                <w14:textFill>
                  <w14:solidFill>
                    <w14:schemeClr w14:val="tx1"/>
                  </w14:solidFill>
                </w14:textFill>
              </w:rPr>
            </w:pPr>
            <w:r>
              <w:rPr>
                <w:rFonts w:asciiTheme="majorBidi" w:hAnsiTheme="majorBidi" w:eastAsiaTheme="minorEastAsia" w:cstheme="majorBidi"/>
                <w:b/>
                <w:bCs/>
                <w:color w:val="000000" w:themeColor="text1"/>
                <w:szCs w:val="21"/>
                <w14:textFill>
                  <w14:solidFill>
                    <w14:schemeClr w14:val="tx1"/>
                  </w14:solidFill>
                </w14:textFill>
              </w:rPr>
              <w:t>（五）用地性质相符性分析</w:t>
            </w:r>
          </w:p>
          <w:p w14:paraId="61F4ECAF">
            <w:pPr>
              <w:autoSpaceDE w:val="0"/>
              <w:autoSpaceDN w:val="0"/>
              <w:ind w:firstLine="480"/>
              <w:rPr>
                <w:rFonts w:asciiTheme="majorBidi" w:hAnsiTheme="majorBidi" w:eastAsiaTheme="minorEastAsia" w:cstheme="majorBidi"/>
                <w:color w:val="000000" w:themeColor="text1"/>
                <w:szCs w:val="21"/>
                <w14:textFill>
                  <w14:solidFill>
                    <w14:schemeClr w14:val="tx1"/>
                  </w14:solidFill>
                </w14:textFill>
              </w:rPr>
            </w:pPr>
            <w:r>
              <w:rPr>
                <w:rFonts w:asciiTheme="majorBidi" w:hAnsiTheme="majorBidi" w:eastAsiaTheme="minorEastAsia" w:cstheme="majorBidi"/>
                <w:color w:val="000000" w:themeColor="text1"/>
                <w:szCs w:val="21"/>
                <w14:textFill>
                  <w14:solidFill>
                    <w14:schemeClr w14:val="tx1"/>
                  </w14:solidFill>
                </w14:textFill>
              </w:rPr>
              <w:t>本项目位于惠州市博罗县园洲镇博罗智能装备产业园园洲片区绿化北路3号（10-b 号厂房101、201、301楼），根据《博罗智能装备产业园园洲片区（起步区）控制性详细规划》（见附图15），项目所在地位于一类工业用地，项目所在地符合园洲镇土地利用总体规划和城镇建设总体规划；根据建设单位提供的资料（见附件3），该项目利用地块的国有土地使用证号为粤(2022)博罗县不动产权第0036979号，项目所在地为工业用地，因此项目用地符合所在地块性质。</w:t>
            </w:r>
          </w:p>
          <w:p w14:paraId="0C28D3FD">
            <w:pPr>
              <w:autoSpaceDE w:val="0"/>
              <w:autoSpaceDN w:val="0"/>
              <w:ind w:firstLine="482"/>
              <w:rPr>
                <w:rFonts w:asciiTheme="majorBidi" w:hAnsiTheme="majorBidi" w:eastAsiaTheme="minorEastAsia" w:cstheme="majorBidi"/>
                <w:b/>
                <w:bCs/>
                <w:color w:val="000000" w:themeColor="text1"/>
                <w:szCs w:val="21"/>
                <w14:textFill>
                  <w14:solidFill>
                    <w14:schemeClr w14:val="tx1"/>
                  </w14:solidFill>
                </w14:textFill>
              </w:rPr>
            </w:pPr>
            <w:r>
              <w:rPr>
                <w:rFonts w:asciiTheme="majorBidi" w:hAnsiTheme="majorBidi" w:eastAsiaTheme="minorEastAsia" w:cstheme="majorBidi"/>
                <w:b/>
                <w:bCs/>
                <w:color w:val="000000" w:themeColor="text1"/>
                <w:szCs w:val="21"/>
                <w14:textFill>
                  <w14:solidFill>
                    <w14:schemeClr w14:val="tx1"/>
                  </w14:solidFill>
                </w14:textFill>
              </w:rPr>
              <w:t>（六）区域环境功能区划相符性分析</w:t>
            </w:r>
          </w:p>
          <w:p w14:paraId="15593F4B">
            <w:pPr>
              <w:ind w:firstLine="482"/>
              <w:rPr>
                <w:rFonts w:asciiTheme="majorBidi" w:hAnsiTheme="majorBidi" w:cstheme="majorBidi"/>
                <w:b/>
                <w:bCs/>
                <w:color w:val="000000" w:themeColor="text1"/>
                <w14:textFill>
                  <w14:solidFill>
                    <w14:schemeClr w14:val="tx1"/>
                  </w14:solidFill>
                </w14:textFill>
              </w:rPr>
            </w:pPr>
            <w:r>
              <w:rPr>
                <w:rFonts w:asciiTheme="majorBidi" w:hAnsiTheme="majorBidi" w:cstheme="majorBidi"/>
                <w:b/>
                <w:bCs/>
                <w:color w:val="000000" w:themeColor="text1"/>
                <w14:textFill>
                  <w14:solidFill>
                    <w14:schemeClr w14:val="tx1"/>
                  </w14:solidFill>
                </w14:textFill>
              </w:rPr>
              <w:t>1.水环境功能区划</w:t>
            </w:r>
          </w:p>
          <w:p w14:paraId="1BDDE46F">
            <w:pPr>
              <w:ind w:firstLine="480"/>
              <w:rPr>
                <w:rFonts w:asciiTheme="majorBidi" w:hAnsiTheme="majorBidi" w:cstheme="majorBidi"/>
                <w:bCs/>
                <w:color w:val="000000" w:themeColor="text1"/>
                <w14:textFill>
                  <w14:solidFill>
                    <w14:schemeClr w14:val="tx1"/>
                  </w14:solidFill>
                </w14:textFill>
              </w:rPr>
            </w:pPr>
            <w:r>
              <w:rPr>
                <w:rFonts w:asciiTheme="majorBidi" w:hAnsiTheme="majorBidi" w:cstheme="majorBidi"/>
                <w:color w:val="000000" w:themeColor="text1"/>
                <w14:textFill>
                  <w14:solidFill>
                    <w14:schemeClr w14:val="tx1"/>
                  </w14:solidFill>
                </w14:textFill>
              </w:rPr>
              <w:t>（1）根据《</w:t>
            </w:r>
            <w:r>
              <w:rPr>
                <w:rFonts w:hint="eastAsia" w:asciiTheme="majorBidi" w:hAnsiTheme="majorBidi" w:cstheme="majorBidi"/>
                <w:color w:val="EE0000"/>
              </w:rPr>
              <w:t>关于印发&lt;博罗县2024年水污染防治工作方案&gt;的通知》（博环攻坚办〔2024〕68号</w:t>
            </w:r>
            <w:r>
              <w:rPr>
                <w:rFonts w:asciiTheme="majorBidi" w:hAnsiTheme="majorBidi" w:cstheme="majorBidi"/>
                <w:color w:val="000000" w:themeColor="text1"/>
                <w14:textFill>
                  <w14:solidFill>
                    <w14:schemeClr w14:val="tx1"/>
                  </w14:solidFill>
                </w14:textFill>
              </w:rPr>
              <w:t>），园洲中心排渠水质保护目标为Ⅴ类，执行《地表水环境质量标准》（GB3838-2002）Ⅴ类标准。</w:t>
            </w:r>
            <w:r>
              <w:rPr>
                <w:rFonts w:asciiTheme="majorBidi" w:hAnsiTheme="majorBidi" w:cstheme="majorBidi"/>
                <w:bCs/>
                <w:color w:val="000000" w:themeColor="text1"/>
                <w14:textFill>
                  <w14:solidFill>
                    <w14:schemeClr w14:val="tx1"/>
                  </w14:solidFill>
                </w14:textFill>
              </w:rPr>
              <w:t>根据《广东省地表水环境功能区划》（粤环〔2011〕14号），</w:t>
            </w:r>
            <w:r>
              <w:rPr>
                <w:rFonts w:asciiTheme="majorBidi" w:hAnsiTheme="majorBidi" w:cstheme="majorBidi"/>
                <w:color w:val="000000" w:themeColor="text1"/>
                <w14:textFill>
                  <w14:solidFill>
                    <w14:schemeClr w14:val="tx1"/>
                  </w14:solidFill>
                </w14:textFill>
              </w:rPr>
              <w:t>沙河（显岗水库大坝-博罗石湾）水质保护目标为Ⅲ类，执行《地表水环境质量标准》（GB3838-2002）Ⅲ类标准，</w:t>
            </w:r>
            <w:r>
              <w:rPr>
                <w:rFonts w:asciiTheme="majorBidi" w:hAnsiTheme="majorBidi" w:cstheme="majorBidi"/>
                <w:bCs/>
                <w:color w:val="000000" w:themeColor="text1"/>
                <w14:textFill>
                  <w14:solidFill>
                    <w14:schemeClr w14:val="tx1"/>
                  </w14:solidFill>
                </w14:textFill>
              </w:rPr>
              <w:t>东江干流（江西省界-东莞石龙）为Ⅱ类功能水体，</w:t>
            </w:r>
            <w:r>
              <w:rPr>
                <w:rFonts w:asciiTheme="majorBidi" w:hAnsiTheme="majorBidi" w:cstheme="majorBidi"/>
                <w:color w:val="000000" w:themeColor="text1"/>
                <w14:textFill>
                  <w14:solidFill>
                    <w14:schemeClr w14:val="tx1"/>
                  </w14:solidFill>
                </w14:textFill>
              </w:rPr>
              <w:t>执行《地表水环境质量标准》（GB3838-2002）Ⅱ类标准（见附图16）。</w:t>
            </w:r>
          </w:p>
          <w:p w14:paraId="2A91350A">
            <w:pPr>
              <w:ind w:firstLine="480"/>
              <w:rPr>
                <w:rFonts w:asciiTheme="majorBidi" w:hAnsiTheme="majorBidi" w:cstheme="majorBidi"/>
                <w:color w:val="000000" w:themeColor="text1"/>
                <w14:textFill>
                  <w14:solidFill>
                    <w14:schemeClr w14:val="tx1"/>
                  </w14:solidFill>
                </w14:textFill>
              </w:rPr>
            </w:pPr>
            <w:r>
              <w:rPr>
                <w:rFonts w:asciiTheme="majorBidi" w:hAnsiTheme="majorBidi" w:cstheme="majorBidi"/>
                <w:color w:val="000000" w:themeColor="text1"/>
                <w14:textFill>
                  <w14:solidFill>
                    <w14:schemeClr w14:val="tx1"/>
                  </w14:solidFill>
                </w14:textFill>
              </w:rPr>
              <w:t>（2）根据《惠州市饮用水水源保护区划调整方案》（粤府函〔2014〕188号）、《惠州市部分饮用水水源保护区调整方案》（经广东省人民政府批准，粤府函〔2019〕270号）以及《惠州市人民政府关于&lt;惠州市乡镇级及以下集中式饮用水水源保护区划定调整方案&gt;的批复》（惠府函〔2020〕317号），项目所在地不属于惠州市饮用水水源保护区。</w:t>
            </w:r>
          </w:p>
          <w:p w14:paraId="1FAC9BBF">
            <w:pPr>
              <w:ind w:firstLine="482"/>
              <w:rPr>
                <w:rFonts w:asciiTheme="majorBidi" w:hAnsiTheme="majorBidi" w:cstheme="majorBidi"/>
                <w:b/>
                <w:bCs/>
                <w:color w:val="000000" w:themeColor="text1"/>
                <w14:textFill>
                  <w14:solidFill>
                    <w14:schemeClr w14:val="tx1"/>
                  </w14:solidFill>
                </w14:textFill>
              </w:rPr>
            </w:pPr>
            <w:r>
              <w:rPr>
                <w:rFonts w:asciiTheme="majorBidi" w:hAnsiTheme="majorBidi" w:cstheme="majorBidi"/>
                <w:b/>
                <w:bCs/>
                <w:color w:val="000000" w:themeColor="text1"/>
                <w14:textFill>
                  <w14:solidFill>
                    <w14:schemeClr w14:val="tx1"/>
                  </w14:solidFill>
                </w14:textFill>
              </w:rPr>
              <w:t>2.大气环境功能区划</w:t>
            </w:r>
          </w:p>
          <w:p w14:paraId="3BDFC36E">
            <w:pPr>
              <w:ind w:firstLine="480"/>
              <w:rPr>
                <w:rFonts w:asciiTheme="majorBidi" w:hAnsiTheme="majorBidi" w:cstheme="majorBidi"/>
                <w:color w:val="000000" w:themeColor="text1"/>
                <w14:textFill>
                  <w14:solidFill>
                    <w14:schemeClr w14:val="tx1"/>
                  </w14:solidFill>
                </w14:textFill>
              </w:rPr>
            </w:pPr>
            <w:r>
              <w:rPr>
                <w:rFonts w:asciiTheme="majorBidi" w:hAnsiTheme="majorBidi" w:cstheme="majorBidi"/>
                <w:color w:val="000000" w:themeColor="text1"/>
                <w14:textFill>
                  <w14:solidFill>
                    <w14:schemeClr w14:val="tx1"/>
                  </w14:solidFill>
                </w14:textFill>
              </w:rPr>
              <w:t>根据《惠州市环境空气质量功能区划》（2024年修订）的规定，项目所在区域为环境空气质量二类功能区（详见附图17）。</w:t>
            </w:r>
          </w:p>
          <w:p w14:paraId="12593306">
            <w:pPr>
              <w:ind w:firstLine="482"/>
              <w:rPr>
                <w:rFonts w:asciiTheme="majorBidi" w:hAnsiTheme="majorBidi" w:cstheme="majorBidi"/>
                <w:b/>
                <w:bCs/>
                <w:color w:val="000000" w:themeColor="text1"/>
                <w14:textFill>
                  <w14:solidFill>
                    <w14:schemeClr w14:val="tx1"/>
                  </w14:solidFill>
                </w14:textFill>
              </w:rPr>
            </w:pPr>
            <w:r>
              <w:rPr>
                <w:rFonts w:asciiTheme="majorBidi" w:hAnsiTheme="majorBidi" w:cstheme="majorBidi"/>
                <w:b/>
                <w:bCs/>
                <w:color w:val="000000" w:themeColor="text1"/>
                <w14:textFill>
                  <w14:solidFill>
                    <w14:schemeClr w14:val="tx1"/>
                  </w14:solidFill>
                </w14:textFill>
              </w:rPr>
              <w:t>3.声环境功能区划</w:t>
            </w:r>
          </w:p>
          <w:p w14:paraId="03071B6A">
            <w:pPr>
              <w:ind w:firstLine="480"/>
              <w:rPr>
                <w:rFonts w:asciiTheme="majorBidi" w:hAnsiTheme="majorBidi" w:cstheme="majorBidi"/>
                <w:color w:val="000000" w:themeColor="text1"/>
                <w14:textFill>
                  <w14:solidFill>
                    <w14:schemeClr w14:val="tx1"/>
                  </w14:solidFill>
                </w14:textFill>
              </w:rPr>
            </w:pPr>
            <w:r>
              <w:rPr>
                <w:rFonts w:asciiTheme="majorBidi" w:hAnsiTheme="majorBidi" w:cstheme="majorBidi"/>
                <w:color w:val="000000" w:themeColor="text1"/>
                <w14:textFill>
                  <w14:solidFill>
                    <w14:schemeClr w14:val="tx1"/>
                  </w14:solidFill>
                </w14:textFill>
              </w:rPr>
              <w:t>参考《惠州市生态环境局关于印发&lt;惠州市声环境功能区划分方案（2022年）&gt;的通知》（惠市环〔2022〕33号）附件1惠州市0~4类声环境功能区划分范围，项目所在地为工业园，不在1、3、4类声环境功能区划分范围内，</w:t>
            </w:r>
            <w:r>
              <w:rPr>
                <w:rFonts w:hint="eastAsia" w:asciiTheme="majorBidi" w:hAnsiTheme="majorBidi" w:cstheme="majorBidi"/>
                <w:color w:val="000000" w:themeColor="text1"/>
                <w14:textFill>
                  <w14:solidFill>
                    <w14:schemeClr w14:val="tx1"/>
                  </w14:solidFill>
                </w14:textFill>
              </w:rPr>
              <w:t xml:space="preserve">  </w:t>
            </w:r>
          </w:p>
          <w:p w14:paraId="42B367C2">
            <w:pPr>
              <w:autoSpaceDE w:val="0"/>
              <w:autoSpaceDN w:val="0"/>
              <w:ind w:firstLine="482"/>
              <w:rPr>
                <w:rFonts w:asciiTheme="majorBidi" w:hAnsiTheme="majorBidi" w:eastAsiaTheme="minorEastAsia" w:cstheme="majorBidi"/>
                <w:b/>
                <w:bCs/>
                <w:color w:val="000000" w:themeColor="text1"/>
                <w:szCs w:val="21"/>
                <w14:textFill>
                  <w14:solidFill>
                    <w14:schemeClr w14:val="tx1"/>
                  </w14:solidFill>
                </w14:textFill>
              </w:rPr>
            </w:pPr>
            <w:r>
              <w:rPr>
                <w:rFonts w:asciiTheme="majorBidi" w:hAnsiTheme="majorBidi" w:eastAsiaTheme="minorEastAsia" w:cstheme="majorBidi"/>
                <w:b/>
                <w:bCs/>
                <w:color w:val="000000" w:themeColor="text1"/>
                <w:szCs w:val="21"/>
                <w14:textFill>
                  <w14:solidFill>
                    <w14:schemeClr w14:val="tx1"/>
                  </w14:solidFill>
                </w14:textFill>
              </w:rPr>
              <w:t>（七）与《广东省人民政府关于严格限制东江流域水污染项目建设进一步做好东江水质保护工作的通知》（粤府函〔2011〕339号）相符性分析</w:t>
            </w:r>
          </w:p>
          <w:p w14:paraId="77A0446F">
            <w:pPr>
              <w:ind w:firstLine="480"/>
              <w:rPr>
                <w:rFonts w:asciiTheme="majorBidi" w:hAnsiTheme="majorBidi" w:cstheme="majorBidi"/>
                <w:color w:val="000000" w:themeColor="text1"/>
                <w14:textFill>
                  <w14:solidFill>
                    <w14:schemeClr w14:val="tx1"/>
                  </w14:solidFill>
                </w14:textFill>
              </w:rPr>
            </w:pPr>
            <w:r>
              <w:rPr>
                <w:rFonts w:asciiTheme="majorBidi" w:hAnsiTheme="majorBidi" w:cstheme="majorBidi"/>
                <w:color w:val="000000" w:themeColor="text1"/>
                <w14:textFill>
                  <w14:solidFill>
                    <w14:schemeClr w14:val="tx1"/>
                  </w14:solidFill>
                </w14:textFill>
              </w:rPr>
              <w:t>1.根据《关于限制东江流域水污染项目建设进一步做好东江水质保护工作的通知》（粤府函〔2011〕339号）有关规定：</w:t>
            </w:r>
          </w:p>
          <w:p w14:paraId="5A6E47B0">
            <w:pPr>
              <w:ind w:firstLine="480"/>
              <w:rPr>
                <w:rFonts w:asciiTheme="majorBidi" w:hAnsiTheme="majorBidi" w:cstheme="majorBidi"/>
                <w:color w:val="000000" w:themeColor="text1"/>
                <w14:textFill>
                  <w14:solidFill>
                    <w14:schemeClr w14:val="tx1"/>
                  </w14:solidFill>
                </w14:textFill>
              </w:rPr>
            </w:pPr>
            <w:r>
              <w:rPr>
                <w:rFonts w:asciiTheme="majorBidi" w:hAnsiTheme="majorBidi" w:cstheme="majorBidi"/>
                <w:color w:val="000000" w:themeColor="text1"/>
                <w14:textFill>
                  <w14:solidFill>
                    <w14:schemeClr w14:val="tx1"/>
                  </w14:solidFill>
                </w14:textFill>
              </w:rPr>
              <w:t>（1）强化涉重金属污染项目管理：重金属污染防治重点区域禁止新（改、扩）建增加重金属污染排放的项目，禁止在重要生态功能区和因重金属污染导致环境质量不能稳定达标的区域建设涉重金属污染项目。东江流域内停止审批向河流排放汞、砷、镉、铬、铅等重金属污染物和持久性有机污染物的项目。铅蓄电池加工制造（含铅板制造、生产、组装）建设项目的环评文件由省环境保护厅审批。</w:t>
            </w:r>
          </w:p>
          <w:p w14:paraId="53C12465">
            <w:pPr>
              <w:ind w:firstLine="480"/>
              <w:rPr>
                <w:rFonts w:asciiTheme="majorBidi" w:hAnsiTheme="majorBidi" w:cstheme="majorBidi"/>
                <w:color w:val="000000" w:themeColor="text1"/>
                <w14:textFill>
                  <w14:solidFill>
                    <w14:schemeClr w14:val="tx1"/>
                  </w14:solidFill>
                </w14:textFill>
              </w:rPr>
            </w:pPr>
            <w:r>
              <w:rPr>
                <w:rFonts w:asciiTheme="majorBidi" w:hAnsiTheme="majorBidi" w:cstheme="majorBidi"/>
                <w:color w:val="000000" w:themeColor="text1"/>
                <w14:textFill>
                  <w14:solidFill>
                    <w14:schemeClr w14:val="tx1"/>
                  </w14:solidFill>
                </w14:textFill>
              </w:rPr>
              <w:t>（2）严格控制支流污染增量：在淡水河（含龙岗河、坪山河等支流）、石马河（含观澜河、潼湖水等支流）、紧水河、稿树下水、马嘶河（龙溪水）等支流和东江惠州博罗段东江、榕溪沥（罗阳）、廖洞、合竹洲、永平等5个直接排往东江的排水渠流域内，禁止建设制浆造纸、电镀（含配套电镀和线路板）、印染、制革、发酵酿造、规模化养殖和危险废物综合利用或处置等重污染项目，暂停审批电氧化、化工和含酸洗、磷化、表面处理工艺以及其他新增超标或超总量污染物的项目。上述流域内，在污水未纳入污水处理厂收集管网的城镇中心区域，不得审批洗车、餐饮、沐足桑拿等耗水性项目。</w:t>
            </w:r>
          </w:p>
          <w:p w14:paraId="2894EDC6">
            <w:pPr>
              <w:autoSpaceDE w:val="0"/>
              <w:autoSpaceDN w:val="0"/>
              <w:ind w:firstLine="482"/>
              <w:rPr>
                <w:rFonts w:asciiTheme="majorBidi" w:hAnsiTheme="majorBidi" w:eastAsiaTheme="minorEastAsia" w:cstheme="majorBidi"/>
                <w:b/>
                <w:bCs/>
                <w:color w:val="000000" w:themeColor="text1"/>
                <w:szCs w:val="21"/>
                <w14:textFill>
                  <w14:solidFill>
                    <w14:schemeClr w14:val="tx1"/>
                  </w14:solidFill>
                </w14:textFill>
              </w:rPr>
            </w:pPr>
            <w:r>
              <w:rPr>
                <w:rFonts w:hint="eastAsia" w:asciiTheme="majorBidi" w:hAnsiTheme="majorBidi" w:eastAsiaTheme="minorEastAsia" w:cstheme="majorBidi"/>
                <w:b/>
                <w:bCs/>
                <w:color w:val="000000" w:themeColor="text1"/>
                <w:szCs w:val="21"/>
                <w14:textFill>
                  <w14:solidFill>
                    <w14:schemeClr w14:val="tx1"/>
                  </w14:solidFill>
                </w14:textFill>
              </w:rPr>
              <w:t>（八）</w:t>
            </w:r>
            <w:r>
              <w:rPr>
                <w:rFonts w:asciiTheme="majorBidi" w:hAnsiTheme="majorBidi" w:eastAsiaTheme="minorEastAsia" w:cstheme="majorBidi"/>
                <w:b/>
                <w:bCs/>
                <w:color w:val="000000" w:themeColor="text1"/>
                <w:szCs w:val="21"/>
                <w14:textFill>
                  <w14:solidFill>
                    <w14:schemeClr w14:val="tx1"/>
                  </w14:solidFill>
                </w14:textFill>
              </w:rPr>
              <w:t>与《广东省人民政府关于严格限制东江流域水污染项目建设进一步做好东江水质保护工作的补充通知》（粤府函〔2013〕231号）的相符性分析</w:t>
            </w:r>
          </w:p>
          <w:p w14:paraId="339E2164">
            <w:pPr>
              <w:ind w:firstLine="480"/>
              <w:rPr>
                <w:rFonts w:asciiTheme="majorBidi" w:hAnsiTheme="majorBidi" w:cstheme="majorBidi"/>
                <w:color w:val="000000" w:themeColor="text1"/>
                <w14:textFill>
                  <w14:solidFill>
                    <w14:schemeClr w14:val="tx1"/>
                  </w14:solidFill>
                </w14:textFill>
              </w:rPr>
            </w:pPr>
            <w:r>
              <w:rPr>
                <w:rFonts w:asciiTheme="majorBidi" w:hAnsiTheme="majorBidi" w:cstheme="majorBidi"/>
                <w:color w:val="000000" w:themeColor="text1"/>
                <w14:textFill>
                  <w14:solidFill>
                    <w14:schemeClr w14:val="tx1"/>
                  </w14:solidFill>
                </w14:textFill>
              </w:rPr>
              <w:t>（1）增加东江一级支流沙河为流域严格控制污染项目建设的支流。</w:t>
            </w:r>
          </w:p>
          <w:p w14:paraId="5473C5FB">
            <w:pPr>
              <w:ind w:firstLine="480"/>
              <w:rPr>
                <w:rFonts w:asciiTheme="majorBidi" w:hAnsiTheme="majorBidi" w:cstheme="majorBidi"/>
                <w:color w:val="000000" w:themeColor="text1"/>
                <w14:textFill>
                  <w14:solidFill>
                    <w14:schemeClr w14:val="tx1"/>
                  </w14:solidFill>
                </w14:textFill>
              </w:rPr>
            </w:pPr>
            <w:r>
              <w:rPr>
                <w:rFonts w:asciiTheme="majorBidi" w:hAnsiTheme="majorBidi" w:cstheme="majorBidi"/>
                <w:color w:val="000000" w:themeColor="text1"/>
                <w14:textFill>
                  <w14:solidFill>
                    <w14:schemeClr w14:val="tx1"/>
                  </w14:solidFill>
                </w14:textFill>
              </w:rPr>
              <w:t>（2）符合下列条件之一的建设项目，不列入禁止建设和暂停审批范围：</w:t>
            </w:r>
          </w:p>
          <w:p w14:paraId="787F010D">
            <w:pPr>
              <w:ind w:firstLine="480"/>
              <w:rPr>
                <w:rFonts w:asciiTheme="majorBidi" w:hAnsiTheme="majorBidi" w:cstheme="majorBidi"/>
                <w:color w:val="000000" w:themeColor="text1"/>
                <w14:textFill>
                  <w14:solidFill>
                    <w14:schemeClr w14:val="tx1"/>
                  </w14:solidFill>
                </w14:textFill>
              </w:rPr>
            </w:pPr>
            <w:r>
              <w:rPr>
                <w:rFonts w:ascii="Cambria Math" w:hAnsi="Cambria Math" w:cs="Cambria Math"/>
                <w:color w:val="000000" w:themeColor="text1"/>
                <w14:textFill>
                  <w14:solidFill>
                    <w14:schemeClr w14:val="tx1"/>
                  </w14:solidFill>
                </w14:textFill>
              </w:rPr>
              <w:t>①</w:t>
            </w:r>
            <w:r>
              <w:rPr>
                <w:rFonts w:asciiTheme="majorBidi" w:hAnsiTheme="majorBidi" w:cstheme="majorBidi"/>
                <w:color w:val="000000" w:themeColor="text1"/>
                <w14:textFill>
                  <w14:solidFill>
                    <w14:schemeClr w14:val="tx1"/>
                  </w14:solidFill>
                </w14:textFill>
              </w:rPr>
              <w:t>建设地点位于东江流域，但不排放废水或废水不排入东江及其支流，不会对东江水质和水环境安全构成影响的项目；</w:t>
            </w:r>
          </w:p>
          <w:p w14:paraId="3B584BE1">
            <w:pPr>
              <w:ind w:firstLine="480"/>
              <w:rPr>
                <w:rFonts w:asciiTheme="majorBidi" w:hAnsiTheme="majorBidi" w:cstheme="majorBidi"/>
                <w:color w:val="000000" w:themeColor="text1"/>
                <w14:textFill>
                  <w14:solidFill>
                    <w14:schemeClr w14:val="tx1"/>
                  </w14:solidFill>
                </w14:textFill>
              </w:rPr>
            </w:pPr>
            <w:r>
              <w:rPr>
                <w:rFonts w:ascii="Cambria Math" w:hAnsi="Cambria Math" w:cs="Cambria Math"/>
                <w:color w:val="000000" w:themeColor="text1"/>
                <w14:textFill>
                  <w14:solidFill>
                    <w14:schemeClr w14:val="tx1"/>
                  </w14:solidFill>
                </w14:textFill>
              </w:rPr>
              <w:t>②</w:t>
            </w:r>
            <w:r>
              <w:rPr>
                <w:rFonts w:asciiTheme="majorBidi" w:hAnsiTheme="majorBidi" w:cstheme="majorBidi"/>
                <w:color w:val="000000" w:themeColor="text1"/>
                <w14:textFill>
                  <w14:solidFill>
                    <w14:schemeClr w14:val="tx1"/>
                  </w14:solidFill>
                </w14:textFill>
              </w:rPr>
              <w:t>通过提高清洁生产和污染防治水平，能够做到增产不增污、增产减污、技改减污的改（扩）建项目及同流域内迁建减污项目；</w:t>
            </w:r>
          </w:p>
          <w:p w14:paraId="4563CFD4">
            <w:pPr>
              <w:ind w:firstLine="480"/>
              <w:rPr>
                <w:rFonts w:asciiTheme="majorBidi" w:hAnsiTheme="majorBidi" w:cstheme="majorBidi"/>
                <w:color w:val="000000" w:themeColor="text1"/>
                <w14:textFill>
                  <w14:solidFill>
                    <w14:schemeClr w14:val="tx1"/>
                  </w14:solidFill>
                </w14:textFill>
              </w:rPr>
            </w:pPr>
            <w:r>
              <w:rPr>
                <w:rFonts w:ascii="Cambria Math" w:hAnsi="Cambria Math" w:cs="Cambria Math"/>
                <w:color w:val="000000" w:themeColor="text1"/>
                <w14:textFill>
                  <w14:solidFill>
                    <w14:schemeClr w14:val="tx1"/>
                  </w14:solidFill>
                </w14:textFill>
              </w:rPr>
              <w:t>③</w:t>
            </w:r>
            <w:r>
              <w:rPr>
                <w:rFonts w:asciiTheme="majorBidi" w:hAnsiTheme="majorBidi" w:cstheme="majorBidi"/>
                <w:color w:val="000000" w:themeColor="text1"/>
                <w14:textFill>
                  <w14:solidFill>
                    <w14:schemeClr w14:val="tx1"/>
                  </w14:solidFill>
                </w14:textFill>
              </w:rPr>
              <w:t>流域内拟迁入重污染行业统一规划、统一定点基地，且符合基地规划环评审查意见的建设项目。</w:t>
            </w:r>
          </w:p>
          <w:p w14:paraId="2128D0BC">
            <w:pPr>
              <w:ind w:firstLine="482"/>
              <w:rPr>
                <w:rFonts w:asciiTheme="majorBidi" w:hAnsiTheme="majorBidi" w:cstheme="majorBidi"/>
                <w:color w:val="000000" w:themeColor="text1"/>
                <w14:textFill>
                  <w14:solidFill>
                    <w14:schemeClr w14:val="tx1"/>
                  </w14:solidFill>
                </w14:textFill>
              </w:rPr>
            </w:pPr>
            <w:r>
              <w:rPr>
                <w:rFonts w:asciiTheme="majorBidi" w:hAnsiTheme="majorBidi" w:cstheme="majorBidi"/>
                <w:b/>
                <w:bCs/>
                <w:color w:val="000000" w:themeColor="text1"/>
                <w14:textFill>
                  <w14:solidFill>
                    <w14:schemeClr w14:val="tx1"/>
                  </w14:solidFill>
                </w14:textFill>
              </w:rPr>
              <w:t>相符性分析：</w:t>
            </w:r>
            <w:r>
              <w:rPr>
                <w:rFonts w:asciiTheme="majorBidi" w:hAnsiTheme="majorBidi" w:cstheme="majorBidi"/>
                <w:color w:val="000000" w:themeColor="text1"/>
                <w14:textFill>
                  <w14:solidFill>
                    <w14:schemeClr w14:val="tx1"/>
                  </w14:solidFill>
                </w14:textFill>
              </w:rPr>
              <w:t>项目不属于上述严格控制及禁止建设项目，项目水帘柜废液、喷枪清洗废液、喷淋塔废液收集后交由有危险废物处置资质的公司处理，员工生活污水经三级化粪池预处理后通过市政管网排入博罗县园洲镇第五生活污水处理厂处理，尾水排入园洲中心排渠，经沙河汇入东江。因此，项目符合《广东省人民政府关于严格限制东江流域水污染项目建设进一步做好东江水质保护工作的通知》（粤府函〔2011〕339号）及其补充通知（粤府函〔2013〕231号）的要求。</w:t>
            </w:r>
          </w:p>
          <w:p w14:paraId="35DC722C">
            <w:pPr>
              <w:autoSpaceDE w:val="0"/>
              <w:autoSpaceDN w:val="0"/>
              <w:ind w:firstLine="482"/>
              <w:rPr>
                <w:rFonts w:asciiTheme="majorBidi" w:hAnsiTheme="majorBidi" w:eastAsiaTheme="minorEastAsia" w:cstheme="majorBidi"/>
                <w:b/>
                <w:bCs/>
                <w:color w:val="000000" w:themeColor="text1"/>
                <w:szCs w:val="21"/>
                <w14:textFill>
                  <w14:solidFill>
                    <w14:schemeClr w14:val="tx1"/>
                  </w14:solidFill>
                </w14:textFill>
              </w:rPr>
            </w:pPr>
            <w:r>
              <w:rPr>
                <w:rFonts w:asciiTheme="majorBidi" w:hAnsiTheme="majorBidi" w:eastAsiaTheme="minorEastAsia" w:cstheme="majorBidi"/>
                <w:b/>
                <w:bCs/>
                <w:color w:val="000000" w:themeColor="text1"/>
                <w:szCs w:val="21"/>
                <w14:textFill>
                  <w14:solidFill>
                    <w14:schemeClr w14:val="tx1"/>
                  </w14:solidFill>
                </w14:textFill>
              </w:rPr>
              <w:t>（</w:t>
            </w:r>
            <w:r>
              <w:rPr>
                <w:rFonts w:hint="eastAsia" w:asciiTheme="majorBidi" w:hAnsiTheme="majorBidi" w:eastAsiaTheme="minorEastAsia" w:cstheme="majorBidi"/>
                <w:b/>
                <w:bCs/>
                <w:color w:val="000000" w:themeColor="text1"/>
                <w:szCs w:val="21"/>
                <w14:textFill>
                  <w14:solidFill>
                    <w14:schemeClr w14:val="tx1"/>
                  </w14:solidFill>
                </w14:textFill>
              </w:rPr>
              <w:t>九</w:t>
            </w:r>
            <w:r>
              <w:rPr>
                <w:rFonts w:asciiTheme="majorBidi" w:hAnsiTheme="majorBidi" w:eastAsiaTheme="minorEastAsia" w:cstheme="majorBidi"/>
                <w:b/>
                <w:bCs/>
                <w:color w:val="000000" w:themeColor="text1"/>
                <w:szCs w:val="21"/>
                <w14:textFill>
                  <w14:solidFill>
                    <w14:schemeClr w14:val="tx1"/>
                  </w14:solidFill>
                </w14:textFill>
              </w:rPr>
              <w:t>）与《广东省水污染防治条例》（2021年1月1日实施，2021年9月29日修正）的相符性分析。</w:t>
            </w:r>
          </w:p>
          <w:p w14:paraId="6514CC76">
            <w:pPr>
              <w:ind w:firstLine="480"/>
              <w:rPr>
                <w:rFonts w:asciiTheme="majorBidi" w:hAnsiTheme="majorBidi" w:eastAsiaTheme="minorEastAsia" w:cstheme="majorBidi"/>
                <w:color w:val="000000" w:themeColor="text1"/>
                <w:kern w:val="2"/>
                <w14:textFill>
                  <w14:solidFill>
                    <w14:schemeClr w14:val="tx1"/>
                  </w14:solidFill>
                </w14:textFill>
              </w:rPr>
            </w:pPr>
            <w:r>
              <w:rPr>
                <w:rFonts w:asciiTheme="majorBidi" w:hAnsiTheme="majorBidi" w:eastAsiaTheme="minorEastAsia" w:cstheme="majorBidi"/>
                <w:color w:val="000000" w:themeColor="text1"/>
                <w:kern w:val="2"/>
                <w14:textFill>
                  <w14:solidFill>
                    <w14:schemeClr w14:val="tx1"/>
                  </w14:solidFill>
                </w14:textFill>
              </w:rPr>
              <w:t>第十七条：新建、改建、扩建直接或者间接向水体排放污染物的建设项目和其他水上设施，应当符合生态环境准入清单要求，并依法进行环境影响评价。</w:t>
            </w:r>
          </w:p>
          <w:p w14:paraId="69F4B9D5">
            <w:pPr>
              <w:ind w:firstLine="480"/>
              <w:rPr>
                <w:rFonts w:asciiTheme="majorBidi" w:hAnsiTheme="majorBidi" w:eastAsiaTheme="minorEastAsia" w:cstheme="majorBidi"/>
                <w:color w:val="000000" w:themeColor="text1"/>
                <w:kern w:val="2"/>
                <w14:textFill>
                  <w14:solidFill>
                    <w14:schemeClr w14:val="tx1"/>
                  </w14:solidFill>
                </w14:textFill>
              </w:rPr>
            </w:pPr>
            <w:r>
              <w:rPr>
                <w:rFonts w:asciiTheme="majorBidi" w:hAnsiTheme="majorBidi" w:eastAsiaTheme="minorEastAsia" w:cstheme="majorBidi"/>
                <w:color w:val="000000" w:themeColor="text1"/>
                <w:kern w:val="2"/>
                <w14:textFill>
                  <w14:solidFill>
                    <w14:schemeClr w14:val="tx1"/>
                  </w14:solidFill>
                </w14:textFill>
              </w:rPr>
              <w:t>第二十二条：排污单位应当按照经批准或者备案的环境影响评价文件要求建设水污染防治设施。水污染防治设施应当与主体工程同时设计、同时施工、同时投入使用。</w:t>
            </w:r>
          </w:p>
          <w:p w14:paraId="6C8A20F4">
            <w:pPr>
              <w:ind w:firstLine="480"/>
              <w:rPr>
                <w:rFonts w:asciiTheme="majorBidi" w:hAnsiTheme="majorBidi" w:eastAsiaTheme="minorEastAsia" w:cstheme="majorBidi"/>
                <w:color w:val="000000" w:themeColor="text1"/>
                <w:kern w:val="2"/>
                <w14:textFill>
                  <w14:solidFill>
                    <w14:schemeClr w14:val="tx1"/>
                  </w14:solidFill>
                </w14:textFill>
              </w:rPr>
            </w:pPr>
            <w:r>
              <w:rPr>
                <w:rFonts w:asciiTheme="majorBidi" w:hAnsiTheme="majorBidi" w:eastAsiaTheme="minorEastAsia" w:cstheme="majorBidi"/>
                <w:color w:val="000000" w:themeColor="text1"/>
                <w:kern w:val="2"/>
                <w14:textFill>
                  <w14:solidFill>
                    <w14:schemeClr w14:val="tx1"/>
                  </w14:solidFill>
                </w14:textFill>
              </w:rPr>
              <w:t>第二十八条：排放工业废水的企业应当采取有效措施，收集和处理产生的全部生产废水，防止污染水环境。未依法领取污水排入排水管网许可证的，不得直接向生活污水管网与处理系统排放工业废水。含有毒有害水污染物的工业废水应当分类收集和处理，不得稀释排放。</w:t>
            </w:r>
          </w:p>
          <w:p w14:paraId="67E13463">
            <w:pPr>
              <w:ind w:firstLine="480"/>
              <w:rPr>
                <w:rFonts w:asciiTheme="majorBidi" w:hAnsiTheme="majorBidi" w:eastAsiaTheme="minorEastAsia" w:cstheme="majorBidi"/>
                <w:color w:val="000000" w:themeColor="text1"/>
                <w:kern w:val="2"/>
                <w14:textFill>
                  <w14:solidFill>
                    <w14:schemeClr w14:val="tx1"/>
                  </w14:solidFill>
                </w14:textFill>
              </w:rPr>
            </w:pPr>
            <w:r>
              <w:rPr>
                <w:rFonts w:asciiTheme="majorBidi" w:hAnsiTheme="majorBidi" w:eastAsiaTheme="minorEastAsia" w:cstheme="majorBidi"/>
                <w:color w:val="000000" w:themeColor="text1"/>
                <w:kern w:val="2"/>
                <w14:textFill>
                  <w14:solidFill>
                    <w14:schemeClr w14:val="tx1"/>
                  </w14:solidFill>
                </w14:textFill>
              </w:rPr>
              <w:t>第四十三条：在饮用水水源保护区内禁止下列行为：（一）设置排污口；</w:t>
            </w:r>
          </w:p>
          <w:p w14:paraId="45A3B765">
            <w:pPr>
              <w:ind w:firstLine="480"/>
              <w:rPr>
                <w:rFonts w:asciiTheme="majorBidi" w:hAnsiTheme="majorBidi" w:eastAsiaTheme="minorEastAsia" w:cstheme="majorBidi"/>
                <w:color w:val="000000" w:themeColor="text1"/>
                <w:kern w:val="2"/>
                <w14:textFill>
                  <w14:solidFill>
                    <w14:schemeClr w14:val="tx1"/>
                  </w14:solidFill>
                </w14:textFill>
              </w:rPr>
            </w:pPr>
            <w:r>
              <w:rPr>
                <w:rFonts w:asciiTheme="majorBidi" w:hAnsiTheme="majorBidi" w:eastAsiaTheme="minorEastAsia" w:cstheme="majorBidi"/>
                <w:color w:val="000000" w:themeColor="text1"/>
                <w:kern w:val="2"/>
                <w14:textFill>
                  <w14:solidFill>
                    <w14:schemeClr w14:val="tx1"/>
                  </w14:solidFill>
                </w14:textFill>
              </w:rPr>
              <w:t>第四十四条：禁止在饮用水水源一级保护区内新建、改建、扩建与供水设施和保护水源无关的建设项目；已建成的与供水设施和保护水源无关的建设项目由县级以上人民政府责令拆除或者关闭。</w:t>
            </w:r>
          </w:p>
          <w:p w14:paraId="34BF7A14">
            <w:pPr>
              <w:ind w:firstLine="480"/>
              <w:rPr>
                <w:rFonts w:asciiTheme="majorBidi" w:hAnsiTheme="majorBidi" w:eastAsiaTheme="minorEastAsia" w:cstheme="majorBidi"/>
                <w:color w:val="000000" w:themeColor="text1"/>
                <w:kern w:val="2"/>
                <w14:textFill>
                  <w14:solidFill>
                    <w14:schemeClr w14:val="tx1"/>
                  </w14:solidFill>
                </w14:textFill>
              </w:rPr>
            </w:pPr>
            <w:r>
              <w:rPr>
                <w:rFonts w:asciiTheme="majorBidi" w:hAnsiTheme="majorBidi" w:eastAsiaTheme="minorEastAsia" w:cstheme="majorBidi"/>
                <w:color w:val="000000" w:themeColor="text1"/>
                <w:kern w:val="2"/>
                <w14:textFill>
                  <w14:solidFill>
                    <w14:schemeClr w14:val="tx1"/>
                  </w14:solidFill>
                </w14:textFill>
              </w:rPr>
              <w:t>禁止在饮用水水源二级保护区内新建、改建、扩建排放污染物的建设项目。</w:t>
            </w:r>
          </w:p>
          <w:p w14:paraId="30BB29AF">
            <w:pPr>
              <w:ind w:firstLine="480"/>
              <w:rPr>
                <w:rFonts w:asciiTheme="majorBidi" w:hAnsiTheme="majorBidi" w:eastAsiaTheme="minorEastAsia" w:cstheme="majorBidi"/>
                <w:color w:val="000000" w:themeColor="text1"/>
                <w:kern w:val="2"/>
                <w14:textFill>
                  <w14:solidFill>
                    <w14:schemeClr w14:val="tx1"/>
                  </w14:solidFill>
                </w14:textFill>
              </w:rPr>
            </w:pPr>
            <w:r>
              <w:rPr>
                <w:rFonts w:asciiTheme="majorBidi" w:hAnsiTheme="majorBidi" w:eastAsiaTheme="minorEastAsia" w:cstheme="majorBidi"/>
                <w:color w:val="000000" w:themeColor="text1"/>
                <w:kern w:val="2"/>
                <w14:textFill>
                  <w14:solidFill>
                    <w14:schemeClr w14:val="tx1"/>
                  </w14:solidFill>
                </w14:textFill>
              </w:rPr>
              <w:t>第五十条：新建、改建、扩建的项目应当符合国家产业政策规定。在东江流域内，除国家产业政策规定的禁止项目外，还禁止新建农药、铬盐、钛白粉生产项目，禁止新建稀土分离、炼砒、炼铍、纸浆制造、氰化法提炼产品、开采和冶炼放射性矿产及其他严重污染水环境的项目；严格控制新建造纸、制革、味精、电镀、漂染、印染、炼油、发酵酿造、非放射性矿产冶炼以及使用含汞、砷、镉、铬、铅为原料的项目。禁止在东江水系岸边和水上拆船。</w:t>
            </w:r>
          </w:p>
          <w:p w14:paraId="173ADEF1">
            <w:pPr>
              <w:ind w:firstLine="482"/>
              <w:rPr>
                <w:rFonts w:asciiTheme="majorBidi" w:hAnsiTheme="majorBidi" w:eastAsiaTheme="minorEastAsia" w:cstheme="majorBidi"/>
                <w:color w:val="000000" w:themeColor="text1"/>
                <w:kern w:val="2"/>
                <w14:textFill>
                  <w14:solidFill>
                    <w14:schemeClr w14:val="tx1"/>
                  </w14:solidFill>
                </w14:textFill>
              </w:rPr>
            </w:pPr>
            <w:r>
              <w:rPr>
                <w:rFonts w:asciiTheme="majorBidi" w:hAnsiTheme="majorBidi" w:eastAsiaTheme="minorEastAsia" w:cstheme="majorBidi"/>
                <w:b/>
                <w:bCs/>
                <w:color w:val="000000" w:themeColor="text1"/>
                <w:kern w:val="2"/>
                <w:szCs w:val="32"/>
                <w14:textFill>
                  <w14:solidFill>
                    <w14:schemeClr w14:val="tx1"/>
                  </w14:solidFill>
                </w14:textFill>
              </w:rPr>
              <w:t>相符性分析：</w:t>
            </w:r>
            <w:r>
              <w:rPr>
                <w:rFonts w:asciiTheme="majorBidi" w:hAnsiTheme="majorBidi" w:eastAsiaTheme="minorEastAsia" w:cstheme="majorBidi"/>
                <w:color w:val="000000" w:themeColor="text1"/>
                <w:kern w:val="2"/>
                <w:szCs w:val="32"/>
                <w14:textFill>
                  <w14:solidFill>
                    <w14:schemeClr w14:val="tx1"/>
                  </w14:solidFill>
                </w14:textFill>
              </w:rPr>
              <w:t>根据《国民经济行业分类》（GB/T4754-2017），项目属于</w:t>
            </w:r>
            <w:r>
              <w:rPr>
                <w:rFonts w:asciiTheme="majorBidi" w:hAnsiTheme="majorBidi" w:eastAsiaTheme="minorEastAsia" w:cstheme="majorBidi"/>
                <w:color w:val="000000" w:themeColor="text1"/>
                <w:szCs w:val="21"/>
                <w14:textFill>
                  <w14:solidFill>
                    <w14:schemeClr w14:val="tx1"/>
                  </w14:solidFill>
                </w14:textFill>
              </w:rPr>
              <w:t>C2929塑料零件及其他塑料制品制造</w:t>
            </w:r>
            <w:r>
              <w:rPr>
                <w:rFonts w:asciiTheme="majorBidi" w:hAnsiTheme="majorBidi" w:eastAsiaTheme="minorEastAsia" w:cstheme="majorBidi"/>
                <w:color w:val="000000" w:themeColor="text1"/>
                <w:kern w:val="2"/>
                <w:szCs w:val="32"/>
                <w14:textFill>
                  <w14:solidFill>
                    <w14:schemeClr w14:val="tx1"/>
                  </w14:solidFill>
                </w14:textFill>
              </w:rPr>
              <w:t>，不属于上述禁止和严格控制建设项目的范畴</w:t>
            </w:r>
            <w:r>
              <w:rPr>
                <w:rFonts w:asciiTheme="majorBidi" w:hAnsiTheme="majorBidi" w:eastAsiaTheme="minorEastAsia" w:cstheme="majorBidi"/>
                <w:color w:val="000000" w:themeColor="text1"/>
                <w:kern w:val="2"/>
                <w14:textFill>
                  <w14:solidFill>
                    <w14:schemeClr w14:val="tx1"/>
                  </w14:solidFill>
                </w14:textFill>
              </w:rPr>
              <w:t>。</w:t>
            </w:r>
            <w:r>
              <w:rPr>
                <w:rFonts w:asciiTheme="majorBidi" w:hAnsiTheme="majorBidi" w:eastAsiaTheme="minorEastAsia" w:cstheme="majorBidi"/>
                <w:color w:val="000000" w:themeColor="text1"/>
                <w:kern w:val="2"/>
                <w:szCs w:val="32"/>
                <w14:textFill>
                  <w14:solidFill>
                    <w14:schemeClr w14:val="tx1"/>
                  </w14:solidFill>
                </w14:textFill>
              </w:rPr>
              <w:t>项目不属于饮用水水源保护区，无外排工业废水。项目水帘柜废液、喷枪清洗废液、喷淋塔废液收集后交由有危险废物处置资质的公司处理，员工生活污水</w:t>
            </w:r>
            <w:r>
              <w:rPr>
                <w:rFonts w:asciiTheme="majorBidi" w:hAnsiTheme="majorBidi" w:eastAsiaTheme="minorEastAsia" w:cstheme="majorBidi"/>
                <w:color w:val="000000" w:themeColor="text1"/>
                <w:kern w:val="2"/>
                <w14:textFill>
                  <w14:solidFill>
                    <w14:schemeClr w14:val="tx1"/>
                  </w14:solidFill>
                </w14:textFill>
              </w:rPr>
              <w:t>经三级化粪池预处理后通过市政管网排入博罗县园洲镇第五生活污水处理厂处理，尾水排入园洲中心排渠，经沙河汇入东江，符合文件要求。</w:t>
            </w:r>
          </w:p>
          <w:p w14:paraId="48877826">
            <w:pPr>
              <w:autoSpaceDE w:val="0"/>
              <w:autoSpaceDN w:val="0"/>
              <w:ind w:firstLine="482"/>
              <w:rPr>
                <w:rFonts w:asciiTheme="majorBidi" w:hAnsiTheme="majorBidi" w:eastAsiaTheme="minorEastAsia" w:cstheme="majorBidi"/>
                <w:b/>
                <w:bCs/>
                <w:color w:val="000000" w:themeColor="text1"/>
                <w:szCs w:val="21"/>
                <w14:textFill>
                  <w14:solidFill>
                    <w14:schemeClr w14:val="tx1"/>
                  </w14:solidFill>
                </w14:textFill>
              </w:rPr>
            </w:pPr>
            <w:r>
              <w:rPr>
                <w:rFonts w:asciiTheme="majorBidi" w:hAnsiTheme="majorBidi" w:eastAsiaTheme="minorEastAsia" w:cstheme="majorBidi"/>
                <w:b/>
                <w:bCs/>
                <w:color w:val="000000" w:themeColor="text1"/>
                <w:szCs w:val="21"/>
                <w14:textFill>
                  <w14:solidFill>
                    <w14:schemeClr w14:val="tx1"/>
                  </w14:solidFill>
                </w14:textFill>
              </w:rPr>
              <w:t>（</w:t>
            </w:r>
            <w:r>
              <w:rPr>
                <w:rFonts w:hint="eastAsia" w:asciiTheme="majorBidi" w:hAnsiTheme="majorBidi" w:eastAsiaTheme="minorEastAsia" w:cstheme="majorBidi"/>
                <w:b/>
                <w:bCs/>
                <w:color w:val="000000" w:themeColor="text1"/>
                <w:szCs w:val="21"/>
                <w14:textFill>
                  <w14:solidFill>
                    <w14:schemeClr w14:val="tx1"/>
                  </w14:solidFill>
                </w14:textFill>
              </w:rPr>
              <w:t>十</w:t>
            </w:r>
            <w:r>
              <w:rPr>
                <w:rFonts w:asciiTheme="majorBidi" w:hAnsiTheme="majorBidi" w:eastAsiaTheme="minorEastAsia" w:cstheme="majorBidi"/>
                <w:b/>
                <w:bCs/>
                <w:color w:val="000000" w:themeColor="text1"/>
                <w:szCs w:val="21"/>
                <w14:textFill>
                  <w14:solidFill>
                    <w14:schemeClr w14:val="tx1"/>
                  </w14:solidFill>
                </w14:textFill>
              </w:rPr>
              <w:t>）与《关于印发&lt;重点行业挥发性有机物综合治理方案&gt;的通知》（环大气〔2019〕53号）的相符性分析</w:t>
            </w:r>
          </w:p>
          <w:p w14:paraId="10193747">
            <w:pPr>
              <w:ind w:firstLine="480"/>
              <w:rPr>
                <w:rFonts w:asciiTheme="majorBidi" w:hAnsiTheme="majorBidi" w:cstheme="majorBidi"/>
                <w:color w:val="000000" w:themeColor="text1"/>
                <w14:textFill>
                  <w14:solidFill>
                    <w14:schemeClr w14:val="tx1"/>
                  </w14:solidFill>
                </w14:textFill>
              </w:rPr>
            </w:pPr>
            <w:r>
              <w:rPr>
                <w:rFonts w:asciiTheme="majorBidi" w:hAnsiTheme="majorBidi" w:cstheme="majorBidi"/>
                <w:color w:val="000000" w:themeColor="text1"/>
                <w14:textFill>
                  <w14:solidFill>
                    <w14:schemeClr w14:val="tx1"/>
                  </w14:solidFill>
                </w14:textFill>
              </w:rPr>
              <w:t>积极推广使用低VOCs含量或低反应活性的原辅材料，加快工艺改进和产品升级。制药、农药行业推广使用非卤代烃和非芳香烃类溶剂，鼓励生产水基化类农药制剂。橡胶制品行业推广使用新型偶联剂、粘合剂，使用石蜡油等替代普通芳烃油、煤焦油等助剂。优化生产工艺，农药行业推广水相法、生物酶法合成等技术；制药行业推广生物酶法合成技术；橡胶制品行业推广采用串联法混炼、常压连续脱硫工艺。</w:t>
            </w:r>
          </w:p>
          <w:p w14:paraId="326A60BB">
            <w:pPr>
              <w:ind w:firstLine="480"/>
              <w:rPr>
                <w:rFonts w:asciiTheme="majorBidi" w:hAnsiTheme="majorBidi" w:cstheme="majorBidi"/>
                <w:color w:val="000000" w:themeColor="text1"/>
                <w14:textFill>
                  <w14:solidFill>
                    <w14:schemeClr w14:val="tx1"/>
                  </w14:solidFill>
                </w14:textFill>
              </w:rPr>
            </w:pPr>
            <w:r>
              <w:rPr>
                <w:rFonts w:asciiTheme="majorBidi" w:hAnsiTheme="majorBidi" w:cstheme="majorBidi"/>
                <w:color w:val="000000" w:themeColor="text1"/>
                <w14:textFill>
                  <w14:solidFill>
                    <w14:schemeClr w14:val="tx1"/>
                  </w14:solidFill>
                </w14:textFill>
              </w:rPr>
              <w:t>加快生产设备密闭化改造。对进出料、物料输送、搅拌、固液分离、干燥、灌装等过程，采取密闭化措施，提升工艺装备水平。加快淘汰敞口式、明流式设施。重点区域含VOCs物料输送原则上采用重力流或泵送方式，逐步淘汰真空方式；有机液体进料鼓励采用底部、浸入管给料方式，淘汰喷溅式给料；固体物料投加逐步推进采用密闭式投料装置。</w:t>
            </w:r>
          </w:p>
          <w:p w14:paraId="360DB9C7">
            <w:pPr>
              <w:ind w:firstLine="480"/>
              <w:rPr>
                <w:rFonts w:asciiTheme="majorBidi" w:hAnsiTheme="majorBidi" w:cstheme="majorBidi"/>
                <w:color w:val="000000" w:themeColor="text1"/>
                <w14:textFill>
                  <w14:solidFill>
                    <w14:schemeClr w14:val="tx1"/>
                  </w14:solidFill>
                </w14:textFill>
              </w:rPr>
            </w:pPr>
            <w:r>
              <w:rPr>
                <w:rFonts w:asciiTheme="majorBidi" w:hAnsiTheme="majorBidi" w:cstheme="majorBidi"/>
                <w:color w:val="000000" w:themeColor="text1"/>
                <w14:textFill>
                  <w14:solidFill>
                    <w14:schemeClr w14:val="tx1"/>
                  </w14:solidFill>
                </w14:textFill>
              </w:rPr>
              <w:t>严格控制储存和装卸过程VOCs排放。鼓励采用压力罐、浮顶罐等替代固定顶罐。真实蒸气压大于等于27.6kPa（重点区域大于等于5.2kPa）的有机液体，利用固定顶罐储存的，应按有关规定采用气相平衡系统或收集净化处理。</w:t>
            </w:r>
          </w:p>
          <w:p w14:paraId="479CEAF3">
            <w:pPr>
              <w:ind w:firstLine="482"/>
              <w:rPr>
                <w:rFonts w:asciiTheme="majorBidi" w:hAnsiTheme="majorBidi" w:eastAsiaTheme="minorEastAsia" w:cstheme="majorBidi"/>
                <w:bCs/>
                <w:color w:val="000000" w:themeColor="text1"/>
                <w:kern w:val="2"/>
                <w14:textFill>
                  <w14:solidFill>
                    <w14:schemeClr w14:val="tx1"/>
                  </w14:solidFill>
                </w14:textFill>
              </w:rPr>
            </w:pPr>
            <w:r>
              <w:rPr>
                <w:rFonts w:asciiTheme="majorBidi" w:hAnsiTheme="majorBidi" w:eastAsiaTheme="minorEastAsia" w:cstheme="majorBidi"/>
                <w:b/>
                <w:color w:val="000000" w:themeColor="text1"/>
                <w:kern w:val="2"/>
                <w14:textFill>
                  <w14:solidFill>
                    <w14:schemeClr w14:val="tx1"/>
                  </w14:solidFill>
                </w14:textFill>
              </w:rPr>
              <w:t>相符性分析：</w:t>
            </w:r>
            <w:r>
              <w:rPr>
                <w:rFonts w:asciiTheme="majorBidi" w:hAnsiTheme="majorBidi" w:eastAsiaTheme="minorEastAsia" w:cstheme="majorBidi"/>
                <w:bCs/>
                <w:color w:val="000000" w:themeColor="text1"/>
                <w:kern w:val="2"/>
                <w14:textFill>
                  <w14:solidFill>
                    <w14:schemeClr w14:val="tx1"/>
                  </w14:solidFill>
                </w14:textFill>
              </w:rPr>
              <w:t>项目属于C2929塑料零件及其他塑料制品制造，使用的含VOCs原材料为水性油漆、水性油墨及PS、ABS塑胶粒。根据建设单位提供的水性面漆的</w:t>
            </w:r>
            <w:r>
              <w:rPr>
                <w:rFonts w:asciiTheme="majorBidi" w:hAnsiTheme="majorBidi" w:eastAsiaTheme="minorEastAsia" w:cstheme="majorBidi"/>
                <w:bCs/>
                <w:color w:val="EE0000"/>
                <w:kern w:val="2"/>
              </w:rPr>
              <w:t>VOCs检测报告</w:t>
            </w:r>
            <w:r>
              <w:rPr>
                <w:rFonts w:asciiTheme="majorBidi" w:hAnsiTheme="majorBidi" w:eastAsiaTheme="minorEastAsia" w:cstheme="majorBidi"/>
                <w:bCs/>
                <w:color w:val="000000" w:themeColor="text1"/>
                <w:kern w:val="2"/>
                <w14:textFill>
                  <w14:solidFill>
                    <w14:schemeClr w14:val="tx1"/>
                  </w14:solidFill>
                </w14:textFill>
              </w:rPr>
              <w:t>（</w:t>
            </w:r>
            <w:r>
              <w:rPr>
                <w:rFonts w:asciiTheme="majorBidi" w:hAnsiTheme="majorBidi" w:eastAsiaTheme="minorEastAsia" w:cstheme="majorBidi"/>
                <w:bCs/>
                <w:color w:val="EE0000"/>
                <w:kern w:val="2"/>
              </w:rPr>
              <w:t>附件8</w:t>
            </w:r>
            <w:r>
              <w:rPr>
                <w:rFonts w:asciiTheme="majorBidi" w:hAnsiTheme="majorBidi" w:eastAsiaTheme="minorEastAsia" w:cstheme="majorBidi"/>
                <w:bCs/>
                <w:color w:val="000000" w:themeColor="text1"/>
                <w:kern w:val="2"/>
                <w14:textFill>
                  <w14:solidFill>
                    <w14:schemeClr w14:val="tx1"/>
                  </w14:solidFill>
                </w14:textFill>
              </w:rPr>
              <w:t>），水性面漆中挥发性物质含量为</w:t>
            </w:r>
            <w:r>
              <w:rPr>
                <w:rFonts w:hint="eastAsia" w:asciiTheme="majorBidi" w:hAnsiTheme="majorBidi" w:eastAsiaTheme="minorEastAsia" w:cstheme="majorBidi"/>
                <w:bCs/>
                <w:color w:val="EE0000"/>
                <w:kern w:val="2"/>
              </w:rPr>
              <w:t>118g/L</w:t>
            </w:r>
            <w:r>
              <w:rPr>
                <w:rFonts w:asciiTheme="majorBidi" w:hAnsiTheme="majorBidi" w:eastAsiaTheme="minorEastAsia" w:cstheme="majorBidi"/>
                <w:bCs/>
                <w:color w:val="000000" w:themeColor="text1"/>
                <w:kern w:val="2"/>
                <w14:textFill>
                  <w14:solidFill>
                    <w14:schemeClr w14:val="tx1"/>
                  </w14:solidFill>
                </w14:textFill>
              </w:rPr>
              <w:t>，符合《低挥发性有机化合物含量涂料产品技术要求》（GB/T 38597-2020）表1水性涂料中VOC含量中工业防护涂料-包装涂料-面漆≤270g/L要求；根据建设单位提供的水性油墨</w:t>
            </w:r>
            <w:r>
              <w:rPr>
                <w:rFonts w:asciiTheme="majorBidi" w:hAnsiTheme="majorBidi" w:eastAsiaTheme="minorEastAsia" w:cstheme="majorBidi"/>
                <w:bCs/>
                <w:color w:val="EE0000"/>
                <w:kern w:val="2"/>
              </w:rPr>
              <w:t>VOCs检测报告</w:t>
            </w:r>
            <w:r>
              <w:rPr>
                <w:rFonts w:asciiTheme="majorBidi" w:hAnsiTheme="majorBidi" w:eastAsiaTheme="minorEastAsia" w:cstheme="majorBidi"/>
                <w:bCs/>
                <w:color w:val="000000" w:themeColor="text1"/>
                <w:kern w:val="2"/>
                <w14:textFill>
                  <w14:solidFill>
                    <w14:schemeClr w14:val="tx1"/>
                  </w14:solidFill>
                </w14:textFill>
              </w:rPr>
              <w:t>（</w:t>
            </w:r>
            <w:r>
              <w:rPr>
                <w:rFonts w:asciiTheme="majorBidi" w:hAnsiTheme="majorBidi" w:eastAsiaTheme="minorEastAsia" w:cstheme="majorBidi"/>
                <w:bCs/>
                <w:color w:val="EE0000"/>
                <w:kern w:val="2"/>
              </w:rPr>
              <w:t>附件10</w:t>
            </w:r>
            <w:r>
              <w:rPr>
                <w:rFonts w:asciiTheme="majorBidi" w:hAnsiTheme="majorBidi" w:eastAsiaTheme="minorEastAsia" w:cstheme="majorBidi"/>
                <w:bCs/>
                <w:color w:val="000000" w:themeColor="text1"/>
                <w:kern w:val="2"/>
                <w14:textFill>
                  <w14:solidFill>
                    <w14:schemeClr w14:val="tx1"/>
                  </w14:solidFill>
                </w14:textFill>
              </w:rPr>
              <w:t>），水性油墨中挥发性物质含量为</w:t>
            </w:r>
            <w:r>
              <w:rPr>
                <w:rFonts w:hint="eastAsia" w:asciiTheme="majorBidi" w:hAnsiTheme="majorBidi" w:eastAsiaTheme="minorEastAsia" w:cstheme="majorBidi"/>
                <w:bCs/>
                <w:color w:val="EE0000"/>
                <w:kern w:val="2"/>
              </w:rPr>
              <w:t>1.6</w:t>
            </w:r>
            <w:r>
              <w:rPr>
                <w:rFonts w:asciiTheme="majorBidi" w:hAnsiTheme="majorBidi" w:eastAsiaTheme="minorEastAsia" w:cstheme="majorBidi"/>
                <w:bCs/>
                <w:color w:val="000000" w:themeColor="text1"/>
                <w:kern w:val="2"/>
                <w14:textFill>
                  <w14:solidFill>
                    <w14:schemeClr w14:val="tx1"/>
                  </w14:solidFill>
                </w14:textFill>
              </w:rPr>
              <w:t>%，满足《油墨中可挥发性有机化合物(VOCs)含量的限值》(GB310807-2020)表1水性油墨中网印油墨挥发性有机化合物(VOCs)限值要求(&lt;30%)，为低VOCs含量材料；项目含VOCs物料密闭桶装储存在仓库内，使用时密闭转移，项目生产过程中产生的有机废气收集后引至废气处理设施，处理达标后排放，符合文件要求。</w:t>
            </w:r>
          </w:p>
          <w:p w14:paraId="69EE3614">
            <w:pPr>
              <w:autoSpaceDE w:val="0"/>
              <w:autoSpaceDN w:val="0"/>
              <w:ind w:firstLine="482"/>
              <w:rPr>
                <w:rFonts w:asciiTheme="majorBidi" w:hAnsiTheme="majorBidi" w:eastAsiaTheme="minorEastAsia" w:cstheme="majorBidi"/>
                <w:b/>
                <w:bCs/>
                <w:color w:val="000000" w:themeColor="text1"/>
                <w:szCs w:val="21"/>
                <w14:textFill>
                  <w14:solidFill>
                    <w14:schemeClr w14:val="tx1"/>
                  </w14:solidFill>
                </w14:textFill>
              </w:rPr>
            </w:pPr>
            <w:r>
              <w:rPr>
                <w:rFonts w:asciiTheme="majorBidi" w:hAnsiTheme="majorBidi" w:eastAsiaTheme="minorEastAsia" w:cstheme="majorBidi"/>
                <w:b/>
                <w:bCs/>
                <w:color w:val="000000" w:themeColor="text1"/>
                <w:szCs w:val="21"/>
                <w14:textFill>
                  <w14:solidFill>
                    <w14:schemeClr w14:val="tx1"/>
                  </w14:solidFill>
                </w14:textFill>
              </w:rPr>
              <w:t>（十</w:t>
            </w:r>
            <w:r>
              <w:rPr>
                <w:rFonts w:hint="eastAsia" w:asciiTheme="majorBidi" w:hAnsiTheme="majorBidi" w:eastAsiaTheme="minorEastAsia" w:cstheme="majorBidi"/>
                <w:b/>
                <w:bCs/>
                <w:color w:val="000000" w:themeColor="text1"/>
                <w:szCs w:val="21"/>
                <w14:textFill>
                  <w14:solidFill>
                    <w14:schemeClr w14:val="tx1"/>
                  </w14:solidFill>
                </w14:textFill>
              </w:rPr>
              <w:t>一</w:t>
            </w:r>
            <w:r>
              <w:rPr>
                <w:rFonts w:asciiTheme="majorBidi" w:hAnsiTheme="majorBidi" w:eastAsiaTheme="minorEastAsia" w:cstheme="majorBidi"/>
                <w:b/>
                <w:bCs/>
                <w:color w:val="000000" w:themeColor="text1"/>
                <w:szCs w:val="21"/>
                <w14:textFill>
                  <w14:solidFill>
                    <w14:schemeClr w14:val="tx1"/>
                  </w14:solidFill>
                </w14:textFill>
              </w:rPr>
              <w:t>）与《关于印发＜广东省涉VOCs重点行业治理指引＞的通知》（粤环办〔2021〕43号）的相符性分析</w:t>
            </w:r>
          </w:p>
          <w:p w14:paraId="729D9A3E">
            <w:pPr>
              <w:ind w:firstLine="480"/>
              <w:rPr>
                <w:rFonts w:asciiTheme="majorBidi" w:hAnsiTheme="majorBidi" w:cstheme="majorBidi"/>
                <w:color w:val="000000" w:themeColor="text1"/>
                <w14:textFill>
                  <w14:solidFill>
                    <w14:schemeClr w14:val="tx1"/>
                  </w14:solidFill>
                </w14:textFill>
              </w:rPr>
            </w:pPr>
            <w:r>
              <w:rPr>
                <w:rFonts w:asciiTheme="majorBidi" w:hAnsiTheme="majorBidi" w:cstheme="majorBidi"/>
                <w:color w:val="000000" w:themeColor="text1"/>
                <w:szCs w:val="32"/>
                <w14:textFill>
                  <w14:solidFill>
                    <w14:schemeClr w14:val="tx1"/>
                  </w14:solidFill>
                </w14:textFill>
              </w:rPr>
              <w:t>项目生产主要原料为PS、ABS塑胶粒，生产过程中涉及注塑、喷漆</w:t>
            </w:r>
            <w:r>
              <w:rPr>
                <w:rFonts w:hint="eastAsia" w:asciiTheme="majorBidi" w:hAnsiTheme="majorBidi" w:cstheme="majorBidi"/>
                <w:color w:val="0000FF"/>
                <w:szCs w:val="32"/>
              </w:rPr>
              <w:t>及烘干</w:t>
            </w:r>
            <w:r>
              <w:rPr>
                <w:rFonts w:asciiTheme="majorBidi" w:hAnsiTheme="majorBidi" w:cstheme="majorBidi"/>
                <w:color w:val="0000FF"/>
                <w:szCs w:val="32"/>
              </w:rPr>
              <w:t>、印刷</w:t>
            </w:r>
            <w:r>
              <w:rPr>
                <w:rFonts w:asciiTheme="majorBidi" w:hAnsiTheme="majorBidi" w:cstheme="majorBidi"/>
                <w:color w:val="000000" w:themeColor="text1"/>
                <w:szCs w:val="32"/>
                <w14:textFill>
                  <w14:solidFill>
                    <w14:schemeClr w14:val="tx1"/>
                  </w14:solidFill>
                </w14:textFill>
              </w:rPr>
              <w:t>等工艺，故参考</w:t>
            </w:r>
            <w:r>
              <w:rPr>
                <w:rFonts w:ascii="宋体" w:hAnsi="宋体" w:cstheme="majorBidi"/>
                <w:color w:val="000000" w:themeColor="text1"/>
                <w:szCs w:val="32"/>
                <w14:textFill>
                  <w14:solidFill>
                    <w14:schemeClr w14:val="tx1"/>
                  </w14:solidFill>
                </w14:textFill>
              </w:rPr>
              <w:t>“</w:t>
            </w:r>
            <w:r>
              <w:rPr>
                <w:rFonts w:asciiTheme="majorBidi" w:hAnsiTheme="majorBidi" w:cstheme="majorBidi"/>
                <w:color w:val="000000" w:themeColor="text1"/>
                <w:szCs w:val="32"/>
                <w14:textFill>
                  <w14:solidFill>
                    <w14:schemeClr w14:val="tx1"/>
                  </w14:solidFill>
                </w14:textFill>
              </w:rPr>
              <w:t>广东省涉挥发性有机物（VOCs）重点行业治理指引</w:t>
            </w:r>
            <w:r>
              <w:rPr>
                <w:rFonts w:ascii="宋体" w:hAnsi="宋体" w:cstheme="majorBidi"/>
                <w:color w:val="000000" w:themeColor="text1"/>
                <w:szCs w:val="32"/>
                <w14:textFill>
                  <w14:solidFill>
                    <w14:schemeClr w14:val="tx1"/>
                  </w14:solidFill>
                </w14:textFill>
              </w:rPr>
              <w:t>”</w:t>
            </w:r>
            <w:r>
              <w:rPr>
                <w:rFonts w:asciiTheme="majorBidi" w:hAnsiTheme="majorBidi" w:cstheme="majorBidi"/>
                <w:color w:val="000000" w:themeColor="text1"/>
                <w:szCs w:val="32"/>
                <w14:textFill>
                  <w14:solidFill>
                    <w14:schemeClr w14:val="tx1"/>
                  </w14:solidFill>
                </w14:textFill>
              </w:rPr>
              <w:t>中</w:t>
            </w:r>
            <w:r>
              <w:rPr>
                <w:rFonts w:ascii="宋体" w:hAnsi="宋体" w:cstheme="majorBidi"/>
                <w:color w:val="000000" w:themeColor="text1"/>
                <w14:textFill>
                  <w14:solidFill>
                    <w14:schemeClr w14:val="tx1"/>
                  </w14:solidFill>
                </w14:textFill>
              </w:rPr>
              <w:t>“</w:t>
            </w:r>
            <w:r>
              <w:rPr>
                <w:rFonts w:asciiTheme="majorBidi" w:hAnsiTheme="majorBidi" w:cstheme="majorBidi"/>
                <w:color w:val="000000" w:themeColor="text1"/>
                <w14:textFill>
                  <w14:solidFill>
                    <w14:schemeClr w14:val="tx1"/>
                  </w14:solidFill>
                </w14:textFill>
              </w:rPr>
              <w:t>六、橡胶与塑料制品业</w:t>
            </w:r>
            <w:r>
              <w:rPr>
                <w:rFonts w:ascii="宋体" w:hAnsi="宋体" w:cstheme="majorBidi"/>
                <w:color w:val="000000" w:themeColor="text1"/>
                <w14:textFill>
                  <w14:solidFill>
                    <w14:schemeClr w14:val="tx1"/>
                  </w14:solidFill>
                </w14:textFill>
              </w:rPr>
              <w:t>”</w:t>
            </w:r>
            <w:r>
              <w:rPr>
                <w:rFonts w:asciiTheme="majorBidi" w:hAnsiTheme="majorBidi" w:cstheme="majorBidi"/>
                <w:color w:val="000000" w:themeColor="text1"/>
                <w:szCs w:val="32"/>
                <w14:textFill>
                  <w14:solidFill>
                    <w14:schemeClr w14:val="tx1"/>
                  </w14:solidFill>
                </w14:textFill>
              </w:rPr>
              <w:t>分析相符性。</w:t>
            </w:r>
            <w:r>
              <w:rPr>
                <w:rFonts w:asciiTheme="majorBidi" w:hAnsiTheme="majorBidi" w:cstheme="majorBidi"/>
                <w:color w:val="000000" w:themeColor="text1"/>
                <w14:textFill>
                  <w14:solidFill>
                    <w14:schemeClr w14:val="tx1"/>
                  </w14:solidFill>
                </w14:textFill>
              </w:rPr>
              <w:t>相符性分析如下：</w:t>
            </w:r>
          </w:p>
          <w:p w14:paraId="23333BD4">
            <w:pPr>
              <w:pStyle w:val="11"/>
              <w:rPr>
                <w:bCs w:val="0"/>
              </w:rPr>
            </w:pPr>
            <w:r>
              <w:rPr>
                <w:bCs w:val="0"/>
              </w:rPr>
              <w:t>表1-2 与粤环办〔2021〕43号相符性分析一览表</w:t>
            </w:r>
          </w:p>
          <w:tbl>
            <w:tblPr>
              <w:tblStyle w:val="21"/>
              <w:tblW w:w="0" w:type="auto"/>
              <w:tblInd w:w="0" w:type="dxa"/>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28" w:type="dxa"/>
                <w:bottom w:w="0" w:type="dxa"/>
                <w:right w:w="28" w:type="dxa"/>
              </w:tblCellMar>
            </w:tblPr>
            <w:tblGrid>
              <w:gridCol w:w="582"/>
              <w:gridCol w:w="1178"/>
              <w:gridCol w:w="4479"/>
              <w:gridCol w:w="2222"/>
              <w:gridCol w:w="637"/>
            </w:tblGrid>
            <w:tr w14:paraId="13324D7A">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340" w:hRule="atLeast"/>
              </w:trPr>
              <w:tc>
                <w:tcPr>
                  <w:tcW w:w="582" w:type="dxa"/>
                  <w:vAlign w:val="center"/>
                </w:tcPr>
                <w:p w14:paraId="7F8AFEDE">
                  <w:pPr>
                    <w:pStyle w:val="29"/>
                    <w:rPr>
                      <w:b/>
                      <w:bCs/>
                    </w:rPr>
                  </w:pPr>
                  <w:r>
                    <w:rPr>
                      <w:b/>
                      <w:bCs/>
                    </w:rPr>
                    <w:t>环节</w:t>
                  </w:r>
                </w:p>
              </w:tc>
              <w:tc>
                <w:tcPr>
                  <w:tcW w:w="5657" w:type="dxa"/>
                  <w:gridSpan w:val="2"/>
                  <w:vAlign w:val="center"/>
                </w:tcPr>
                <w:p w14:paraId="12607619">
                  <w:pPr>
                    <w:pStyle w:val="29"/>
                    <w:rPr>
                      <w:b/>
                      <w:bCs/>
                    </w:rPr>
                  </w:pPr>
                  <w:r>
                    <w:rPr>
                      <w:b/>
                      <w:bCs/>
                    </w:rPr>
                    <w:t>控制要求</w:t>
                  </w:r>
                </w:p>
              </w:tc>
              <w:tc>
                <w:tcPr>
                  <w:tcW w:w="2222" w:type="dxa"/>
                  <w:vAlign w:val="center"/>
                </w:tcPr>
                <w:p w14:paraId="199F62D8">
                  <w:pPr>
                    <w:pStyle w:val="29"/>
                    <w:rPr>
                      <w:b/>
                      <w:bCs/>
                    </w:rPr>
                  </w:pPr>
                  <w:r>
                    <w:rPr>
                      <w:b/>
                      <w:bCs/>
                    </w:rPr>
                    <w:t>相符性分析</w:t>
                  </w:r>
                </w:p>
              </w:tc>
              <w:tc>
                <w:tcPr>
                  <w:tcW w:w="637" w:type="dxa"/>
                  <w:vAlign w:val="center"/>
                </w:tcPr>
                <w:p w14:paraId="129FB012">
                  <w:pPr>
                    <w:pStyle w:val="29"/>
                    <w:rPr>
                      <w:b/>
                      <w:bCs/>
                    </w:rPr>
                  </w:pPr>
                  <w:r>
                    <w:rPr>
                      <w:b/>
                      <w:bCs/>
                    </w:rPr>
                    <w:t>相符性</w:t>
                  </w:r>
                </w:p>
              </w:tc>
            </w:tr>
            <w:tr w14:paraId="50E1D6F8">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340" w:hRule="atLeast"/>
              </w:trPr>
              <w:tc>
                <w:tcPr>
                  <w:tcW w:w="582" w:type="dxa"/>
                  <w:vAlign w:val="center"/>
                </w:tcPr>
                <w:p w14:paraId="698AC701">
                  <w:pPr>
                    <w:pStyle w:val="29"/>
                  </w:pPr>
                  <w:r>
                    <w:t>适用范围</w:t>
                  </w:r>
                </w:p>
              </w:tc>
              <w:tc>
                <w:tcPr>
                  <w:tcW w:w="5657" w:type="dxa"/>
                  <w:gridSpan w:val="2"/>
                  <w:vAlign w:val="center"/>
                </w:tcPr>
                <w:p w14:paraId="0C016FEC">
                  <w:pPr>
                    <w:pStyle w:val="29"/>
                  </w:pPr>
                  <w:r>
                    <w:t>适用于轮胎制造（C2911）、橡胶板、管、带制造（C2912）、橡胶零件制造（C2913）、再生橡胶制造（C2914）、日用及医用橡胶制品制造（C2915）、运动场地用塑胶制造（C2916）、其他橡胶制品制造（C2919）、塑料薄膜制造（C2921）、塑料板、管、型材制造（C2922）、塑料丝、绳及编织品制造（C2923）、泡沫塑料制造（C2924）、塑料人造革、合成革制造（C2925）、塑料包装箱及容器制造（C2926）、日用塑料制品制造（C2927）、人造草坪制造（C2928）、塑料零件及其他塑料制品制造（C2929）工业企业或生产设施。</w:t>
                  </w:r>
                </w:p>
              </w:tc>
              <w:tc>
                <w:tcPr>
                  <w:tcW w:w="2222" w:type="dxa"/>
                  <w:vAlign w:val="center"/>
                </w:tcPr>
                <w:p w14:paraId="2E2F5C32">
                  <w:pPr>
                    <w:pStyle w:val="29"/>
                  </w:pPr>
                  <w:r>
                    <w:t>项目属于C2929塑料零件及其他塑料制品制造</w:t>
                  </w:r>
                </w:p>
              </w:tc>
              <w:tc>
                <w:tcPr>
                  <w:tcW w:w="637" w:type="dxa"/>
                  <w:vAlign w:val="center"/>
                </w:tcPr>
                <w:p w14:paraId="69F0AB20">
                  <w:pPr>
                    <w:pStyle w:val="29"/>
                  </w:pPr>
                  <w:r>
                    <w:t>相符</w:t>
                  </w:r>
                </w:p>
              </w:tc>
            </w:tr>
            <w:tr w14:paraId="377BE27B">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340" w:hRule="atLeast"/>
              </w:trPr>
              <w:tc>
                <w:tcPr>
                  <w:tcW w:w="9098" w:type="dxa"/>
                  <w:gridSpan w:val="5"/>
                  <w:vAlign w:val="center"/>
                </w:tcPr>
                <w:p w14:paraId="0BD2F7DF">
                  <w:pPr>
                    <w:pStyle w:val="29"/>
                  </w:pPr>
                  <w:r>
                    <w:t>源头削减</w:t>
                  </w:r>
                </w:p>
              </w:tc>
            </w:tr>
            <w:tr w14:paraId="00E33415">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340" w:hRule="atLeast"/>
              </w:trPr>
              <w:tc>
                <w:tcPr>
                  <w:tcW w:w="582" w:type="dxa"/>
                  <w:vMerge w:val="restart"/>
                  <w:vAlign w:val="center"/>
                </w:tcPr>
                <w:p w14:paraId="26AC5291">
                  <w:pPr>
                    <w:pStyle w:val="29"/>
                  </w:pPr>
                  <w:r>
                    <w:t>涂装</w:t>
                  </w:r>
                </w:p>
              </w:tc>
              <w:tc>
                <w:tcPr>
                  <w:tcW w:w="1178" w:type="dxa"/>
                  <w:vMerge w:val="restart"/>
                  <w:vAlign w:val="center"/>
                </w:tcPr>
                <w:p w14:paraId="02771D08">
                  <w:pPr>
                    <w:pStyle w:val="29"/>
                  </w:pPr>
                  <w:r>
                    <w:t>水性涂料</w:t>
                  </w:r>
                </w:p>
              </w:tc>
              <w:tc>
                <w:tcPr>
                  <w:tcW w:w="4479" w:type="dxa"/>
                  <w:vAlign w:val="center"/>
                </w:tcPr>
                <w:p w14:paraId="2EA17680">
                  <w:pPr>
                    <w:pStyle w:val="29"/>
                  </w:pPr>
                  <w:r>
                    <w:rPr>
                      <w:lang w:bidi="ar"/>
                    </w:rPr>
                    <w:t>包装涂料：底漆VOCs含量≤420g/L，中漆VOCs含量≤300g/L，面漆VOCs含量≤270g/L。</w:t>
                  </w:r>
                </w:p>
              </w:tc>
              <w:tc>
                <w:tcPr>
                  <w:tcW w:w="2222" w:type="dxa"/>
                  <w:vMerge w:val="restart"/>
                  <w:vAlign w:val="center"/>
                </w:tcPr>
                <w:p w14:paraId="034BE7FE">
                  <w:pPr>
                    <w:pStyle w:val="29"/>
                  </w:pPr>
                  <w:r>
                    <w:t>根据企业提供的</w:t>
                  </w:r>
                  <w:r>
                    <w:rPr>
                      <w:color w:val="EE0000"/>
                    </w:rPr>
                    <w:t>VOC</w:t>
                  </w:r>
                  <w:r>
                    <w:rPr>
                      <w:rFonts w:hint="eastAsia"/>
                      <w:color w:val="EE0000"/>
                    </w:rPr>
                    <w:t>s</w:t>
                  </w:r>
                  <w:r>
                    <w:rPr>
                      <w:color w:val="EE0000"/>
                    </w:rPr>
                    <w:t>检测报告</w:t>
                  </w:r>
                  <w:r>
                    <w:t>（</w:t>
                  </w:r>
                  <w:r>
                    <w:rPr>
                      <w:color w:val="EE0000"/>
                    </w:rPr>
                    <w:t>附件8</w:t>
                  </w:r>
                  <w:r>
                    <w:t>），水性面漆的挥发性有机成分含量为</w:t>
                  </w:r>
                  <w:r>
                    <w:rPr>
                      <w:color w:val="EE0000"/>
                    </w:rPr>
                    <w:t>118g/L</w:t>
                  </w:r>
                  <w:r>
                    <w:t>。</w:t>
                  </w:r>
                </w:p>
              </w:tc>
              <w:tc>
                <w:tcPr>
                  <w:tcW w:w="637" w:type="dxa"/>
                  <w:vMerge w:val="restart"/>
                  <w:vAlign w:val="center"/>
                </w:tcPr>
                <w:p w14:paraId="120FBD70">
                  <w:pPr>
                    <w:pStyle w:val="29"/>
                  </w:pPr>
                  <w:r>
                    <w:t>相符</w:t>
                  </w:r>
                </w:p>
              </w:tc>
            </w:tr>
            <w:tr w14:paraId="547C83D9">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340" w:hRule="atLeast"/>
              </w:trPr>
              <w:tc>
                <w:tcPr>
                  <w:tcW w:w="582" w:type="dxa"/>
                  <w:vMerge w:val="continue"/>
                  <w:vAlign w:val="center"/>
                </w:tcPr>
                <w:p w14:paraId="2751AB33">
                  <w:pPr>
                    <w:pStyle w:val="29"/>
                  </w:pPr>
                </w:p>
              </w:tc>
              <w:tc>
                <w:tcPr>
                  <w:tcW w:w="1178" w:type="dxa"/>
                  <w:vMerge w:val="continue"/>
                  <w:vAlign w:val="center"/>
                </w:tcPr>
                <w:p w14:paraId="03218565">
                  <w:pPr>
                    <w:pStyle w:val="29"/>
                  </w:pPr>
                </w:p>
              </w:tc>
              <w:tc>
                <w:tcPr>
                  <w:tcW w:w="4479" w:type="dxa"/>
                  <w:vAlign w:val="center"/>
                </w:tcPr>
                <w:p w14:paraId="380725B5">
                  <w:pPr>
                    <w:pStyle w:val="29"/>
                  </w:pPr>
                  <w:r>
                    <w:rPr>
                      <w:lang w:bidi="ar"/>
                    </w:rPr>
                    <w:t>玩具涂料VOCs含量≤420g/L。</w:t>
                  </w:r>
                </w:p>
              </w:tc>
              <w:tc>
                <w:tcPr>
                  <w:tcW w:w="2222" w:type="dxa"/>
                  <w:vMerge w:val="continue"/>
                  <w:vAlign w:val="center"/>
                </w:tcPr>
                <w:p w14:paraId="053E60D2">
                  <w:pPr>
                    <w:pStyle w:val="29"/>
                  </w:pPr>
                </w:p>
              </w:tc>
              <w:tc>
                <w:tcPr>
                  <w:tcW w:w="637" w:type="dxa"/>
                  <w:vMerge w:val="continue"/>
                  <w:vAlign w:val="center"/>
                </w:tcPr>
                <w:p w14:paraId="451512BC">
                  <w:pPr>
                    <w:pStyle w:val="29"/>
                  </w:pPr>
                </w:p>
              </w:tc>
            </w:tr>
            <w:tr w14:paraId="0DFD725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340" w:hRule="atLeast"/>
              </w:trPr>
              <w:tc>
                <w:tcPr>
                  <w:tcW w:w="582" w:type="dxa"/>
                  <w:vMerge w:val="continue"/>
                  <w:vAlign w:val="center"/>
                </w:tcPr>
                <w:p w14:paraId="47DAF599">
                  <w:pPr>
                    <w:pStyle w:val="29"/>
                  </w:pPr>
                </w:p>
              </w:tc>
              <w:tc>
                <w:tcPr>
                  <w:tcW w:w="1178" w:type="dxa"/>
                  <w:vMerge w:val="continue"/>
                  <w:vAlign w:val="center"/>
                </w:tcPr>
                <w:p w14:paraId="360CB949">
                  <w:pPr>
                    <w:pStyle w:val="29"/>
                  </w:pPr>
                </w:p>
              </w:tc>
              <w:tc>
                <w:tcPr>
                  <w:tcW w:w="4479" w:type="dxa"/>
                  <w:vAlign w:val="center"/>
                </w:tcPr>
                <w:p w14:paraId="212D0308">
                  <w:pPr>
                    <w:pStyle w:val="29"/>
                  </w:pPr>
                  <w:r>
                    <w:rPr>
                      <w:lang w:bidi="ar"/>
                    </w:rPr>
                    <w:t>防水涂料VOCs含量≤50g/L。</w:t>
                  </w:r>
                </w:p>
              </w:tc>
              <w:tc>
                <w:tcPr>
                  <w:tcW w:w="2222" w:type="dxa"/>
                  <w:vMerge w:val="continue"/>
                  <w:vAlign w:val="center"/>
                </w:tcPr>
                <w:p w14:paraId="56DA17C1">
                  <w:pPr>
                    <w:pStyle w:val="29"/>
                  </w:pPr>
                </w:p>
              </w:tc>
              <w:tc>
                <w:tcPr>
                  <w:tcW w:w="637" w:type="dxa"/>
                  <w:vMerge w:val="continue"/>
                  <w:vAlign w:val="center"/>
                </w:tcPr>
                <w:p w14:paraId="07CE3CC1">
                  <w:pPr>
                    <w:pStyle w:val="29"/>
                  </w:pPr>
                </w:p>
              </w:tc>
            </w:tr>
            <w:tr w14:paraId="6FBBDEE5">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340" w:hRule="atLeast"/>
              </w:trPr>
              <w:tc>
                <w:tcPr>
                  <w:tcW w:w="582" w:type="dxa"/>
                  <w:vMerge w:val="continue"/>
                  <w:vAlign w:val="center"/>
                </w:tcPr>
                <w:p w14:paraId="4F1805E3">
                  <w:pPr>
                    <w:pStyle w:val="29"/>
                  </w:pPr>
                </w:p>
              </w:tc>
              <w:tc>
                <w:tcPr>
                  <w:tcW w:w="1178" w:type="dxa"/>
                  <w:vMerge w:val="continue"/>
                  <w:vAlign w:val="center"/>
                </w:tcPr>
                <w:p w14:paraId="67A6BB97">
                  <w:pPr>
                    <w:pStyle w:val="29"/>
                  </w:pPr>
                </w:p>
              </w:tc>
              <w:tc>
                <w:tcPr>
                  <w:tcW w:w="4479" w:type="dxa"/>
                  <w:vAlign w:val="center"/>
                </w:tcPr>
                <w:p w14:paraId="02777FCD">
                  <w:pPr>
                    <w:pStyle w:val="29"/>
                  </w:pPr>
                  <w:r>
                    <w:rPr>
                      <w:lang w:bidi="ar"/>
                    </w:rPr>
                    <w:t>防火涂料VOCs含量≤80g/L。</w:t>
                  </w:r>
                </w:p>
              </w:tc>
              <w:tc>
                <w:tcPr>
                  <w:tcW w:w="2222" w:type="dxa"/>
                  <w:vMerge w:val="continue"/>
                  <w:vAlign w:val="center"/>
                </w:tcPr>
                <w:p w14:paraId="3D6E9D2F">
                  <w:pPr>
                    <w:pStyle w:val="29"/>
                  </w:pPr>
                </w:p>
              </w:tc>
              <w:tc>
                <w:tcPr>
                  <w:tcW w:w="637" w:type="dxa"/>
                  <w:vMerge w:val="continue"/>
                  <w:vAlign w:val="center"/>
                </w:tcPr>
                <w:p w14:paraId="5790F961">
                  <w:pPr>
                    <w:pStyle w:val="29"/>
                  </w:pPr>
                </w:p>
              </w:tc>
            </w:tr>
            <w:tr w14:paraId="2E23677F">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340" w:hRule="atLeast"/>
              </w:trPr>
              <w:tc>
                <w:tcPr>
                  <w:tcW w:w="582" w:type="dxa"/>
                  <w:vMerge w:val="restart"/>
                  <w:vAlign w:val="center"/>
                </w:tcPr>
                <w:p w14:paraId="1562DD2C">
                  <w:pPr>
                    <w:pStyle w:val="29"/>
                  </w:pPr>
                  <w:r>
                    <w:t>印刷</w:t>
                  </w:r>
                </w:p>
              </w:tc>
              <w:tc>
                <w:tcPr>
                  <w:tcW w:w="1178" w:type="dxa"/>
                  <w:vMerge w:val="restart"/>
                  <w:vAlign w:val="center"/>
                </w:tcPr>
                <w:p w14:paraId="0CCB9CB5">
                  <w:pPr>
                    <w:pStyle w:val="29"/>
                    <w:rPr>
                      <w:lang w:bidi="ar"/>
                    </w:rPr>
                  </w:pPr>
                  <w:r>
                    <w:rPr>
                      <w:lang w:bidi="ar"/>
                    </w:rPr>
                    <w:t>水性油墨</w:t>
                  </w:r>
                </w:p>
              </w:tc>
              <w:tc>
                <w:tcPr>
                  <w:tcW w:w="4479" w:type="dxa"/>
                  <w:vAlign w:val="center"/>
                </w:tcPr>
                <w:p w14:paraId="7A47764F">
                  <w:pPr>
                    <w:pStyle w:val="29"/>
                    <w:rPr>
                      <w:lang w:bidi="ar"/>
                    </w:rPr>
                  </w:pPr>
                  <w:r>
                    <w:rPr>
                      <w:lang w:bidi="ar"/>
                    </w:rPr>
                    <w:t>凹印油墨：吸收性承印物，VOCs含量≤15%；非吸收性承印物，VOCs含量≤30%。</w:t>
                  </w:r>
                </w:p>
              </w:tc>
              <w:tc>
                <w:tcPr>
                  <w:tcW w:w="2222" w:type="dxa"/>
                  <w:vMerge w:val="restart"/>
                  <w:vAlign w:val="center"/>
                </w:tcPr>
                <w:p w14:paraId="2292BB7F">
                  <w:pPr>
                    <w:pStyle w:val="29"/>
                  </w:pPr>
                  <w:r>
                    <w:t>根据企业提供的</w:t>
                  </w:r>
                  <w:r>
                    <w:rPr>
                      <w:color w:val="EE0000"/>
                    </w:rPr>
                    <w:t>VOC</w:t>
                  </w:r>
                  <w:r>
                    <w:rPr>
                      <w:rFonts w:hint="eastAsia"/>
                      <w:color w:val="EE0000"/>
                    </w:rPr>
                    <w:t>s</w:t>
                  </w:r>
                  <w:r>
                    <w:rPr>
                      <w:color w:val="EE0000"/>
                    </w:rPr>
                    <w:t>检测报告</w:t>
                  </w:r>
                  <w:r>
                    <w:t>（</w:t>
                  </w:r>
                  <w:r>
                    <w:rPr>
                      <w:color w:val="EE0000"/>
                    </w:rPr>
                    <w:t>附件10</w:t>
                  </w:r>
                  <w:r>
                    <w:t>），水性油墨的挥发性有机成分含量为</w:t>
                  </w:r>
                  <w:r>
                    <w:rPr>
                      <w:rFonts w:hint="eastAsia"/>
                      <w:color w:val="EE0000"/>
                    </w:rPr>
                    <w:t>1.6</w:t>
                  </w:r>
                  <w:r>
                    <w:t>%</w:t>
                  </w:r>
                </w:p>
              </w:tc>
              <w:tc>
                <w:tcPr>
                  <w:tcW w:w="637" w:type="dxa"/>
                  <w:vMerge w:val="restart"/>
                  <w:vAlign w:val="center"/>
                </w:tcPr>
                <w:p w14:paraId="722FC848">
                  <w:pPr>
                    <w:pStyle w:val="29"/>
                  </w:pPr>
                  <w:r>
                    <w:t>相符</w:t>
                  </w:r>
                </w:p>
              </w:tc>
            </w:tr>
            <w:tr w14:paraId="0E0BA2BA">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340" w:hRule="atLeast"/>
              </w:trPr>
              <w:tc>
                <w:tcPr>
                  <w:tcW w:w="582" w:type="dxa"/>
                  <w:vMerge w:val="continue"/>
                  <w:vAlign w:val="center"/>
                </w:tcPr>
                <w:p w14:paraId="1F463800">
                  <w:pPr>
                    <w:pStyle w:val="29"/>
                  </w:pPr>
                </w:p>
              </w:tc>
              <w:tc>
                <w:tcPr>
                  <w:tcW w:w="1178" w:type="dxa"/>
                  <w:vMerge w:val="continue"/>
                  <w:vAlign w:val="center"/>
                </w:tcPr>
                <w:p w14:paraId="63DF08B4">
                  <w:pPr>
                    <w:pStyle w:val="29"/>
                    <w:rPr>
                      <w:lang w:bidi="ar"/>
                    </w:rPr>
                  </w:pPr>
                </w:p>
              </w:tc>
              <w:tc>
                <w:tcPr>
                  <w:tcW w:w="4479" w:type="dxa"/>
                  <w:vAlign w:val="center"/>
                </w:tcPr>
                <w:p w14:paraId="7E5DBDC6">
                  <w:pPr>
                    <w:pStyle w:val="29"/>
                    <w:rPr>
                      <w:lang w:bidi="ar"/>
                    </w:rPr>
                  </w:pPr>
                  <w:r>
                    <w:rPr>
                      <w:lang w:bidi="ar"/>
                    </w:rPr>
                    <w:t>柔印油墨：吸收性承印物，VOCs含量≤5%；非吸收性承印物，VOCs含量≤25%。</w:t>
                  </w:r>
                </w:p>
              </w:tc>
              <w:tc>
                <w:tcPr>
                  <w:tcW w:w="2222" w:type="dxa"/>
                  <w:vMerge w:val="continue"/>
                  <w:vAlign w:val="center"/>
                </w:tcPr>
                <w:p w14:paraId="6D4653B5">
                  <w:pPr>
                    <w:pStyle w:val="29"/>
                  </w:pPr>
                </w:p>
              </w:tc>
              <w:tc>
                <w:tcPr>
                  <w:tcW w:w="637" w:type="dxa"/>
                  <w:vMerge w:val="continue"/>
                  <w:vAlign w:val="center"/>
                </w:tcPr>
                <w:p w14:paraId="3E062D7B">
                  <w:pPr>
                    <w:pStyle w:val="29"/>
                  </w:pPr>
                </w:p>
              </w:tc>
            </w:tr>
            <w:tr w14:paraId="7896EB55">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340" w:hRule="atLeast"/>
              </w:trPr>
              <w:tc>
                <w:tcPr>
                  <w:tcW w:w="9098" w:type="dxa"/>
                  <w:gridSpan w:val="5"/>
                  <w:vAlign w:val="center"/>
                </w:tcPr>
                <w:p w14:paraId="6F6E6148">
                  <w:pPr>
                    <w:pStyle w:val="29"/>
                  </w:pPr>
                  <w:r>
                    <w:t>过程控制</w:t>
                  </w:r>
                </w:p>
              </w:tc>
            </w:tr>
            <w:tr w14:paraId="0BA4BDBE">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340" w:hRule="atLeast"/>
              </w:trPr>
              <w:tc>
                <w:tcPr>
                  <w:tcW w:w="582" w:type="dxa"/>
                  <w:vMerge w:val="restart"/>
                  <w:vAlign w:val="center"/>
                </w:tcPr>
                <w:p w14:paraId="50CF1689">
                  <w:pPr>
                    <w:pStyle w:val="29"/>
                  </w:pPr>
                  <w:r>
                    <w:t>VOCs物料储存</w:t>
                  </w:r>
                </w:p>
              </w:tc>
              <w:tc>
                <w:tcPr>
                  <w:tcW w:w="5657" w:type="dxa"/>
                  <w:gridSpan w:val="2"/>
                  <w:vAlign w:val="center"/>
                </w:tcPr>
                <w:p w14:paraId="33A06CF2">
                  <w:pPr>
                    <w:pStyle w:val="29"/>
                  </w:pPr>
                  <w:r>
                    <w:t>VOCs物料应储存于密闭的容器、包装袋、储罐、储库、料仓中。</w:t>
                  </w:r>
                </w:p>
              </w:tc>
              <w:tc>
                <w:tcPr>
                  <w:tcW w:w="2222" w:type="dxa"/>
                  <w:vMerge w:val="restart"/>
                  <w:vAlign w:val="center"/>
                </w:tcPr>
                <w:p w14:paraId="2C805E53">
                  <w:pPr>
                    <w:pStyle w:val="29"/>
                  </w:pPr>
                  <w:r>
                    <w:t>项目外购的VOCs物料均密封储存于厂内相应物料仓，非取用状态时容器密闭</w:t>
                  </w:r>
                </w:p>
              </w:tc>
              <w:tc>
                <w:tcPr>
                  <w:tcW w:w="637" w:type="dxa"/>
                  <w:vAlign w:val="center"/>
                </w:tcPr>
                <w:p w14:paraId="53AF6AE5">
                  <w:pPr>
                    <w:pStyle w:val="29"/>
                  </w:pPr>
                  <w:r>
                    <w:t>相符</w:t>
                  </w:r>
                </w:p>
              </w:tc>
            </w:tr>
            <w:tr w14:paraId="48664D8C">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340" w:hRule="atLeast"/>
              </w:trPr>
              <w:tc>
                <w:tcPr>
                  <w:tcW w:w="582" w:type="dxa"/>
                  <w:vMerge w:val="continue"/>
                  <w:vAlign w:val="center"/>
                </w:tcPr>
                <w:p w14:paraId="4A0FE0BD">
                  <w:pPr>
                    <w:pStyle w:val="29"/>
                  </w:pPr>
                </w:p>
              </w:tc>
              <w:tc>
                <w:tcPr>
                  <w:tcW w:w="5657" w:type="dxa"/>
                  <w:gridSpan w:val="2"/>
                  <w:vAlign w:val="center"/>
                </w:tcPr>
                <w:p w14:paraId="5E2D8DC5">
                  <w:pPr>
                    <w:pStyle w:val="29"/>
                  </w:pPr>
                  <w:r>
                    <w:t>盛装VOCs物料的容器是否存放于室内，或存放于设置有雨棚、遮阳和防渗设施的专用场地。盛装VOCs物料的容器在非取用状态时应加盖、封口，保持密闭。</w:t>
                  </w:r>
                </w:p>
              </w:tc>
              <w:tc>
                <w:tcPr>
                  <w:tcW w:w="2222" w:type="dxa"/>
                  <w:vMerge w:val="continue"/>
                  <w:vAlign w:val="center"/>
                </w:tcPr>
                <w:p w14:paraId="14A4B9FA">
                  <w:pPr>
                    <w:pStyle w:val="29"/>
                  </w:pPr>
                </w:p>
              </w:tc>
              <w:tc>
                <w:tcPr>
                  <w:tcW w:w="637" w:type="dxa"/>
                  <w:vAlign w:val="center"/>
                </w:tcPr>
                <w:p w14:paraId="0E7F6585">
                  <w:pPr>
                    <w:pStyle w:val="29"/>
                  </w:pPr>
                  <w:r>
                    <w:t>相符</w:t>
                  </w:r>
                </w:p>
              </w:tc>
            </w:tr>
            <w:tr w14:paraId="0DE7637E">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340" w:hRule="atLeast"/>
              </w:trPr>
              <w:tc>
                <w:tcPr>
                  <w:tcW w:w="582" w:type="dxa"/>
                  <w:vMerge w:val="restart"/>
                  <w:vAlign w:val="center"/>
                </w:tcPr>
                <w:p w14:paraId="17B9D079">
                  <w:pPr>
                    <w:pStyle w:val="29"/>
                  </w:pPr>
                  <w:r>
                    <w:t>VOCs物料转移和输送</w:t>
                  </w:r>
                </w:p>
              </w:tc>
              <w:tc>
                <w:tcPr>
                  <w:tcW w:w="5657" w:type="dxa"/>
                  <w:gridSpan w:val="2"/>
                  <w:vAlign w:val="center"/>
                </w:tcPr>
                <w:p w14:paraId="4E7F78EA">
                  <w:pPr>
                    <w:pStyle w:val="29"/>
                  </w:pPr>
                  <w:r>
                    <w:t>液体VOCs物料应采用管道密闭输送。采用非管道输送方式转移液态VOCs物料时，应采用密闭容器或罐车。</w:t>
                  </w:r>
                </w:p>
              </w:tc>
              <w:tc>
                <w:tcPr>
                  <w:tcW w:w="2222" w:type="dxa"/>
                  <w:vMerge w:val="restart"/>
                  <w:vAlign w:val="center"/>
                </w:tcPr>
                <w:p w14:paraId="0B4E8360">
                  <w:pPr>
                    <w:pStyle w:val="29"/>
                  </w:pPr>
                  <w:r>
                    <w:t>本项目采用密闭容器进行物料转移</w:t>
                  </w:r>
                </w:p>
              </w:tc>
              <w:tc>
                <w:tcPr>
                  <w:tcW w:w="637" w:type="dxa"/>
                  <w:vMerge w:val="restart"/>
                  <w:vAlign w:val="center"/>
                </w:tcPr>
                <w:p w14:paraId="5E12AF99">
                  <w:pPr>
                    <w:pStyle w:val="29"/>
                  </w:pPr>
                  <w:r>
                    <w:t>相符</w:t>
                  </w:r>
                </w:p>
              </w:tc>
            </w:tr>
            <w:tr w14:paraId="3E6766E2">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340" w:hRule="atLeast"/>
              </w:trPr>
              <w:tc>
                <w:tcPr>
                  <w:tcW w:w="582" w:type="dxa"/>
                  <w:vMerge w:val="continue"/>
                  <w:vAlign w:val="center"/>
                </w:tcPr>
                <w:p w14:paraId="00E08343">
                  <w:pPr>
                    <w:pStyle w:val="29"/>
                  </w:pPr>
                </w:p>
              </w:tc>
              <w:tc>
                <w:tcPr>
                  <w:tcW w:w="5657" w:type="dxa"/>
                  <w:gridSpan w:val="2"/>
                  <w:vAlign w:val="center"/>
                </w:tcPr>
                <w:p w14:paraId="40185471">
                  <w:pPr>
                    <w:pStyle w:val="29"/>
                  </w:pPr>
                  <w:r>
                    <w:t>粉状、粒状VOCs 物料采用气力输送设备、管状带式输送机、螺旋输送机等密闭输送方式，或者采用密闭的包装袋、容器或罐车进行物料转移。</w:t>
                  </w:r>
                </w:p>
              </w:tc>
              <w:tc>
                <w:tcPr>
                  <w:tcW w:w="2222" w:type="dxa"/>
                  <w:vMerge w:val="continue"/>
                  <w:vAlign w:val="center"/>
                </w:tcPr>
                <w:p w14:paraId="006C4840">
                  <w:pPr>
                    <w:pStyle w:val="29"/>
                  </w:pPr>
                </w:p>
              </w:tc>
              <w:tc>
                <w:tcPr>
                  <w:tcW w:w="637" w:type="dxa"/>
                  <w:vMerge w:val="continue"/>
                  <w:vAlign w:val="center"/>
                </w:tcPr>
                <w:p w14:paraId="551C6BFB">
                  <w:pPr>
                    <w:pStyle w:val="29"/>
                  </w:pPr>
                </w:p>
              </w:tc>
            </w:tr>
            <w:tr w14:paraId="1D896184">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340" w:hRule="atLeast"/>
              </w:trPr>
              <w:tc>
                <w:tcPr>
                  <w:tcW w:w="582" w:type="dxa"/>
                  <w:vMerge w:val="restart"/>
                  <w:vAlign w:val="center"/>
                </w:tcPr>
                <w:p w14:paraId="3F55DA4E">
                  <w:pPr>
                    <w:pStyle w:val="29"/>
                    <w:rPr>
                      <w:rFonts w:eastAsiaTheme="minorEastAsia"/>
                    </w:rPr>
                  </w:pPr>
                  <w:r>
                    <w:rPr>
                      <w:rFonts w:eastAsiaTheme="minorEastAsia"/>
                    </w:rPr>
                    <w:t>工艺过程</w:t>
                  </w:r>
                </w:p>
              </w:tc>
              <w:tc>
                <w:tcPr>
                  <w:tcW w:w="5657" w:type="dxa"/>
                  <w:gridSpan w:val="2"/>
                  <w:vAlign w:val="center"/>
                </w:tcPr>
                <w:p w14:paraId="5BA4C278">
                  <w:pPr>
                    <w:pStyle w:val="29"/>
                  </w:pPr>
                  <w:r>
                    <w:rPr>
                      <w:rFonts w:eastAsiaTheme="minorEastAsia"/>
                    </w:rPr>
                    <w:t>液态VOCs物料采用密闭管道输送方式或采用高位槽（罐）、桶泵等给料方式密闭投加；无法密闭投加的，在密闭空间内操作，或进行局部气体收集，废气排至VOCs废气收集处理系统。</w:t>
                  </w:r>
                </w:p>
              </w:tc>
              <w:tc>
                <w:tcPr>
                  <w:tcW w:w="2222" w:type="dxa"/>
                  <w:vMerge w:val="restart"/>
                  <w:vAlign w:val="center"/>
                </w:tcPr>
                <w:p w14:paraId="5AC55128">
                  <w:pPr>
                    <w:pStyle w:val="29"/>
                  </w:pPr>
                  <w:r>
                    <w:rPr>
                      <w:rFonts w:eastAsiaTheme="minorEastAsia"/>
                    </w:rPr>
                    <w:t>根据产污设备的实际情况，项目生产过程中产生的有机废气，拟采取半密闭收集装置收集后经</w:t>
                  </w:r>
                  <w:r>
                    <w:rPr>
                      <w:rFonts w:ascii="宋体" w:hAnsi="宋体" w:eastAsiaTheme="minorEastAsia"/>
                    </w:rPr>
                    <w:t>“</w:t>
                  </w:r>
                  <w:r>
                    <w:rPr>
                      <w:rFonts w:hint="eastAsia" w:ascii="宋体" w:hAnsi="宋体" w:eastAsiaTheme="minorEastAsia"/>
                    </w:rPr>
                    <w:t>水</w:t>
                  </w:r>
                  <w:r>
                    <w:rPr>
                      <w:rFonts w:eastAsiaTheme="minorEastAsia"/>
                    </w:rPr>
                    <w:t>喷淋+干式过滤器+二级活性炭吸附</w:t>
                  </w:r>
                  <w:r>
                    <w:rPr>
                      <w:rFonts w:ascii="宋体" w:hAnsi="宋体" w:eastAsiaTheme="minorEastAsia"/>
                    </w:rPr>
                    <w:t>”</w:t>
                  </w:r>
                  <w:r>
                    <w:rPr>
                      <w:rFonts w:eastAsiaTheme="minorEastAsia"/>
                    </w:rPr>
                    <w:t>装置处理达标后通过65m排气筒高空排放</w:t>
                  </w:r>
                </w:p>
              </w:tc>
              <w:tc>
                <w:tcPr>
                  <w:tcW w:w="637" w:type="dxa"/>
                  <w:vMerge w:val="restart"/>
                  <w:vAlign w:val="center"/>
                </w:tcPr>
                <w:p w14:paraId="5EC74405">
                  <w:pPr>
                    <w:pStyle w:val="29"/>
                  </w:pPr>
                  <w:r>
                    <w:t>相符</w:t>
                  </w:r>
                </w:p>
              </w:tc>
            </w:tr>
            <w:tr w14:paraId="4E1AFBE7">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340" w:hRule="atLeast"/>
              </w:trPr>
              <w:tc>
                <w:tcPr>
                  <w:tcW w:w="582" w:type="dxa"/>
                  <w:vMerge w:val="continue"/>
                  <w:vAlign w:val="center"/>
                </w:tcPr>
                <w:p w14:paraId="0BA13A2E">
                  <w:pPr>
                    <w:pStyle w:val="29"/>
                  </w:pPr>
                </w:p>
              </w:tc>
              <w:tc>
                <w:tcPr>
                  <w:tcW w:w="5657" w:type="dxa"/>
                  <w:gridSpan w:val="2"/>
                  <w:vAlign w:val="center"/>
                </w:tcPr>
                <w:p w14:paraId="4341A936">
                  <w:pPr>
                    <w:pStyle w:val="29"/>
                  </w:pPr>
                  <w:r>
                    <w:rPr>
                      <w:rFonts w:eastAsiaTheme="minorEastAsia"/>
                    </w:rPr>
                    <w:t>粉状、粒状VOCs物料采用气力输送方式或采用密闭固体投料器等给料方式密闭投加；无法密闭投加的，在密闭空间内操作，或进行局部气体收集，废气排至除尘设施、VOCs废气收集处理系统。</w:t>
                  </w:r>
                </w:p>
              </w:tc>
              <w:tc>
                <w:tcPr>
                  <w:tcW w:w="2222" w:type="dxa"/>
                  <w:vMerge w:val="continue"/>
                  <w:vAlign w:val="center"/>
                </w:tcPr>
                <w:p w14:paraId="490566CA">
                  <w:pPr>
                    <w:pStyle w:val="29"/>
                  </w:pPr>
                </w:p>
              </w:tc>
              <w:tc>
                <w:tcPr>
                  <w:tcW w:w="637" w:type="dxa"/>
                  <w:vMerge w:val="continue"/>
                  <w:vAlign w:val="center"/>
                </w:tcPr>
                <w:p w14:paraId="6F453BFB">
                  <w:pPr>
                    <w:pStyle w:val="29"/>
                  </w:pPr>
                </w:p>
              </w:tc>
            </w:tr>
            <w:tr w14:paraId="7A28AA14">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340" w:hRule="atLeast"/>
              </w:trPr>
              <w:tc>
                <w:tcPr>
                  <w:tcW w:w="582" w:type="dxa"/>
                  <w:vMerge w:val="continue"/>
                  <w:vAlign w:val="center"/>
                </w:tcPr>
                <w:p w14:paraId="61EC0F43">
                  <w:pPr>
                    <w:pStyle w:val="29"/>
                  </w:pPr>
                </w:p>
              </w:tc>
              <w:tc>
                <w:tcPr>
                  <w:tcW w:w="5657" w:type="dxa"/>
                  <w:gridSpan w:val="2"/>
                  <w:vAlign w:val="center"/>
                </w:tcPr>
                <w:p w14:paraId="381266EA">
                  <w:pPr>
                    <w:pStyle w:val="29"/>
                  </w:pPr>
                  <w:r>
                    <w:rPr>
                      <w:rFonts w:eastAsiaTheme="minorEastAsia"/>
                    </w:rPr>
                    <w:t>在混合/混炼、塑炼/塑化/熔化、加工成型（挤出、注射、压制、压延、发泡、纺丝等）、硫化等作业中应采用密闭设备在密闭空间中操作，废气应排至VOCs废气收集处理系统；无法密闭的，应采取局部气体收集措施，废气应排至VOCs废气收集处理系统。</w:t>
                  </w:r>
                </w:p>
              </w:tc>
              <w:tc>
                <w:tcPr>
                  <w:tcW w:w="2222" w:type="dxa"/>
                  <w:vMerge w:val="continue"/>
                  <w:vAlign w:val="center"/>
                </w:tcPr>
                <w:p w14:paraId="3502F63A">
                  <w:pPr>
                    <w:pStyle w:val="29"/>
                  </w:pPr>
                </w:p>
              </w:tc>
              <w:tc>
                <w:tcPr>
                  <w:tcW w:w="637" w:type="dxa"/>
                  <w:vMerge w:val="continue"/>
                  <w:vAlign w:val="center"/>
                </w:tcPr>
                <w:p w14:paraId="4DACD308">
                  <w:pPr>
                    <w:pStyle w:val="29"/>
                  </w:pPr>
                </w:p>
              </w:tc>
            </w:tr>
            <w:tr w14:paraId="17907D7A">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340" w:hRule="atLeast"/>
              </w:trPr>
              <w:tc>
                <w:tcPr>
                  <w:tcW w:w="582" w:type="dxa"/>
                  <w:vMerge w:val="continue"/>
                  <w:vAlign w:val="center"/>
                </w:tcPr>
                <w:p w14:paraId="6C8B7BBE">
                  <w:pPr>
                    <w:pStyle w:val="29"/>
                  </w:pPr>
                </w:p>
              </w:tc>
              <w:tc>
                <w:tcPr>
                  <w:tcW w:w="5657" w:type="dxa"/>
                  <w:gridSpan w:val="2"/>
                  <w:vAlign w:val="center"/>
                </w:tcPr>
                <w:p w14:paraId="3E170695">
                  <w:pPr>
                    <w:pStyle w:val="29"/>
                  </w:pPr>
                  <w:r>
                    <w:rPr>
                      <w:rFonts w:eastAsiaTheme="minorEastAsia"/>
                    </w:rPr>
                    <w:t>浸胶、胶浆喷涂、涂胶、喷漆、印刷、清洗等工序使用VOCs质量占比大于等于10%的原辅材料时，其使用过程应采用密闭设备或在密闭空间内操作，废气应排至VOCs废气收集处理系统；无法密闭的，应采取局部气体收集措施，废气应排至VOCs废气收集处理系统。</w:t>
                  </w:r>
                </w:p>
              </w:tc>
              <w:tc>
                <w:tcPr>
                  <w:tcW w:w="2222" w:type="dxa"/>
                  <w:vMerge w:val="continue"/>
                  <w:vAlign w:val="center"/>
                </w:tcPr>
                <w:p w14:paraId="146464F6">
                  <w:pPr>
                    <w:pStyle w:val="29"/>
                  </w:pPr>
                </w:p>
              </w:tc>
              <w:tc>
                <w:tcPr>
                  <w:tcW w:w="637" w:type="dxa"/>
                  <w:vMerge w:val="continue"/>
                  <w:vAlign w:val="center"/>
                </w:tcPr>
                <w:p w14:paraId="6A81FB3F">
                  <w:pPr>
                    <w:pStyle w:val="29"/>
                  </w:pPr>
                </w:p>
              </w:tc>
            </w:tr>
            <w:tr w14:paraId="61D620CB">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340" w:hRule="atLeast"/>
              </w:trPr>
              <w:tc>
                <w:tcPr>
                  <w:tcW w:w="582" w:type="dxa"/>
                  <w:vAlign w:val="center"/>
                </w:tcPr>
                <w:p w14:paraId="77F99D79">
                  <w:pPr>
                    <w:pStyle w:val="29"/>
                  </w:pPr>
                  <w:r>
                    <w:rPr>
                      <w:rFonts w:eastAsiaTheme="minorEastAsia"/>
                    </w:rPr>
                    <w:t>非正常排放</w:t>
                  </w:r>
                </w:p>
              </w:tc>
              <w:tc>
                <w:tcPr>
                  <w:tcW w:w="5657" w:type="dxa"/>
                  <w:gridSpan w:val="2"/>
                  <w:vAlign w:val="center"/>
                </w:tcPr>
                <w:p w14:paraId="3E1B1DAC">
                  <w:pPr>
                    <w:pStyle w:val="29"/>
                  </w:pPr>
                  <w:r>
                    <w:rPr>
                      <w:rFonts w:eastAsiaTheme="minorEastAsia"/>
                    </w:rPr>
                    <w:t>载有VOCs物料的设备及其管道在开停工（车）、检维修和清洗时，应在退料阶段将残存物料退净，并用密闭容器盛装，退料过程废气应排至VOCs废气收集处理系统；清洗及吹扫过程排气应排至VOCs废气收集处理系统。</w:t>
                  </w:r>
                </w:p>
              </w:tc>
              <w:tc>
                <w:tcPr>
                  <w:tcW w:w="2222" w:type="dxa"/>
                  <w:vAlign w:val="center"/>
                </w:tcPr>
                <w:p w14:paraId="314E2CEC">
                  <w:pPr>
                    <w:pStyle w:val="29"/>
                  </w:pPr>
                  <w:r>
                    <w:rPr>
                      <w:rFonts w:eastAsiaTheme="minorEastAsia"/>
                    </w:rPr>
                    <w:t>项目VOCs治理设施应与生产工艺设备同步运行，若发生故障或检修时需严格按照要求执行</w:t>
                  </w:r>
                </w:p>
              </w:tc>
              <w:tc>
                <w:tcPr>
                  <w:tcW w:w="637" w:type="dxa"/>
                  <w:vAlign w:val="center"/>
                </w:tcPr>
                <w:p w14:paraId="1F1E209E">
                  <w:pPr>
                    <w:pStyle w:val="29"/>
                  </w:pPr>
                  <w:r>
                    <w:rPr>
                      <w:rFonts w:eastAsiaTheme="minorEastAsia"/>
                    </w:rPr>
                    <w:t>相符</w:t>
                  </w:r>
                </w:p>
              </w:tc>
            </w:tr>
          </w:tbl>
          <w:p w14:paraId="6540F49B">
            <w:pPr>
              <w:pStyle w:val="29"/>
            </w:pPr>
            <w:r>
              <w:t>末端治理</w:t>
            </w:r>
          </w:p>
          <w:tbl>
            <w:tblPr>
              <w:tblStyle w:val="21"/>
              <w:tblW w:w="5000" w:type="pct"/>
              <w:tblInd w:w="0" w:type="dxa"/>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28" w:type="dxa"/>
                <w:bottom w:w="0" w:type="dxa"/>
                <w:right w:w="28" w:type="dxa"/>
              </w:tblCellMar>
            </w:tblPr>
            <w:tblGrid>
              <w:gridCol w:w="513"/>
              <w:gridCol w:w="5753"/>
              <w:gridCol w:w="2203"/>
              <w:gridCol w:w="718"/>
            </w:tblGrid>
            <w:tr w14:paraId="2F1082AF">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565" w:hRule="atLeast"/>
              </w:trPr>
              <w:tc>
                <w:tcPr>
                  <w:tcW w:w="279" w:type="pct"/>
                  <w:vAlign w:val="center"/>
                </w:tcPr>
                <w:p w14:paraId="15D7EB3C">
                  <w:pPr>
                    <w:pStyle w:val="29"/>
                  </w:pPr>
                  <w:r>
                    <w:t>废气收集</w:t>
                  </w:r>
                </w:p>
              </w:tc>
              <w:tc>
                <w:tcPr>
                  <w:tcW w:w="3131" w:type="pct"/>
                  <w:vAlign w:val="center"/>
                </w:tcPr>
                <w:p w14:paraId="17681E36">
                  <w:pPr>
                    <w:pStyle w:val="29"/>
                  </w:pPr>
                  <w:r>
                    <w:t>废气收集系统的输送管道应密闭。废气收集系统应在负压下运行，若处于正压状态，应对管道组件的密封点进行泄漏检测，泄漏检测值不应超过500μmol/mol，亦不应有感官可察觉泄漏。</w:t>
                  </w:r>
                </w:p>
              </w:tc>
              <w:tc>
                <w:tcPr>
                  <w:tcW w:w="1199" w:type="pct"/>
                  <w:vAlign w:val="center"/>
                </w:tcPr>
                <w:p w14:paraId="105BC70D">
                  <w:pPr>
                    <w:pStyle w:val="29"/>
                  </w:pPr>
                  <w:r>
                    <w:t>项目废气收集系统的输送管道密闭</w:t>
                  </w:r>
                </w:p>
              </w:tc>
              <w:tc>
                <w:tcPr>
                  <w:tcW w:w="391" w:type="pct"/>
                  <w:vAlign w:val="center"/>
                </w:tcPr>
                <w:p w14:paraId="2BEFF180">
                  <w:pPr>
                    <w:pStyle w:val="29"/>
                  </w:pPr>
                  <w:r>
                    <w:t>相符</w:t>
                  </w:r>
                </w:p>
              </w:tc>
            </w:tr>
            <w:tr w14:paraId="4A0D06D8">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254" w:hRule="atLeast"/>
              </w:trPr>
              <w:tc>
                <w:tcPr>
                  <w:tcW w:w="279" w:type="pct"/>
                  <w:vAlign w:val="center"/>
                </w:tcPr>
                <w:p w14:paraId="27723C7B">
                  <w:pPr>
                    <w:pStyle w:val="29"/>
                  </w:pPr>
                  <w:r>
                    <w:t>排放水平</w:t>
                  </w:r>
                </w:p>
              </w:tc>
              <w:tc>
                <w:tcPr>
                  <w:tcW w:w="3131" w:type="pct"/>
                  <w:vAlign w:val="center"/>
                </w:tcPr>
                <w:p w14:paraId="64870A68">
                  <w:pPr>
                    <w:pStyle w:val="29"/>
                  </w:pPr>
                  <w:r>
                    <w:t>塑料制品行业：a）有机废气排气筒排放浓度不高于广东省《大气污染物排放限值》（DB4427-2001）第Ⅱ时段排放限值，合成革和人造革制造企业排放浓度不高于《合成革与人造革工业污染物排放标准》（GB21902-2008）排放限值，若国家和我省出台并实施适用于塑料制品制造业的大气污染物排放标准，则有机废气排气筒排放浓度不高于相应的排放限值；车间或生产设施排气中NMHC初始排放速率≥3kg/h时，建设VOCs处理设施且处理效率≥80%；b）厂区内无组织排放监控点NMHC的小时平均浓度值不超过6mg/m</w:t>
                  </w:r>
                  <w:r>
                    <w:rPr>
                      <w:vertAlign w:val="superscript"/>
                    </w:rPr>
                    <w:t>3</w:t>
                  </w:r>
                  <w:r>
                    <w:t>，任意一次浓度值不超过20mg/m</w:t>
                  </w:r>
                  <w:r>
                    <w:rPr>
                      <w:vertAlign w:val="superscript"/>
                    </w:rPr>
                    <w:t>3</w:t>
                  </w:r>
                  <w:r>
                    <w:t>。</w:t>
                  </w:r>
                </w:p>
              </w:tc>
              <w:tc>
                <w:tcPr>
                  <w:tcW w:w="1199" w:type="pct"/>
                  <w:vAlign w:val="center"/>
                </w:tcPr>
                <w:p w14:paraId="2BA71BD0">
                  <w:pPr>
                    <w:pStyle w:val="29"/>
                  </w:pPr>
                  <w:r>
                    <w:t>项目生产过程中产生的有机废气，拟采取半密闭设备收集后经</w:t>
                  </w:r>
                  <w:r>
                    <w:rPr>
                      <w:rFonts w:ascii="宋体" w:hAnsi="宋体"/>
                    </w:rPr>
                    <w:t>“</w:t>
                  </w:r>
                  <w:r>
                    <w:t>喷淋塔+干式过滤器+二级活性炭吸附</w:t>
                  </w:r>
                  <w:r>
                    <w:rPr>
                      <w:rFonts w:ascii="宋体" w:hAnsi="宋体"/>
                    </w:rPr>
                    <w:t>”</w:t>
                  </w:r>
                  <w:r>
                    <w:t>装置处理达标后通过65m排气筒高空排放，排放浓度达到相应限值</w:t>
                  </w:r>
                </w:p>
              </w:tc>
              <w:tc>
                <w:tcPr>
                  <w:tcW w:w="391" w:type="pct"/>
                  <w:vAlign w:val="center"/>
                </w:tcPr>
                <w:p w14:paraId="44E2C0D8">
                  <w:pPr>
                    <w:pStyle w:val="29"/>
                  </w:pPr>
                  <w:r>
                    <w:t>相符</w:t>
                  </w:r>
                </w:p>
              </w:tc>
            </w:tr>
            <w:tr w14:paraId="1231D7C1">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710" w:hRule="atLeast"/>
              </w:trPr>
              <w:tc>
                <w:tcPr>
                  <w:tcW w:w="279" w:type="pct"/>
                  <w:vMerge w:val="restart"/>
                  <w:vAlign w:val="center"/>
                </w:tcPr>
                <w:p w14:paraId="70CC6747">
                  <w:pPr>
                    <w:pStyle w:val="29"/>
                  </w:pPr>
                  <w:r>
                    <w:t>治理设施设计与运行管理</w:t>
                  </w:r>
                </w:p>
              </w:tc>
              <w:tc>
                <w:tcPr>
                  <w:tcW w:w="3131" w:type="pct"/>
                  <w:vAlign w:val="center"/>
                </w:tcPr>
                <w:p w14:paraId="6CA314B0">
                  <w:pPr>
                    <w:pStyle w:val="29"/>
                  </w:pPr>
                  <w:r>
                    <w:t>吸附床（含活性炭吸附法）：a）预处理设备应根据废气的成分、性质和影响吸附过程的物质性质及含量进行选择；b）吸附床层的吸附剂用量应根据废气处理量、污染物浓度和吸附剂的动态吸附量确定；c）吸附剂应及时更换或有效再生。</w:t>
                  </w:r>
                </w:p>
              </w:tc>
              <w:tc>
                <w:tcPr>
                  <w:tcW w:w="1199" w:type="pct"/>
                  <w:vAlign w:val="center"/>
                </w:tcPr>
                <w:p w14:paraId="475D948E">
                  <w:pPr>
                    <w:pStyle w:val="29"/>
                  </w:pPr>
                  <w:r>
                    <w:t>项目活性炭用量根据废气处理量、污染物浓度和吸附剂动态吸附量确定；废活性炭每三个月更换一次并委托有资质单位处理</w:t>
                  </w:r>
                </w:p>
              </w:tc>
              <w:tc>
                <w:tcPr>
                  <w:tcW w:w="391" w:type="pct"/>
                  <w:vAlign w:val="center"/>
                </w:tcPr>
                <w:p w14:paraId="6C18E5B9">
                  <w:pPr>
                    <w:pStyle w:val="29"/>
                  </w:pPr>
                  <w:r>
                    <w:t>相符</w:t>
                  </w:r>
                </w:p>
              </w:tc>
            </w:tr>
            <w:tr w14:paraId="7BDFAF3E">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704" w:hRule="atLeast"/>
              </w:trPr>
              <w:tc>
                <w:tcPr>
                  <w:tcW w:w="279" w:type="pct"/>
                  <w:vMerge w:val="continue"/>
                  <w:vAlign w:val="center"/>
                </w:tcPr>
                <w:p w14:paraId="1D2ED02C">
                  <w:pPr>
                    <w:pStyle w:val="29"/>
                  </w:pPr>
                </w:p>
              </w:tc>
              <w:tc>
                <w:tcPr>
                  <w:tcW w:w="3131" w:type="pct"/>
                  <w:vAlign w:val="center"/>
                </w:tcPr>
                <w:p w14:paraId="27F4DF49">
                  <w:pPr>
                    <w:pStyle w:val="29"/>
                  </w:pPr>
                  <w:r>
                    <w:t>VOCs治理设施应与生产工艺设备同步运行，VOCs治理设施发生故障或检修时，对应的生产工艺设备应停止运行，待检修完毕后同步投入使用；生产工艺设备不能停止运行或不能及时停止运行的，应设置废气应急处理设施或采取其他替代措施。</w:t>
                  </w:r>
                </w:p>
              </w:tc>
              <w:tc>
                <w:tcPr>
                  <w:tcW w:w="1199" w:type="pct"/>
                  <w:vAlign w:val="center"/>
                </w:tcPr>
                <w:p w14:paraId="7826A8F1">
                  <w:pPr>
                    <w:pStyle w:val="29"/>
                  </w:pPr>
                  <w:r>
                    <w:t>项目VOCs治理设施应与生产工艺设备同步运行</w:t>
                  </w:r>
                </w:p>
              </w:tc>
              <w:tc>
                <w:tcPr>
                  <w:tcW w:w="391" w:type="pct"/>
                  <w:vAlign w:val="center"/>
                </w:tcPr>
                <w:p w14:paraId="7E2C12F1">
                  <w:pPr>
                    <w:pStyle w:val="29"/>
                  </w:pPr>
                  <w:r>
                    <w:t>相符</w:t>
                  </w:r>
                </w:p>
              </w:tc>
            </w:tr>
            <w:tr w14:paraId="38CBFD6C">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155" w:hRule="atLeast"/>
              </w:trPr>
              <w:tc>
                <w:tcPr>
                  <w:tcW w:w="5000" w:type="pct"/>
                  <w:gridSpan w:val="4"/>
                  <w:vAlign w:val="center"/>
                </w:tcPr>
                <w:p w14:paraId="4F52DBED">
                  <w:pPr>
                    <w:pStyle w:val="29"/>
                  </w:pPr>
                  <w:r>
                    <w:t>环境管理</w:t>
                  </w:r>
                </w:p>
              </w:tc>
            </w:tr>
            <w:tr w14:paraId="06C54DAB">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433" w:hRule="atLeast"/>
              </w:trPr>
              <w:tc>
                <w:tcPr>
                  <w:tcW w:w="279" w:type="pct"/>
                  <w:vMerge w:val="restart"/>
                  <w:vAlign w:val="center"/>
                </w:tcPr>
                <w:p w14:paraId="04C5E869">
                  <w:pPr>
                    <w:pStyle w:val="29"/>
                  </w:pPr>
                  <w:r>
                    <w:t>管理台账</w:t>
                  </w:r>
                </w:p>
                <w:p w14:paraId="3771C542">
                  <w:pPr>
                    <w:pStyle w:val="29"/>
                  </w:pPr>
                </w:p>
              </w:tc>
              <w:tc>
                <w:tcPr>
                  <w:tcW w:w="3131" w:type="pct"/>
                  <w:vAlign w:val="center"/>
                </w:tcPr>
                <w:p w14:paraId="22A948E6">
                  <w:pPr>
                    <w:pStyle w:val="29"/>
                  </w:pPr>
                  <w:r>
                    <w:t>建立含VOCs原辅材料台账，记录含VOCs原辅材料的名称及其VOCs含量、采购量、使用量、库存量、含VOCs原辅材料回收方式及回收量。</w:t>
                  </w:r>
                </w:p>
              </w:tc>
              <w:tc>
                <w:tcPr>
                  <w:tcW w:w="1199" w:type="pct"/>
                  <w:vMerge w:val="restart"/>
                  <w:vAlign w:val="center"/>
                </w:tcPr>
                <w:p w14:paraId="535E63D0">
                  <w:pPr>
                    <w:pStyle w:val="29"/>
                  </w:pPr>
                  <w:r>
                    <w:t>项目按相关要求建立台账</w:t>
                  </w:r>
                </w:p>
              </w:tc>
              <w:tc>
                <w:tcPr>
                  <w:tcW w:w="391" w:type="pct"/>
                  <w:vMerge w:val="restart"/>
                  <w:vAlign w:val="center"/>
                </w:tcPr>
                <w:p w14:paraId="67280E9B">
                  <w:pPr>
                    <w:pStyle w:val="29"/>
                  </w:pPr>
                  <w:r>
                    <w:t>相符</w:t>
                  </w:r>
                </w:p>
              </w:tc>
            </w:tr>
            <w:tr w14:paraId="4603C3D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572" w:hRule="atLeast"/>
              </w:trPr>
              <w:tc>
                <w:tcPr>
                  <w:tcW w:w="279" w:type="pct"/>
                  <w:vMerge w:val="continue"/>
                  <w:vAlign w:val="center"/>
                </w:tcPr>
                <w:p w14:paraId="5A41482D">
                  <w:pPr>
                    <w:pStyle w:val="29"/>
                  </w:pPr>
                </w:p>
              </w:tc>
              <w:tc>
                <w:tcPr>
                  <w:tcW w:w="3131" w:type="pct"/>
                  <w:vAlign w:val="center"/>
                </w:tcPr>
                <w:p w14:paraId="157AC2E3">
                  <w:pPr>
                    <w:pStyle w:val="29"/>
                  </w:pPr>
                  <w:r>
                    <w:t>建立废气收集处理设施台账，记录废气处理设施进出口的监测数据（废气量、浓度、温度、含氧量等）、废气收集与处理设施关键参数、废气处理设施相关耗材（吸收剂、吸附剂、催化剂等）购买和处理记录。</w:t>
                  </w:r>
                </w:p>
              </w:tc>
              <w:tc>
                <w:tcPr>
                  <w:tcW w:w="1199" w:type="pct"/>
                  <w:vMerge w:val="continue"/>
                  <w:vAlign w:val="center"/>
                </w:tcPr>
                <w:p w14:paraId="21933E75">
                  <w:pPr>
                    <w:pStyle w:val="29"/>
                  </w:pPr>
                </w:p>
              </w:tc>
              <w:tc>
                <w:tcPr>
                  <w:tcW w:w="391" w:type="pct"/>
                  <w:vMerge w:val="continue"/>
                  <w:vAlign w:val="center"/>
                </w:tcPr>
                <w:p w14:paraId="28CFC6A0">
                  <w:pPr>
                    <w:pStyle w:val="29"/>
                  </w:pPr>
                </w:p>
              </w:tc>
            </w:tr>
            <w:tr w14:paraId="1026735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294" w:hRule="atLeast"/>
              </w:trPr>
              <w:tc>
                <w:tcPr>
                  <w:tcW w:w="279" w:type="pct"/>
                  <w:vMerge w:val="continue"/>
                  <w:vAlign w:val="center"/>
                </w:tcPr>
                <w:p w14:paraId="197CCF2C">
                  <w:pPr>
                    <w:pStyle w:val="29"/>
                  </w:pPr>
                </w:p>
              </w:tc>
              <w:tc>
                <w:tcPr>
                  <w:tcW w:w="3131" w:type="pct"/>
                  <w:vAlign w:val="center"/>
                </w:tcPr>
                <w:p w14:paraId="64248A12">
                  <w:pPr>
                    <w:pStyle w:val="29"/>
                  </w:pPr>
                  <w:r>
                    <w:t>建立危废台账，整理危废处置合同、转移联单及危废处理方资质佐证材料。</w:t>
                  </w:r>
                </w:p>
              </w:tc>
              <w:tc>
                <w:tcPr>
                  <w:tcW w:w="1199" w:type="pct"/>
                  <w:vMerge w:val="continue"/>
                  <w:vAlign w:val="center"/>
                </w:tcPr>
                <w:p w14:paraId="68D1D27E">
                  <w:pPr>
                    <w:pStyle w:val="29"/>
                  </w:pPr>
                </w:p>
              </w:tc>
              <w:tc>
                <w:tcPr>
                  <w:tcW w:w="391" w:type="pct"/>
                  <w:vMerge w:val="continue"/>
                  <w:vAlign w:val="center"/>
                </w:tcPr>
                <w:p w14:paraId="54851293">
                  <w:pPr>
                    <w:pStyle w:val="29"/>
                  </w:pPr>
                </w:p>
              </w:tc>
            </w:tr>
            <w:tr w14:paraId="34F6FF4D">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155" w:hRule="atLeast"/>
              </w:trPr>
              <w:tc>
                <w:tcPr>
                  <w:tcW w:w="279" w:type="pct"/>
                  <w:vMerge w:val="continue"/>
                  <w:vAlign w:val="center"/>
                </w:tcPr>
                <w:p w14:paraId="2E236D3B">
                  <w:pPr>
                    <w:pStyle w:val="29"/>
                  </w:pPr>
                </w:p>
              </w:tc>
              <w:tc>
                <w:tcPr>
                  <w:tcW w:w="3131" w:type="pct"/>
                  <w:vAlign w:val="center"/>
                </w:tcPr>
                <w:p w14:paraId="202232BF">
                  <w:pPr>
                    <w:pStyle w:val="29"/>
                  </w:pPr>
                  <w:r>
                    <w:t>台账保存期限不少于3年。</w:t>
                  </w:r>
                </w:p>
              </w:tc>
              <w:tc>
                <w:tcPr>
                  <w:tcW w:w="1199" w:type="pct"/>
                  <w:vMerge w:val="continue"/>
                  <w:vAlign w:val="center"/>
                </w:tcPr>
                <w:p w14:paraId="5B0199B5">
                  <w:pPr>
                    <w:pStyle w:val="29"/>
                  </w:pPr>
                </w:p>
              </w:tc>
              <w:tc>
                <w:tcPr>
                  <w:tcW w:w="391" w:type="pct"/>
                  <w:vMerge w:val="continue"/>
                  <w:vAlign w:val="center"/>
                </w:tcPr>
                <w:p w14:paraId="6772AA2A">
                  <w:pPr>
                    <w:pStyle w:val="29"/>
                  </w:pPr>
                </w:p>
              </w:tc>
            </w:tr>
            <w:tr w14:paraId="001D263B">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433" w:hRule="atLeast"/>
              </w:trPr>
              <w:tc>
                <w:tcPr>
                  <w:tcW w:w="279" w:type="pct"/>
                  <w:vAlign w:val="center"/>
                </w:tcPr>
                <w:p w14:paraId="02ACF1FC">
                  <w:pPr>
                    <w:pStyle w:val="29"/>
                  </w:pPr>
                  <w:r>
                    <w:t>自行监测</w:t>
                  </w:r>
                </w:p>
              </w:tc>
              <w:tc>
                <w:tcPr>
                  <w:tcW w:w="3131" w:type="pct"/>
                  <w:vAlign w:val="center"/>
                </w:tcPr>
                <w:p w14:paraId="3FCC0F30">
                  <w:pPr>
                    <w:pStyle w:val="29"/>
                  </w:pPr>
                  <w:r>
                    <w:t>塑料制品行业简化管理排污单位废气排放口及无组织排放每年一次。</w:t>
                  </w:r>
                </w:p>
              </w:tc>
              <w:tc>
                <w:tcPr>
                  <w:tcW w:w="1199" w:type="pct"/>
                  <w:vAlign w:val="center"/>
                </w:tcPr>
                <w:p w14:paraId="126F7896">
                  <w:pPr>
                    <w:pStyle w:val="29"/>
                  </w:pPr>
                  <w:r>
                    <w:t>项目运营期按照相关规范要求开展自行监测工作。</w:t>
                  </w:r>
                </w:p>
              </w:tc>
              <w:tc>
                <w:tcPr>
                  <w:tcW w:w="391" w:type="pct"/>
                  <w:vAlign w:val="center"/>
                </w:tcPr>
                <w:p w14:paraId="5971DC4C">
                  <w:pPr>
                    <w:pStyle w:val="29"/>
                  </w:pPr>
                  <w:r>
                    <w:t>相符</w:t>
                  </w:r>
                </w:p>
              </w:tc>
            </w:tr>
            <w:tr w14:paraId="4D97F680">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90" w:hRule="atLeast"/>
              </w:trPr>
              <w:tc>
                <w:tcPr>
                  <w:tcW w:w="279" w:type="pct"/>
                  <w:vAlign w:val="center"/>
                </w:tcPr>
                <w:p w14:paraId="79505802">
                  <w:pPr>
                    <w:pStyle w:val="29"/>
                  </w:pPr>
                  <w:r>
                    <w:t>危废管理</w:t>
                  </w:r>
                </w:p>
              </w:tc>
              <w:tc>
                <w:tcPr>
                  <w:tcW w:w="3131" w:type="pct"/>
                  <w:vAlign w:val="center"/>
                </w:tcPr>
                <w:p w14:paraId="1A4D35DF">
                  <w:pPr>
                    <w:pStyle w:val="29"/>
                  </w:pPr>
                  <w:r>
                    <w:t>工艺过程产生的含VOCs废料（渣、液）应按照相关要求进行储存、转移和输送。盛装过VOCs物料的废包装容器应加盖密闭。</w:t>
                  </w:r>
                </w:p>
              </w:tc>
              <w:tc>
                <w:tcPr>
                  <w:tcW w:w="1199" w:type="pct"/>
                  <w:vAlign w:val="center"/>
                </w:tcPr>
                <w:p w14:paraId="1F187884">
                  <w:pPr>
                    <w:pStyle w:val="29"/>
                  </w:pPr>
                  <w:r>
                    <w:t>项目按要求管理危废</w:t>
                  </w:r>
                </w:p>
              </w:tc>
              <w:tc>
                <w:tcPr>
                  <w:tcW w:w="391" w:type="pct"/>
                  <w:vAlign w:val="center"/>
                </w:tcPr>
                <w:p w14:paraId="08D424E4">
                  <w:pPr>
                    <w:pStyle w:val="29"/>
                  </w:pPr>
                  <w:r>
                    <w:t>相符</w:t>
                  </w:r>
                </w:p>
              </w:tc>
            </w:tr>
            <w:tr w14:paraId="5D9E8BFE">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155" w:hRule="atLeast"/>
              </w:trPr>
              <w:tc>
                <w:tcPr>
                  <w:tcW w:w="5000" w:type="pct"/>
                  <w:gridSpan w:val="4"/>
                  <w:vAlign w:val="center"/>
                </w:tcPr>
                <w:p w14:paraId="59D864C4">
                  <w:pPr>
                    <w:pStyle w:val="29"/>
                  </w:pPr>
                  <w:r>
                    <w:t>其他</w:t>
                  </w:r>
                </w:p>
              </w:tc>
            </w:tr>
            <w:tr w14:paraId="2B9AF380">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294" w:hRule="atLeast"/>
              </w:trPr>
              <w:tc>
                <w:tcPr>
                  <w:tcW w:w="279" w:type="pct"/>
                  <w:vMerge w:val="restart"/>
                  <w:vAlign w:val="center"/>
                </w:tcPr>
                <w:p w14:paraId="266D727B">
                  <w:pPr>
                    <w:pStyle w:val="29"/>
                  </w:pPr>
                  <w:r>
                    <w:t>建设项目VOCs总量管理</w:t>
                  </w:r>
                </w:p>
              </w:tc>
              <w:tc>
                <w:tcPr>
                  <w:tcW w:w="3131" w:type="pct"/>
                  <w:vAlign w:val="center"/>
                </w:tcPr>
                <w:p w14:paraId="4FCD9F0A">
                  <w:pPr>
                    <w:pStyle w:val="29"/>
                  </w:pPr>
                  <w:r>
                    <w:t>新、改、扩建项目应执行总量替代制度，明确VOCs总量指标来源。</w:t>
                  </w:r>
                </w:p>
              </w:tc>
              <w:tc>
                <w:tcPr>
                  <w:tcW w:w="1199" w:type="pct"/>
                  <w:vMerge w:val="restart"/>
                  <w:vAlign w:val="center"/>
                </w:tcPr>
                <w:p w14:paraId="1E5B31FB">
                  <w:pPr>
                    <w:pStyle w:val="29"/>
                  </w:pPr>
                  <w:r>
                    <w:t>环评按相关要求核算VOCs总量；项目废气总量指标VOCs由惠州市生态环境局博罗分局分配</w:t>
                  </w:r>
                </w:p>
              </w:tc>
              <w:tc>
                <w:tcPr>
                  <w:tcW w:w="391" w:type="pct"/>
                  <w:vMerge w:val="restart"/>
                  <w:vAlign w:val="center"/>
                </w:tcPr>
                <w:p w14:paraId="2B991A84">
                  <w:pPr>
                    <w:pStyle w:val="29"/>
                  </w:pPr>
                  <w:r>
                    <w:t>相符</w:t>
                  </w:r>
                </w:p>
              </w:tc>
            </w:tr>
            <w:tr w14:paraId="15D28B0C">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587" w:hRule="atLeast"/>
              </w:trPr>
              <w:tc>
                <w:tcPr>
                  <w:tcW w:w="279" w:type="pct"/>
                  <w:vMerge w:val="continue"/>
                </w:tcPr>
                <w:p w14:paraId="727C3C28">
                  <w:pPr>
                    <w:ind w:firstLine="420"/>
                    <w:rPr>
                      <w:rFonts w:asciiTheme="majorBidi" w:hAnsiTheme="majorBidi" w:eastAsiaTheme="minorEastAsia" w:cstheme="majorBidi"/>
                      <w:color w:val="000000" w:themeColor="text1"/>
                      <w:kern w:val="2"/>
                      <w:sz w:val="21"/>
                      <w:szCs w:val="21"/>
                      <w14:textFill>
                        <w14:solidFill>
                          <w14:schemeClr w14:val="tx1"/>
                        </w14:solidFill>
                      </w14:textFill>
                    </w:rPr>
                  </w:pPr>
                </w:p>
              </w:tc>
              <w:tc>
                <w:tcPr>
                  <w:tcW w:w="3131" w:type="pct"/>
                </w:tcPr>
                <w:p w14:paraId="231CAF63">
                  <w:pPr>
                    <w:pStyle w:val="29"/>
                    <w:rPr>
                      <w:rFonts w:asciiTheme="majorBidi" w:hAnsiTheme="majorBidi" w:eastAsiaTheme="minorEastAsia" w:cstheme="majorBidi"/>
                      <w:color w:val="000000" w:themeColor="text1"/>
                      <w:kern w:val="2"/>
                      <w14:textFill>
                        <w14:solidFill>
                          <w14:schemeClr w14:val="tx1"/>
                        </w14:solidFill>
                      </w14:textFill>
                    </w:rPr>
                  </w:pPr>
                  <w:r>
                    <w:rPr>
                      <w:rFonts w:asciiTheme="majorBidi" w:hAnsiTheme="majorBidi" w:eastAsiaTheme="minorEastAsia" w:cstheme="majorBidi"/>
                      <w:color w:val="000000" w:themeColor="text1"/>
                      <w:kern w:val="2"/>
                      <w14:textFill>
                        <w14:solidFill>
                          <w14:schemeClr w14:val="tx1"/>
                        </w14:solidFill>
                      </w14:textFill>
                    </w:rPr>
                    <w:t>新、改、扩建项目和现有企业VOCs基准排放量计算参考《广东省重点行业挥发性有机物排放量计算方法核算》进行核算，若国家和我省出台适用于该行业的VOCs排放量计算方法，则参照其相关规定执行。</w:t>
                  </w:r>
                </w:p>
              </w:tc>
              <w:tc>
                <w:tcPr>
                  <w:tcW w:w="1199" w:type="pct"/>
                  <w:vMerge w:val="continue"/>
                </w:tcPr>
                <w:p w14:paraId="1E812F53">
                  <w:pPr>
                    <w:ind w:firstLine="420"/>
                    <w:rPr>
                      <w:rFonts w:asciiTheme="majorBidi" w:hAnsiTheme="majorBidi" w:eastAsiaTheme="minorEastAsia" w:cstheme="majorBidi"/>
                      <w:color w:val="000000" w:themeColor="text1"/>
                      <w:kern w:val="2"/>
                      <w:sz w:val="21"/>
                      <w:szCs w:val="21"/>
                      <w14:textFill>
                        <w14:solidFill>
                          <w14:schemeClr w14:val="tx1"/>
                        </w14:solidFill>
                      </w14:textFill>
                    </w:rPr>
                  </w:pPr>
                </w:p>
              </w:tc>
              <w:tc>
                <w:tcPr>
                  <w:tcW w:w="391" w:type="pct"/>
                  <w:vMerge w:val="continue"/>
                </w:tcPr>
                <w:p w14:paraId="5D014C22">
                  <w:pPr>
                    <w:ind w:firstLine="420"/>
                    <w:rPr>
                      <w:rFonts w:asciiTheme="majorBidi" w:hAnsiTheme="majorBidi" w:eastAsiaTheme="minorEastAsia" w:cstheme="majorBidi"/>
                      <w:color w:val="000000" w:themeColor="text1"/>
                      <w:kern w:val="2"/>
                      <w:sz w:val="21"/>
                      <w:szCs w:val="21"/>
                      <w14:textFill>
                        <w14:solidFill>
                          <w14:schemeClr w14:val="tx1"/>
                        </w14:solidFill>
                      </w14:textFill>
                    </w:rPr>
                  </w:pPr>
                </w:p>
              </w:tc>
            </w:tr>
          </w:tbl>
          <w:p w14:paraId="492D04E7">
            <w:pPr>
              <w:ind w:firstLine="480"/>
              <w:rPr>
                <w:rFonts w:asciiTheme="majorBidi" w:hAnsiTheme="majorBidi" w:eastAsiaTheme="minorEastAsia" w:cstheme="majorBidi"/>
                <w:color w:val="000000" w:themeColor="text1"/>
                <w:kern w:val="2"/>
                <w14:textFill>
                  <w14:solidFill>
                    <w14:schemeClr w14:val="tx1"/>
                  </w14:solidFill>
                </w14:textFill>
              </w:rPr>
            </w:pPr>
            <w:r>
              <w:rPr>
                <w:rFonts w:asciiTheme="majorBidi" w:hAnsiTheme="majorBidi" w:eastAsiaTheme="minorEastAsia" w:cstheme="majorBidi"/>
                <w:color w:val="000000" w:themeColor="text1"/>
                <w:kern w:val="2"/>
                <w14:textFill>
                  <w14:solidFill>
                    <w14:schemeClr w14:val="tx1"/>
                  </w14:solidFill>
                </w14:textFill>
              </w:rPr>
              <w:t>综上，项目符合《关于印发＜广东省涉VOCs重点行业治理指引＞的通知》（粤环办〔2021〕43号）的相关要求。</w:t>
            </w:r>
          </w:p>
          <w:p w14:paraId="5F21FEF0">
            <w:pPr>
              <w:ind w:firstLine="482"/>
              <w:rPr>
                <w:rFonts w:asciiTheme="majorBidi" w:hAnsiTheme="majorBidi" w:eastAsiaTheme="minorEastAsia" w:cstheme="majorBidi"/>
                <w:b/>
                <w:bCs/>
                <w:color w:val="000000" w:themeColor="text1"/>
                <w:kern w:val="2"/>
                <w14:textFill>
                  <w14:solidFill>
                    <w14:schemeClr w14:val="tx1"/>
                  </w14:solidFill>
                </w14:textFill>
              </w:rPr>
            </w:pPr>
            <w:r>
              <w:rPr>
                <w:rFonts w:asciiTheme="majorBidi" w:hAnsiTheme="majorBidi" w:eastAsiaTheme="minorEastAsia" w:cstheme="majorBidi"/>
                <w:b/>
                <w:bCs/>
                <w:color w:val="000000" w:themeColor="text1"/>
                <w:kern w:val="2"/>
                <w14:textFill>
                  <w14:solidFill>
                    <w14:schemeClr w14:val="tx1"/>
                  </w14:solidFill>
                </w14:textFill>
              </w:rPr>
              <w:t>（十</w:t>
            </w:r>
            <w:r>
              <w:rPr>
                <w:rFonts w:hint="eastAsia" w:asciiTheme="majorBidi" w:hAnsiTheme="majorBidi" w:eastAsiaTheme="minorEastAsia" w:cstheme="majorBidi"/>
                <w:b/>
                <w:bCs/>
                <w:color w:val="000000" w:themeColor="text1"/>
                <w:kern w:val="2"/>
                <w14:textFill>
                  <w14:solidFill>
                    <w14:schemeClr w14:val="tx1"/>
                  </w14:solidFill>
                </w14:textFill>
              </w:rPr>
              <w:t>二</w:t>
            </w:r>
            <w:r>
              <w:rPr>
                <w:rFonts w:asciiTheme="majorBidi" w:hAnsiTheme="majorBidi" w:eastAsiaTheme="minorEastAsia" w:cstheme="majorBidi"/>
                <w:b/>
                <w:bCs/>
                <w:color w:val="000000" w:themeColor="text1"/>
                <w:kern w:val="2"/>
                <w14:textFill>
                  <w14:solidFill>
                    <w14:schemeClr w14:val="tx1"/>
                  </w14:solidFill>
                </w14:textFill>
              </w:rPr>
              <w:t>）与《广东省大气污染防治条例》（2022年修正）的相符性分析</w:t>
            </w:r>
          </w:p>
          <w:p w14:paraId="673C9A4C">
            <w:pPr>
              <w:ind w:firstLine="480"/>
              <w:rPr>
                <w:rFonts w:asciiTheme="majorBidi" w:hAnsiTheme="majorBidi" w:eastAsiaTheme="minorEastAsia" w:cstheme="majorBidi"/>
                <w:color w:val="000000" w:themeColor="text1"/>
                <w:kern w:val="2"/>
                <w14:textFill>
                  <w14:solidFill>
                    <w14:schemeClr w14:val="tx1"/>
                  </w14:solidFill>
                </w14:textFill>
              </w:rPr>
            </w:pPr>
            <w:r>
              <w:rPr>
                <w:rFonts w:asciiTheme="majorBidi" w:hAnsiTheme="majorBidi" w:eastAsiaTheme="minorEastAsia" w:cstheme="majorBidi"/>
                <w:color w:val="000000" w:themeColor="text1"/>
                <w:kern w:val="2"/>
                <w14:textFill>
                  <w14:solidFill>
                    <w14:schemeClr w14:val="tx1"/>
                  </w14:solidFill>
                </w14:textFill>
              </w:rPr>
              <w:t>第十三条：新建、改建、扩建新增排放重点大气污染物的建设项目，建设单位应当在报批环境影响评价文件前按照规定向生态环境主管部门申请取得重点大气污染物排放总量控制指标。生态环境主管部门按照等量或者减量替代的原则核定重点大气污染物排放总量控制指标。新增重点大气污染物排放总量控制指标可以通过实施工程治理减排、结构调整减排项目或者排污权交易等方式取得。</w:t>
            </w:r>
          </w:p>
          <w:p w14:paraId="3F0497A8">
            <w:pPr>
              <w:ind w:firstLine="480"/>
              <w:rPr>
                <w:rFonts w:asciiTheme="majorBidi" w:hAnsiTheme="majorBidi" w:eastAsiaTheme="minorEastAsia" w:cstheme="majorBidi"/>
                <w:color w:val="000000" w:themeColor="text1"/>
                <w:kern w:val="2"/>
                <w14:textFill>
                  <w14:solidFill>
                    <w14:schemeClr w14:val="tx1"/>
                  </w14:solidFill>
                </w14:textFill>
              </w:rPr>
            </w:pPr>
            <w:r>
              <w:rPr>
                <w:rFonts w:asciiTheme="majorBidi" w:hAnsiTheme="majorBidi" w:eastAsiaTheme="minorEastAsia" w:cstheme="majorBidi"/>
                <w:color w:val="000000" w:themeColor="text1"/>
                <w:kern w:val="2"/>
                <w14:textFill>
                  <w14:solidFill>
                    <w14:schemeClr w14:val="tx1"/>
                  </w14:solidFill>
                </w14:textFill>
              </w:rPr>
              <w:t>第十七条：珠江三角洲区域禁止新建、扩建燃煤燃油火电机组或者企业燃煤燃油自备电站。珠江三角洲区域禁止新建、扩建国家规划外的钢铁、原油加工、乙烯生产、造纸、水泥、平板玻璃、除特种陶瓷以外的陶瓷、有色金属冶炼等大气重污染项目。</w:t>
            </w:r>
          </w:p>
          <w:p w14:paraId="30D1AE01">
            <w:pPr>
              <w:ind w:firstLine="480"/>
              <w:rPr>
                <w:rFonts w:asciiTheme="majorBidi" w:hAnsiTheme="majorBidi" w:eastAsiaTheme="minorEastAsia" w:cstheme="majorBidi"/>
                <w:color w:val="000000" w:themeColor="text1"/>
                <w:kern w:val="2"/>
                <w14:textFill>
                  <w14:solidFill>
                    <w14:schemeClr w14:val="tx1"/>
                  </w14:solidFill>
                </w14:textFill>
              </w:rPr>
            </w:pPr>
            <w:r>
              <w:rPr>
                <w:rFonts w:asciiTheme="majorBidi" w:hAnsiTheme="majorBidi" w:eastAsiaTheme="minorEastAsia" w:cstheme="majorBidi"/>
                <w:color w:val="000000" w:themeColor="text1"/>
                <w:kern w:val="2"/>
                <w14:textFill>
                  <w14:solidFill>
                    <w14:schemeClr w14:val="tx1"/>
                  </w14:solidFill>
                </w14:textFill>
              </w:rPr>
              <w:t>第二十六条：新建、改建、扩建排放挥发性有机物的建设项目，应当使用污染防治先进可行技术。下列产生含挥发性有机物废气的生产和服务活动，应当优先使用低挥发性有机物含量的原材料和低排放环保工艺，在确保安全条件下，按照规定在密闭空间或者设备中进行，安装、使用满足防爆、防静电要求的治理效率高的污染防治设施；无法密闭或者不适宜密闭的，应当采取有效措施减少废气排放：石油、化工、煤炭加工与转化等含挥发性有机物原料的生产；燃油、溶剂的储存、运输和销售；涂料、油墨、胶粘剂、农药等以挥发性有机物为原料的生产；涂装、印刷、粘合、工业清洗等使用含挥发性有机物产品的生产活动；其他产生挥发性有机物的生产和服务活动。</w:t>
            </w:r>
          </w:p>
          <w:p w14:paraId="770D1827">
            <w:pPr>
              <w:ind w:firstLine="480"/>
              <w:rPr>
                <w:rFonts w:asciiTheme="majorBidi" w:hAnsiTheme="majorBidi" w:eastAsiaTheme="minorEastAsia" w:cstheme="majorBidi"/>
                <w:color w:val="000000" w:themeColor="text1"/>
                <w:kern w:val="2"/>
                <w14:textFill>
                  <w14:solidFill>
                    <w14:schemeClr w14:val="tx1"/>
                  </w14:solidFill>
                </w14:textFill>
              </w:rPr>
            </w:pPr>
            <w:r>
              <w:rPr>
                <w:rFonts w:asciiTheme="majorBidi" w:hAnsiTheme="majorBidi" w:eastAsiaTheme="minorEastAsia" w:cstheme="majorBidi"/>
                <w:color w:val="000000" w:themeColor="text1"/>
                <w:kern w:val="2"/>
                <w14:textFill>
                  <w14:solidFill>
                    <w14:schemeClr w14:val="tx1"/>
                  </w14:solidFill>
                </w14:textFill>
              </w:rPr>
              <w:t>第二十七条：工业涂装企业应当使用低挥发性有机物含量的涂料，并建立台账，如实记录生产原料、辅料的使用量、废弃量、去向以及挥发性有机物含量并向县级以上人民政府生态环境主管部门申报。台账保存期限不少于三年。</w:t>
            </w:r>
          </w:p>
          <w:p w14:paraId="4C648E6C">
            <w:pPr>
              <w:ind w:firstLine="480"/>
              <w:rPr>
                <w:rFonts w:asciiTheme="majorBidi" w:hAnsiTheme="majorBidi" w:eastAsiaTheme="minorEastAsia" w:cstheme="majorBidi"/>
                <w:color w:val="000000" w:themeColor="text1"/>
                <w:kern w:val="2"/>
                <w14:textFill>
                  <w14:solidFill>
                    <w14:schemeClr w14:val="tx1"/>
                  </w14:solidFill>
                </w14:textFill>
              </w:rPr>
            </w:pPr>
            <w:r>
              <w:rPr>
                <w:rFonts w:asciiTheme="majorBidi" w:hAnsiTheme="majorBidi" w:eastAsiaTheme="minorEastAsia" w:cstheme="majorBidi"/>
                <w:color w:val="000000" w:themeColor="text1"/>
                <w:kern w:val="2"/>
                <w14:textFill>
                  <w14:solidFill>
                    <w14:schemeClr w14:val="tx1"/>
                  </w14:solidFill>
                </w14:textFill>
              </w:rPr>
              <w:t>其他产生挥发性有机物的工业企业应当按照国家和省的有关规定，建立台账并向县级以上人民政府生态环境主管部门如实申报原辅材料使用等情况。台账保存期限不少于三年。</w:t>
            </w:r>
          </w:p>
          <w:p w14:paraId="5B488882">
            <w:pPr>
              <w:ind w:firstLine="482"/>
              <w:rPr>
                <w:rFonts w:asciiTheme="majorBidi" w:hAnsiTheme="majorBidi" w:eastAsiaTheme="minorEastAsia" w:cstheme="majorBidi"/>
                <w:color w:val="000000" w:themeColor="text1"/>
                <w:kern w:val="2"/>
                <w14:textFill>
                  <w14:solidFill>
                    <w14:schemeClr w14:val="tx1"/>
                  </w14:solidFill>
                </w14:textFill>
              </w:rPr>
            </w:pPr>
            <w:r>
              <w:rPr>
                <w:rFonts w:asciiTheme="majorBidi" w:hAnsiTheme="majorBidi" w:eastAsiaTheme="minorEastAsia" w:cstheme="majorBidi"/>
                <w:b/>
                <w:bCs/>
                <w:color w:val="000000" w:themeColor="text1"/>
                <w:kern w:val="2"/>
                <w:szCs w:val="32"/>
                <w14:textFill>
                  <w14:solidFill>
                    <w14:schemeClr w14:val="tx1"/>
                  </w14:solidFill>
                </w14:textFill>
              </w:rPr>
              <w:t>相符性分析：</w:t>
            </w:r>
            <w:r>
              <w:rPr>
                <w:rFonts w:asciiTheme="majorBidi" w:hAnsiTheme="majorBidi" w:eastAsiaTheme="minorEastAsia" w:cstheme="majorBidi"/>
                <w:color w:val="000000" w:themeColor="text1"/>
                <w:kern w:val="2"/>
                <w14:textFill>
                  <w14:solidFill>
                    <w14:schemeClr w14:val="tx1"/>
                  </w14:solidFill>
                </w14:textFill>
              </w:rPr>
              <w:t>本项目为新建项目，主要从事塑胶台灯上下盖、塑胶包装盒上下盖及塑胶零件的生产，不属于钢铁、原油加工、乙烯生产、造纸、水泥、平板玻璃、除特种陶瓷以外的陶瓷、有色金属冶炼等大气重污染项目。项目按照要求在报批环境影响评价文件前按照规定向惠州市生态环境局博罗分局申请取得重点大气污染物排放总量控制指标。项目主要污染因子为颗粒物、非甲烷总烃。项目注塑、喷漆及烘干、</w:t>
            </w:r>
            <w:r>
              <w:rPr>
                <w:rFonts w:asciiTheme="majorBidi" w:hAnsiTheme="majorBidi" w:eastAsiaTheme="minorEastAsia" w:cstheme="majorBidi"/>
                <w:color w:val="0000FF"/>
                <w:kern w:val="2"/>
              </w:rPr>
              <w:t>印刷</w:t>
            </w:r>
            <w:r>
              <w:rPr>
                <w:rFonts w:asciiTheme="majorBidi" w:hAnsiTheme="majorBidi" w:eastAsiaTheme="minorEastAsia" w:cstheme="majorBidi"/>
                <w:color w:val="000000" w:themeColor="text1"/>
                <w:kern w:val="2"/>
                <w14:textFill>
                  <w14:solidFill>
                    <w14:schemeClr w14:val="tx1"/>
                  </w14:solidFill>
                </w14:textFill>
              </w:rPr>
              <w:t>有机废气和漆雾废气收集后由</w:t>
            </w:r>
            <w:r>
              <w:rPr>
                <w:rFonts w:ascii="宋体" w:hAnsi="宋体" w:eastAsiaTheme="minorEastAsia" w:cstheme="majorBidi"/>
                <w:color w:val="000000" w:themeColor="text1"/>
                <w:kern w:val="2"/>
                <w14:textFill>
                  <w14:solidFill>
                    <w14:schemeClr w14:val="tx1"/>
                  </w14:solidFill>
                </w14:textFill>
              </w:rPr>
              <w:t>“</w:t>
            </w:r>
            <w:r>
              <w:rPr>
                <w:rFonts w:asciiTheme="majorBidi" w:hAnsiTheme="majorBidi" w:eastAsiaTheme="minorEastAsia" w:cstheme="majorBidi"/>
                <w:color w:val="000000" w:themeColor="text1"/>
                <w:kern w:val="2"/>
                <w14:textFill>
                  <w14:solidFill>
                    <w14:schemeClr w14:val="tx1"/>
                  </w14:solidFill>
                </w14:textFill>
              </w:rPr>
              <w:t>水喷淋+干式过滤+二级活性炭吸附</w:t>
            </w:r>
            <w:r>
              <w:rPr>
                <w:rFonts w:ascii="宋体" w:hAnsi="宋体" w:eastAsiaTheme="minorEastAsia" w:cstheme="majorBidi"/>
                <w:color w:val="000000" w:themeColor="text1"/>
                <w:kern w:val="2"/>
                <w14:textFill>
                  <w14:solidFill>
                    <w14:schemeClr w14:val="tx1"/>
                  </w14:solidFill>
                </w14:textFill>
              </w:rPr>
              <w:t>”</w:t>
            </w:r>
            <w:r>
              <w:rPr>
                <w:rFonts w:asciiTheme="majorBidi" w:hAnsiTheme="majorBidi" w:eastAsiaTheme="minorEastAsia" w:cstheme="majorBidi"/>
                <w:color w:val="000000" w:themeColor="text1"/>
                <w:kern w:val="2"/>
                <w14:textFill>
                  <w14:solidFill>
                    <w14:schemeClr w14:val="tx1"/>
                  </w14:solidFill>
                </w14:textFill>
              </w:rPr>
              <w:t>装置处理后经一根65米排气筒（DA001）排放。项目生产过程中产生的污染物采取有效防治措施，经处理后的废气均能达标排放；项目建立台账记录含VOCs原辅材料的使用量、废弃量、去向，台账保存期限不少于三年。</w:t>
            </w:r>
          </w:p>
          <w:p w14:paraId="55FB33BB">
            <w:pPr>
              <w:ind w:firstLine="482"/>
              <w:rPr>
                <w:rFonts w:asciiTheme="majorBidi" w:hAnsiTheme="majorBidi" w:eastAsiaTheme="minorEastAsia" w:cstheme="majorBidi"/>
                <w:b/>
                <w:bCs/>
                <w:color w:val="000000" w:themeColor="text1"/>
                <w:kern w:val="2"/>
                <w14:textFill>
                  <w14:solidFill>
                    <w14:schemeClr w14:val="tx1"/>
                  </w14:solidFill>
                </w14:textFill>
              </w:rPr>
            </w:pPr>
            <w:r>
              <w:rPr>
                <w:rFonts w:asciiTheme="majorBidi" w:hAnsiTheme="majorBidi" w:eastAsiaTheme="minorEastAsia" w:cstheme="majorBidi"/>
                <w:b/>
                <w:bCs/>
                <w:color w:val="000000" w:themeColor="text1"/>
                <w:kern w:val="2"/>
                <w14:textFill>
                  <w14:solidFill>
                    <w14:schemeClr w14:val="tx1"/>
                  </w14:solidFill>
                </w14:textFill>
              </w:rPr>
              <w:t>（十</w:t>
            </w:r>
            <w:r>
              <w:rPr>
                <w:rFonts w:hint="eastAsia" w:asciiTheme="majorBidi" w:hAnsiTheme="majorBidi" w:eastAsiaTheme="minorEastAsia" w:cstheme="majorBidi"/>
                <w:b/>
                <w:bCs/>
                <w:color w:val="000000" w:themeColor="text1"/>
                <w:kern w:val="2"/>
                <w14:textFill>
                  <w14:solidFill>
                    <w14:schemeClr w14:val="tx1"/>
                  </w14:solidFill>
                </w14:textFill>
              </w:rPr>
              <w:t>三</w:t>
            </w:r>
            <w:r>
              <w:rPr>
                <w:rFonts w:asciiTheme="majorBidi" w:hAnsiTheme="majorBidi" w:eastAsiaTheme="minorEastAsia" w:cstheme="majorBidi"/>
                <w:b/>
                <w:bCs/>
                <w:color w:val="000000" w:themeColor="text1"/>
                <w:kern w:val="2"/>
                <w14:textFill>
                  <w14:solidFill>
                    <w14:schemeClr w14:val="tx1"/>
                  </w14:solidFill>
                </w14:textFill>
              </w:rPr>
              <w:t>）与《惠州市人民政府关于印发惠州市生态环境保护</w:t>
            </w:r>
            <w:r>
              <w:rPr>
                <w:rFonts w:ascii="宋体" w:hAnsi="宋体" w:eastAsiaTheme="minorEastAsia" w:cstheme="majorBidi"/>
                <w:b/>
                <w:bCs/>
                <w:color w:val="000000" w:themeColor="text1"/>
                <w:kern w:val="2"/>
                <w14:textFill>
                  <w14:solidFill>
                    <w14:schemeClr w14:val="tx1"/>
                  </w14:solidFill>
                </w14:textFill>
              </w:rPr>
              <w:t>“</w:t>
            </w:r>
            <w:r>
              <w:rPr>
                <w:rFonts w:asciiTheme="majorBidi" w:hAnsiTheme="majorBidi" w:eastAsiaTheme="minorEastAsia" w:cstheme="majorBidi"/>
                <w:b/>
                <w:bCs/>
                <w:color w:val="000000" w:themeColor="text1"/>
                <w:kern w:val="2"/>
                <w14:textFill>
                  <w14:solidFill>
                    <w14:schemeClr w14:val="tx1"/>
                  </w14:solidFill>
                </w14:textFill>
              </w:rPr>
              <w:t>十四五</w:t>
            </w:r>
            <w:r>
              <w:rPr>
                <w:rFonts w:ascii="宋体" w:hAnsi="宋体" w:eastAsiaTheme="minorEastAsia" w:cstheme="majorBidi"/>
                <w:b/>
                <w:bCs/>
                <w:color w:val="000000" w:themeColor="text1"/>
                <w:kern w:val="2"/>
                <w14:textFill>
                  <w14:solidFill>
                    <w14:schemeClr w14:val="tx1"/>
                  </w14:solidFill>
                </w14:textFill>
              </w:rPr>
              <w:t>”</w:t>
            </w:r>
            <w:r>
              <w:rPr>
                <w:rFonts w:asciiTheme="majorBidi" w:hAnsiTheme="majorBidi" w:eastAsiaTheme="minorEastAsia" w:cstheme="majorBidi"/>
                <w:b/>
                <w:bCs/>
                <w:color w:val="000000" w:themeColor="text1"/>
                <w:kern w:val="2"/>
                <w14:textFill>
                  <w14:solidFill>
                    <w14:schemeClr w14:val="tx1"/>
                  </w14:solidFill>
                </w14:textFill>
              </w:rPr>
              <w:t>规划的通知》（惠府〔2022〕11号）的相符性分析</w:t>
            </w:r>
          </w:p>
          <w:p w14:paraId="54411CF3">
            <w:pPr>
              <w:ind w:firstLine="480"/>
              <w:rPr>
                <w:b/>
                <w:bCs/>
              </w:rPr>
            </w:pPr>
            <w:r>
              <w:t>根据《惠州市生态环境保护</w:t>
            </w:r>
            <w:r>
              <w:rPr>
                <w:rFonts w:ascii="宋体" w:hAnsi="宋体"/>
              </w:rPr>
              <w:t>“</w:t>
            </w:r>
            <w:r>
              <w:t>十四五</w:t>
            </w:r>
            <w:r>
              <w:rPr>
                <w:rFonts w:ascii="宋体" w:hAnsi="宋体"/>
              </w:rPr>
              <w:t>”</w:t>
            </w:r>
            <w:r>
              <w:t>规划》，提出：禁止建设生产和使用高VOCs含量的溶剂型涂料、油墨、胶粘剂等项目。落实建设项目VOCs削减替代制度。严格执行重金属污染物排放标准，加强涉重金属行业污染管控，将涉镉等重金属行业企业纳入大气、水污染物重点排污单位名录。</w:t>
            </w:r>
          </w:p>
          <w:p w14:paraId="4A2D1746">
            <w:pPr>
              <w:ind w:firstLine="480"/>
              <w:rPr>
                <w:b/>
                <w:bCs/>
              </w:rPr>
            </w:pPr>
            <w:r>
              <w:t>相符性分析：本项目运营期不涉及重金属镉，涉及VOCs原辅材料属于VOCs含量低的物料，运营期产生的挥发性有机废气半密闭收集装置收集后进入</w:t>
            </w:r>
            <w:r>
              <w:rPr>
                <w:rFonts w:ascii="宋体" w:hAnsi="宋体"/>
              </w:rPr>
              <w:t>“</w:t>
            </w:r>
            <w:r>
              <w:t>水喷淋+干式过滤+二级活性炭吸附装置</w:t>
            </w:r>
            <w:r>
              <w:rPr>
                <w:rFonts w:ascii="宋体" w:hAnsi="宋体"/>
              </w:rPr>
              <w:t>”</w:t>
            </w:r>
            <w:r>
              <w:t>处理后经1根65米高排气筒DA001排放。因此，本项目的建设符合《惠州市生态环境保护</w:t>
            </w:r>
            <w:r>
              <w:rPr>
                <w:rFonts w:ascii="宋体" w:hAnsi="宋体"/>
              </w:rPr>
              <w:t>“</w:t>
            </w:r>
            <w:r>
              <w:t>十四五</w:t>
            </w:r>
            <w:r>
              <w:rPr>
                <w:rFonts w:ascii="宋体" w:hAnsi="宋体"/>
              </w:rPr>
              <w:t>”</w:t>
            </w:r>
            <w:r>
              <w:t>规划》的相应要求。</w:t>
            </w:r>
          </w:p>
          <w:p w14:paraId="4D6B59F6">
            <w:pPr>
              <w:ind w:firstLine="482"/>
              <w:rPr>
                <w:rFonts w:asciiTheme="majorBidi" w:hAnsiTheme="majorBidi" w:eastAsiaTheme="minorEastAsia" w:cstheme="majorBidi"/>
                <w:b/>
                <w:bCs/>
                <w:color w:val="000000" w:themeColor="text1"/>
                <w14:textFill>
                  <w14:solidFill>
                    <w14:schemeClr w14:val="tx1"/>
                  </w14:solidFill>
                </w14:textFill>
              </w:rPr>
            </w:pPr>
            <w:r>
              <w:rPr>
                <w:rFonts w:asciiTheme="majorBidi" w:hAnsiTheme="majorBidi" w:eastAsiaTheme="minorEastAsia" w:cstheme="majorBidi"/>
                <w:b/>
                <w:bCs/>
                <w:color w:val="000000" w:themeColor="text1"/>
                <w:kern w:val="2"/>
                <w14:textFill>
                  <w14:solidFill>
                    <w14:schemeClr w14:val="tx1"/>
                  </w14:solidFill>
                </w14:textFill>
              </w:rPr>
              <w:t>（十</w:t>
            </w:r>
            <w:r>
              <w:rPr>
                <w:rFonts w:hint="eastAsia" w:asciiTheme="majorBidi" w:hAnsiTheme="majorBidi" w:eastAsiaTheme="minorEastAsia" w:cstheme="majorBidi"/>
                <w:b/>
                <w:bCs/>
                <w:color w:val="000000" w:themeColor="text1"/>
                <w:kern w:val="2"/>
                <w14:textFill>
                  <w14:solidFill>
                    <w14:schemeClr w14:val="tx1"/>
                  </w14:solidFill>
                </w14:textFill>
              </w:rPr>
              <w:t>四</w:t>
            </w:r>
            <w:r>
              <w:rPr>
                <w:rFonts w:asciiTheme="majorBidi" w:hAnsiTheme="majorBidi" w:eastAsiaTheme="minorEastAsia" w:cstheme="majorBidi"/>
                <w:b/>
                <w:bCs/>
                <w:color w:val="000000" w:themeColor="text1"/>
                <w:kern w:val="2"/>
                <w14:textFill>
                  <w14:solidFill>
                    <w14:schemeClr w14:val="tx1"/>
                  </w14:solidFill>
                </w14:textFill>
              </w:rPr>
              <w:t>）与《</w:t>
            </w:r>
            <w:r>
              <w:rPr>
                <w:rFonts w:asciiTheme="majorBidi" w:hAnsiTheme="majorBidi" w:eastAsiaTheme="minorEastAsia" w:cstheme="majorBidi"/>
                <w:b/>
                <w:bCs/>
                <w:color w:val="000000" w:themeColor="text1"/>
                <w14:textFill>
                  <w14:solidFill>
                    <w14:schemeClr w14:val="tx1"/>
                  </w14:solidFill>
                </w14:textFill>
              </w:rPr>
              <w:t>博罗县人民政府关于印发博罗县生态环境保护</w:t>
            </w:r>
            <w:r>
              <w:rPr>
                <w:rFonts w:ascii="宋体" w:hAnsi="宋体" w:eastAsiaTheme="minorEastAsia" w:cstheme="majorBidi"/>
                <w:b/>
                <w:bCs/>
                <w:color w:val="000000" w:themeColor="text1"/>
                <w14:textFill>
                  <w14:solidFill>
                    <w14:schemeClr w14:val="tx1"/>
                  </w14:solidFill>
                </w14:textFill>
              </w:rPr>
              <w:t>“</w:t>
            </w:r>
            <w:r>
              <w:rPr>
                <w:rFonts w:asciiTheme="majorBidi" w:hAnsiTheme="majorBidi" w:eastAsiaTheme="minorEastAsia" w:cstheme="majorBidi"/>
                <w:b/>
                <w:bCs/>
                <w:color w:val="000000" w:themeColor="text1"/>
                <w14:textFill>
                  <w14:solidFill>
                    <w14:schemeClr w14:val="tx1"/>
                  </w14:solidFill>
                </w14:textFill>
              </w:rPr>
              <w:t>十四五</w:t>
            </w:r>
            <w:r>
              <w:rPr>
                <w:rFonts w:ascii="宋体" w:hAnsi="宋体" w:eastAsiaTheme="minorEastAsia" w:cstheme="majorBidi"/>
                <w:b/>
                <w:bCs/>
                <w:color w:val="000000" w:themeColor="text1"/>
                <w14:textFill>
                  <w14:solidFill>
                    <w14:schemeClr w14:val="tx1"/>
                  </w14:solidFill>
                </w14:textFill>
              </w:rPr>
              <w:t>”</w:t>
            </w:r>
            <w:r>
              <w:rPr>
                <w:rFonts w:asciiTheme="majorBidi" w:hAnsiTheme="majorBidi" w:eastAsiaTheme="minorEastAsia" w:cstheme="majorBidi"/>
                <w:b/>
                <w:bCs/>
                <w:color w:val="000000" w:themeColor="text1"/>
                <w14:textFill>
                  <w14:solidFill>
                    <w14:schemeClr w14:val="tx1"/>
                  </w14:solidFill>
                </w14:textFill>
              </w:rPr>
              <w:t>规划的通知</w:t>
            </w:r>
            <w:r>
              <w:rPr>
                <w:rFonts w:asciiTheme="majorBidi" w:hAnsiTheme="majorBidi" w:eastAsiaTheme="minorEastAsia" w:cstheme="majorBidi"/>
                <w:b/>
                <w:bCs/>
                <w:color w:val="000000" w:themeColor="text1"/>
                <w:kern w:val="2"/>
                <w14:textFill>
                  <w14:solidFill>
                    <w14:schemeClr w14:val="tx1"/>
                  </w14:solidFill>
                </w14:textFill>
              </w:rPr>
              <w:t>》（博府〔2023〕11号）的相符性分析</w:t>
            </w:r>
          </w:p>
          <w:p w14:paraId="7C81E3F6">
            <w:pPr>
              <w:ind w:firstLine="480"/>
              <w:rPr>
                <w:b/>
                <w:bCs/>
              </w:rPr>
            </w:pPr>
            <w:r>
              <w:t>根据《博罗县生态环境保护</w:t>
            </w:r>
            <w:r>
              <w:rPr>
                <w:rFonts w:ascii="宋体" w:hAnsi="宋体"/>
              </w:rPr>
              <w:t>“</w:t>
            </w:r>
            <w:r>
              <w:t>十四五</w:t>
            </w:r>
            <w:r>
              <w:rPr>
                <w:rFonts w:ascii="宋体" w:hAnsi="宋体"/>
              </w:rPr>
              <w:t>”</w:t>
            </w:r>
            <w:r>
              <w:t>规划》提出：重点帮扶VOCs排放大户，从企业源头替代、过程管理、无组织管控、末端治理等方面进行全过程技术评估，</w:t>
            </w:r>
            <w:r>
              <w:rPr>
                <w:rFonts w:ascii="宋体" w:hAnsi="宋体"/>
              </w:rPr>
              <w:t>“</w:t>
            </w:r>
            <w:r>
              <w:t>一行一策、一企一策</w:t>
            </w:r>
            <w:r>
              <w:rPr>
                <w:rFonts w:ascii="宋体" w:hAnsi="宋体"/>
              </w:rPr>
              <w:t>”</w:t>
            </w:r>
            <w:r>
              <w:t>，针对性督促并指导企业完成整改。开展达标排放治理</w:t>
            </w:r>
            <w:r>
              <w:rPr>
                <w:rFonts w:ascii="宋体" w:hAnsi="宋体"/>
              </w:rPr>
              <w:t>“</w:t>
            </w:r>
            <w:r>
              <w:t>回头看</w:t>
            </w:r>
            <w:r>
              <w:rPr>
                <w:rFonts w:ascii="宋体" w:hAnsi="宋体"/>
              </w:rPr>
              <w:t>”</w:t>
            </w:r>
            <w:r>
              <w:t>专项执法行动，严厉查处违法排污行为。建立健全博罗县VOCs重点管控企业清单，实施VOCs重点企业分级管控。加强原辅材料替代,严格执行大宗有机溶剂产品VOCs含量限值标准，禁止建设生产和使用高VOCs含量的溶剂型涂料、油墨、胶粘剂等项目。落实建设项目V0Cs削减替代制度，重点推进炼油石化、化工、工业涂装、印刷、制鞋、电子制造等重点行业，以及机动车和油品储运销等领域VOCs减排。以加油站为重点，加强VOCs无组织排放控制，加强储罐、装卸、设备管线组件、污水处理厂等通用设施污染源项管理。</w:t>
            </w:r>
          </w:p>
          <w:p w14:paraId="150CA70C">
            <w:pPr>
              <w:ind w:firstLine="480"/>
            </w:pPr>
            <w:r>
              <w:t>相符性分析：本项目运营期涉及VOCs原辅材料属于VOCs含量低的物料，运营期产生的挥发性有机废气半密闭收集装置收集后进入</w:t>
            </w:r>
            <w:r>
              <w:rPr>
                <w:rFonts w:ascii="宋体" w:hAnsi="宋体"/>
              </w:rPr>
              <w:t>“</w:t>
            </w:r>
            <w:r>
              <w:t>水喷淋+干式过滤+二级活性炭吸附装置</w:t>
            </w:r>
            <w:r>
              <w:rPr>
                <w:rFonts w:ascii="宋体" w:hAnsi="宋体"/>
              </w:rPr>
              <w:t>”</w:t>
            </w:r>
            <w:r>
              <w:t>处理后经1根65米高排气筒DA001排放。因此，本项目的建设符合《博罗县生态环境保护</w:t>
            </w:r>
            <w:r>
              <w:rPr>
                <w:rFonts w:ascii="宋体" w:hAnsi="宋体"/>
              </w:rPr>
              <w:t>“</w:t>
            </w:r>
            <w:r>
              <w:t>十四五</w:t>
            </w:r>
            <w:r>
              <w:rPr>
                <w:rFonts w:ascii="宋体" w:hAnsi="宋体"/>
              </w:rPr>
              <w:t>”</w:t>
            </w:r>
            <w:r>
              <w:t>规划》的相应要求。</w:t>
            </w:r>
          </w:p>
        </w:tc>
      </w:tr>
    </w:tbl>
    <w:p w14:paraId="1CAC3636">
      <w:pPr>
        <w:adjustRightInd/>
        <w:snapToGrid/>
        <w:ind w:firstLine="420"/>
        <w:rPr>
          <w:rFonts w:asciiTheme="majorBidi" w:hAnsiTheme="majorBidi" w:eastAsiaTheme="minorEastAsia" w:cstheme="majorBidi"/>
          <w:color w:val="000000" w:themeColor="text1"/>
          <w:kern w:val="2"/>
          <w:sz w:val="21"/>
          <w14:textFill>
            <w14:solidFill>
              <w14:schemeClr w14:val="tx1"/>
            </w14:solidFill>
          </w14:textFill>
        </w:rPr>
      </w:pPr>
    </w:p>
    <w:p w14:paraId="32E1EE54">
      <w:pPr>
        <w:ind w:firstLine="600"/>
        <w:jc w:val="center"/>
        <w:outlineLvl w:val="0"/>
        <w:rPr>
          <w:rFonts w:asciiTheme="majorBidi" w:hAnsiTheme="majorBidi" w:eastAsiaTheme="minorEastAsia" w:cstheme="majorBidi"/>
          <w:snapToGrid w:val="0"/>
          <w:color w:val="000000" w:themeColor="text1"/>
          <w:sz w:val="30"/>
          <w:szCs w:val="30"/>
          <w14:textFill>
            <w14:solidFill>
              <w14:schemeClr w14:val="tx1"/>
            </w14:solidFill>
          </w14:textFill>
        </w:rPr>
        <w:sectPr>
          <w:footerReference r:id="rId11" w:type="default"/>
          <w:pgSz w:w="11906" w:h="16838"/>
          <w:pgMar w:top="1418" w:right="1134" w:bottom="1418" w:left="1134" w:header="708" w:footer="708" w:gutter="0"/>
          <w:pgNumType w:start="1"/>
          <w:cols w:space="708" w:num="1"/>
          <w:docGrid w:linePitch="360" w:charSpace="0"/>
        </w:sectPr>
      </w:pPr>
    </w:p>
    <w:p w14:paraId="7C2A48FA">
      <w:pPr>
        <w:ind w:firstLine="602"/>
        <w:jc w:val="center"/>
        <w:outlineLvl w:val="0"/>
        <w:rPr>
          <w:rFonts w:asciiTheme="majorBidi" w:hAnsiTheme="majorBidi" w:eastAsiaTheme="minorEastAsia" w:cstheme="majorBidi"/>
          <w:b/>
          <w:bCs/>
          <w:snapToGrid w:val="0"/>
          <w:color w:val="000000" w:themeColor="text1"/>
          <w:sz w:val="30"/>
          <w:szCs w:val="30"/>
          <w14:textFill>
            <w14:solidFill>
              <w14:schemeClr w14:val="tx1"/>
            </w14:solidFill>
          </w14:textFill>
        </w:rPr>
      </w:pPr>
      <w:bookmarkStart w:id="2" w:name="_Toc199146995"/>
      <w:bookmarkStart w:id="3" w:name="_Toc200987720"/>
      <w:r>
        <w:rPr>
          <w:rFonts w:asciiTheme="majorBidi" w:hAnsiTheme="majorBidi" w:eastAsiaTheme="minorEastAsia" w:cstheme="majorBidi"/>
          <w:b/>
          <w:bCs/>
          <w:snapToGrid w:val="0"/>
          <w:color w:val="000000" w:themeColor="text1"/>
          <w:sz w:val="30"/>
          <w:szCs w:val="30"/>
          <w14:textFill>
            <w14:solidFill>
              <w14:schemeClr w14:val="tx1"/>
            </w14:solidFill>
          </w14:textFill>
        </w:rPr>
        <w:t>二、建设项目工程分析</w:t>
      </w:r>
      <w:bookmarkEnd w:id="2"/>
      <w:bookmarkEnd w:id="3"/>
    </w:p>
    <w:tbl>
      <w:tblPr>
        <w:tblStyle w:val="21"/>
        <w:tblW w:w="5073" w:type="pct"/>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85" w:type="dxa"/>
          <w:bottom w:w="0" w:type="dxa"/>
          <w:right w:w="85" w:type="dxa"/>
        </w:tblCellMar>
      </w:tblPr>
      <w:tblGrid>
        <w:gridCol w:w="713"/>
        <w:gridCol w:w="9238"/>
      </w:tblGrid>
      <w:tr w14:paraId="55FC7190">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85" w:type="dxa"/>
            <w:bottom w:w="0" w:type="dxa"/>
            <w:right w:w="85" w:type="dxa"/>
          </w:tblCellMar>
        </w:tblPrEx>
        <w:trPr>
          <w:trHeight w:val="550" w:hRule="atLeast"/>
          <w:jc w:val="center"/>
        </w:trPr>
        <w:tc>
          <w:tcPr>
            <w:tcW w:w="358" w:type="pct"/>
            <w:vAlign w:val="center"/>
          </w:tcPr>
          <w:p w14:paraId="7D3EA23E">
            <w:pPr>
              <w:pStyle w:val="10"/>
              <w:spacing w:before="48"/>
            </w:pPr>
            <w:r>
              <w:t>建设内容</w:t>
            </w:r>
          </w:p>
        </w:tc>
        <w:tc>
          <w:tcPr>
            <w:tcW w:w="4642" w:type="pct"/>
          </w:tcPr>
          <w:p w14:paraId="66E31570">
            <w:pPr>
              <w:ind w:firstLine="482"/>
              <w:rPr>
                <w:rFonts w:asciiTheme="majorBidi" w:hAnsiTheme="majorBidi" w:eastAsiaTheme="minorEastAsia" w:cstheme="majorBidi"/>
                <w:b/>
                <w:bCs/>
                <w:color w:val="000000" w:themeColor="text1"/>
                <w:kern w:val="2"/>
                <w:szCs w:val="21"/>
                <w14:textFill>
                  <w14:solidFill>
                    <w14:schemeClr w14:val="tx1"/>
                  </w14:solidFill>
                </w14:textFill>
              </w:rPr>
            </w:pPr>
            <w:r>
              <w:rPr>
                <w:rFonts w:asciiTheme="majorBidi" w:hAnsiTheme="majorBidi" w:eastAsiaTheme="minorEastAsia" w:cstheme="majorBidi"/>
                <w:b/>
                <w:bCs/>
                <w:color w:val="000000" w:themeColor="text1"/>
                <w:kern w:val="2"/>
                <w:szCs w:val="21"/>
                <w14:textFill>
                  <w14:solidFill>
                    <w14:schemeClr w14:val="tx1"/>
                  </w14:solidFill>
                </w14:textFill>
              </w:rPr>
              <w:t>（一）项目概况</w:t>
            </w:r>
          </w:p>
          <w:p w14:paraId="02C55371">
            <w:pPr>
              <w:ind w:firstLine="480"/>
              <w:rPr>
                <w:rFonts w:asciiTheme="majorBidi" w:hAnsiTheme="majorBidi" w:eastAsiaTheme="minorEastAsia" w:cstheme="majorBidi"/>
                <w:color w:val="000000" w:themeColor="text1"/>
                <w:kern w:val="2"/>
                <w14:textFill>
                  <w14:solidFill>
                    <w14:schemeClr w14:val="tx1"/>
                  </w14:solidFill>
                </w14:textFill>
              </w:rPr>
            </w:pPr>
            <w:r>
              <w:rPr>
                <w:rFonts w:asciiTheme="majorBidi" w:hAnsiTheme="majorBidi" w:eastAsiaTheme="minorEastAsia" w:cstheme="majorBidi"/>
                <w:color w:val="000000" w:themeColor="text1"/>
                <w:kern w:val="2"/>
                <w14:textFill>
                  <w14:solidFill>
                    <w14:schemeClr w14:val="tx1"/>
                  </w14:solidFill>
                </w14:textFill>
              </w:rPr>
              <w:t>惠州市胜辉科技有限公</w:t>
            </w:r>
            <w:r>
              <w:rPr>
                <w:rFonts w:hint="eastAsia" w:asciiTheme="majorBidi" w:hAnsiTheme="majorBidi" w:eastAsiaTheme="minorEastAsia" w:cstheme="majorBidi"/>
                <w:color w:val="000000" w:themeColor="text1"/>
                <w:kern w:val="2"/>
                <w14:textFill>
                  <w14:solidFill>
                    <w14:schemeClr w14:val="tx1"/>
                  </w14:solidFill>
                </w14:textFill>
              </w:rPr>
              <w:t>司</w:t>
            </w:r>
            <w:r>
              <w:rPr>
                <w:rFonts w:asciiTheme="majorBidi" w:hAnsiTheme="majorBidi" w:eastAsiaTheme="minorEastAsia" w:cstheme="majorBidi"/>
                <w:color w:val="000000" w:themeColor="text1"/>
                <w:kern w:val="2"/>
                <w14:textFill>
                  <w14:solidFill>
                    <w14:schemeClr w14:val="tx1"/>
                  </w14:solidFill>
                </w14:textFill>
              </w:rPr>
              <w:t>选址于</w:t>
            </w:r>
            <w:r>
              <w:rPr>
                <w:rFonts w:hint="eastAsia" w:asciiTheme="majorBidi" w:hAnsiTheme="majorBidi" w:eastAsiaTheme="minorEastAsia" w:cstheme="majorBidi"/>
                <w:color w:val="000000" w:themeColor="text1"/>
                <w:kern w:val="2"/>
                <w14:textFill>
                  <w14:solidFill>
                    <w14:schemeClr w14:val="tx1"/>
                  </w14:solidFill>
                </w14:textFill>
              </w:rPr>
              <w:t>广东省惠州市</w:t>
            </w:r>
            <w:r>
              <w:rPr>
                <w:rFonts w:asciiTheme="majorBidi" w:hAnsiTheme="majorBidi" w:eastAsiaTheme="minorEastAsia" w:cstheme="majorBidi"/>
                <w:color w:val="000000" w:themeColor="text1"/>
                <w:kern w:val="2"/>
                <w14:textFill>
                  <w14:solidFill>
                    <w14:schemeClr w14:val="tx1"/>
                  </w14:solidFill>
                </w14:textFill>
              </w:rPr>
              <w:t>博罗县园洲镇博罗智能装备产业园园洲片区绿化北路3号（10-b号厂房101、201、301楼，中心位置经度为114°0'44.201"，纬度为23°6'38.838"，公司拟投资</w:t>
            </w:r>
            <w:r>
              <w:rPr>
                <w:rFonts w:hint="eastAsia" w:asciiTheme="majorBidi" w:hAnsiTheme="majorBidi" w:eastAsiaTheme="minorEastAsia" w:cstheme="majorBidi"/>
                <w:color w:val="000000" w:themeColor="text1"/>
                <w:kern w:val="2"/>
                <w14:textFill>
                  <w14:solidFill>
                    <w14:schemeClr w14:val="tx1"/>
                  </w14:solidFill>
                </w14:textFill>
              </w:rPr>
              <w:t>1</w:t>
            </w:r>
            <w:r>
              <w:rPr>
                <w:rFonts w:asciiTheme="majorBidi" w:hAnsiTheme="majorBidi" w:eastAsiaTheme="minorEastAsia" w:cstheme="majorBidi"/>
                <w:color w:val="000000" w:themeColor="text1"/>
                <w:kern w:val="2"/>
                <w14:textFill>
                  <w14:solidFill>
                    <w14:schemeClr w14:val="tx1"/>
                  </w14:solidFill>
                </w14:textFill>
              </w:rPr>
              <w:t>400万元在现有10-b号厂房101、201、301楼内建设</w:t>
            </w:r>
            <w:r>
              <w:rPr>
                <w:rFonts w:ascii="宋体" w:hAnsi="宋体" w:eastAsiaTheme="minorEastAsia" w:cstheme="majorBidi"/>
                <w:color w:val="000000" w:themeColor="text1"/>
                <w:kern w:val="2"/>
                <w14:textFill>
                  <w14:solidFill>
                    <w14:schemeClr w14:val="tx1"/>
                  </w14:solidFill>
                </w14:textFill>
              </w:rPr>
              <w:t>“</w:t>
            </w:r>
            <w:r>
              <w:rPr>
                <w:rFonts w:asciiTheme="majorBidi" w:hAnsiTheme="majorBidi" w:eastAsiaTheme="minorEastAsia" w:cstheme="majorBidi"/>
                <w:color w:val="000000" w:themeColor="text1"/>
                <w:kern w:val="2"/>
                <w:szCs w:val="21"/>
                <w14:textFill>
                  <w14:solidFill>
                    <w14:schemeClr w14:val="tx1"/>
                  </w14:solidFill>
                </w14:textFill>
              </w:rPr>
              <w:t>惠州市胜辉科技有限公司年产塑胶台灯60万个、塑胶包装盒40万个、塑胶零件40万个生产线新建项目</w:t>
            </w:r>
            <w:r>
              <w:rPr>
                <w:rFonts w:ascii="宋体" w:hAnsi="宋体" w:eastAsiaTheme="minorEastAsia" w:cstheme="majorBidi"/>
                <w:color w:val="000000" w:themeColor="text1"/>
                <w:kern w:val="2"/>
                <w14:textFill>
                  <w14:solidFill>
                    <w14:schemeClr w14:val="tx1"/>
                  </w14:solidFill>
                </w14:textFill>
              </w:rPr>
              <w:t>”</w:t>
            </w:r>
            <w:r>
              <w:rPr>
                <w:rFonts w:asciiTheme="majorBidi" w:hAnsiTheme="majorBidi" w:eastAsiaTheme="minorEastAsia" w:cstheme="majorBidi"/>
                <w:color w:val="000000" w:themeColor="text1"/>
                <w:kern w:val="2"/>
                <w14:textFill>
                  <w14:solidFill>
                    <w14:schemeClr w14:val="tx1"/>
                  </w14:solidFill>
                </w14:textFill>
              </w:rPr>
              <w:t>（以下简称</w:t>
            </w:r>
            <w:r>
              <w:rPr>
                <w:rFonts w:ascii="宋体" w:hAnsi="宋体" w:eastAsiaTheme="minorEastAsia" w:cstheme="majorBidi"/>
                <w:color w:val="000000" w:themeColor="text1"/>
                <w:kern w:val="2"/>
                <w14:textFill>
                  <w14:solidFill>
                    <w14:schemeClr w14:val="tx1"/>
                  </w14:solidFill>
                </w14:textFill>
              </w:rPr>
              <w:t>“</w:t>
            </w:r>
            <w:r>
              <w:rPr>
                <w:rFonts w:asciiTheme="majorBidi" w:hAnsiTheme="majorBidi" w:eastAsiaTheme="minorEastAsia" w:cstheme="majorBidi"/>
                <w:color w:val="000000" w:themeColor="text1"/>
                <w:kern w:val="2"/>
                <w14:textFill>
                  <w14:solidFill>
                    <w14:schemeClr w14:val="tx1"/>
                  </w14:solidFill>
                </w14:textFill>
              </w:rPr>
              <w:t>本项目</w:t>
            </w:r>
            <w:r>
              <w:rPr>
                <w:rFonts w:ascii="宋体" w:hAnsi="宋体" w:eastAsiaTheme="minorEastAsia" w:cstheme="majorBidi"/>
                <w:color w:val="000000" w:themeColor="text1"/>
                <w:kern w:val="2"/>
                <w14:textFill>
                  <w14:solidFill>
                    <w14:schemeClr w14:val="tx1"/>
                  </w14:solidFill>
                </w14:textFill>
              </w:rPr>
              <w:t>”</w:t>
            </w:r>
            <w:r>
              <w:rPr>
                <w:rFonts w:asciiTheme="majorBidi" w:hAnsiTheme="majorBidi" w:eastAsiaTheme="minorEastAsia" w:cstheme="majorBidi"/>
                <w:color w:val="000000" w:themeColor="text1"/>
                <w:kern w:val="2"/>
                <w14:textFill>
                  <w14:solidFill>
                    <w14:schemeClr w14:val="tx1"/>
                  </w14:solidFill>
                </w14:textFill>
              </w:rPr>
              <w:t>），本项目占地面积893.95m</w:t>
            </w:r>
            <w:r>
              <w:rPr>
                <w:rFonts w:asciiTheme="majorBidi" w:hAnsiTheme="majorBidi" w:eastAsiaTheme="minorEastAsia" w:cstheme="majorBidi"/>
                <w:color w:val="000000" w:themeColor="text1"/>
                <w:kern w:val="2"/>
                <w:vertAlign w:val="superscript"/>
                <w14:textFill>
                  <w14:solidFill>
                    <w14:schemeClr w14:val="tx1"/>
                  </w14:solidFill>
                </w14:textFill>
              </w:rPr>
              <w:t>2</w:t>
            </w:r>
            <w:r>
              <w:rPr>
                <w:rFonts w:asciiTheme="majorBidi" w:hAnsiTheme="majorBidi" w:eastAsiaTheme="minorEastAsia" w:cstheme="majorBidi"/>
                <w:color w:val="000000" w:themeColor="text1"/>
                <w:kern w:val="2"/>
                <w14:textFill>
                  <w14:solidFill>
                    <w14:schemeClr w14:val="tx1"/>
                  </w14:solidFill>
                </w14:textFill>
              </w:rPr>
              <w:t>，建筑面积2666.39m</w:t>
            </w:r>
            <w:r>
              <w:rPr>
                <w:rFonts w:asciiTheme="majorBidi" w:hAnsiTheme="majorBidi" w:eastAsiaTheme="minorEastAsia" w:cstheme="majorBidi"/>
                <w:color w:val="000000" w:themeColor="text1"/>
                <w:kern w:val="2"/>
                <w:vertAlign w:val="superscript"/>
                <w14:textFill>
                  <w14:solidFill>
                    <w14:schemeClr w14:val="tx1"/>
                  </w14:solidFill>
                </w14:textFill>
              </w:rPr>
              <w:t>2</w:t>
            </w:r>
            <w:r>
              <w:rPr>
                <w:rFonts w:asciiTheme="majorBidi" w:hAnsiTheme="majorBidi" w:eastAsiaTheme="minorEastAsia" w:cstheme="majorBidi"/>
                <w:color w:val="000000" w:themeColor="text1"/>
                <w:kern w:val="2"/>
                <w14:textFill>
                  <w14:solidFill>
                    <w14:schemeClr w14:val="tx1"/>
                  </w14:solidFill>
                </w14:textFill>
              </w:rPr>
              <w:t>，主要从事塑胶台灯、塑胶包装盒以及塑胶零件的生产，年产塑胶台灯60万个、塑胶包装盒40万个、塑胶零件40万个，合计产量140t/a。</w:t>
            </w:r>
          </w:p>
          <w:p w14:paraId="089C43E2">
            <w:pPr>
              <w:ind w:firstLine="480"/>
              <w:rPr>
                <w:rFonts w:asciiTheme="majorBidi" w:hAnsiTheme="majorBidi" w:eastAsiaTheme="minorEastAsia" w:cstheme="majorBidi"/>
                <w:color w:val="000000" w:themeColor="text1"/>
                <w:kern w:val="2"/>
                <w14:textFill>
                  <w14:solidFill>
                    <w14:schemeClr w14:val="tx1"/>
                  </w14:solidFill>
                </w14:textFill>
              </w:rPr>
            </w:pPr>
            <w:r>
              <w:rPr>
                <w:rFonts w:asciiTheme="majorBidi" w:hAnsiTheme="majorBidi" w:eastAsiaTheme="minorEastAsia" w:cstheme="majorBidi"/>
                <w:color w:val="000000" w:themeColor="text1"/>
                <w:kern w:val="2"/>
                <w14:textFill>
                  <w14:solidFill>
                    <w14:schemeClr w14:val="tx1"/>
                  </w14:solidFill>
                </w14:textFill>
              </w:rPr>
              <w:t>项目劳动定员60人，均不在项目内食宿，项目实施2班制，每班8小时，每天工作16小时，每年工作300天</w:t>
            </w:r>
            <w:r>
              <w:rPr>
                <w:rFonts w:hint="eastAsia" w:asciiTheme="majorBidi" w:hAnsiTheme="majorBidi" w:eastAsiaTheme="minorEastAsia" w:cstheme="majorBidi"/>
                <w:color w:val="000000" w:themeColor="text1"/>
                <w:kern w:val="2"/>
                <w14:textFill>
                  <w14:solidFill>
                    <w14:schemeClr w14:val="tx1"/>
                  </w14:solidFill>
                </w14:textFill>
              </w:rPr>
              <w:t>（</w:t>
            </w:r>
            <w:r>
              <w:rPr>
                <w:rFonts w:hint="eastAsia" w:asciiTheme="majorBidi" w:hAnsiTheme="majorBidi" w:eastAsiaTheme="minorEastAsia" w:cstheme="majorBidi"/>
                <w:color w:val="EE0000"/>
                <w:kern w:val="2"/>
              </w:rPr>
              <w:t>喷漆、印刷工序3小时每天，每年工作300天</w:t>
            </w:r>
            <w:r>
              <w:rPr>
                <w:rFonts w:hint="eastAsia" w:asciiTheme="majorBidi" w:hAnsiTheme="majorBidi" w:eastAsiaTheme="minorEastAsia" w:cstheme="majorBidi"/>
                <w:color w:val="000000" w:themeColor="text1"/>
                <w:kern w:val="2"/>
                <w14:textFill>
                  <w14:solidFill>
                    <w14:schemeClr w14:val="tx1"/>
                  </w14:solidFill>
                </w14:textFill>
              </w:rPr>
              <w:t>）</w:t>
            </w:r>
            <w:r>
              <w:rPr>
                <w:rFonts w:asciiTheme="majorBidi" w:hAnsiTheme="majorBidi" w:eastAsiaTheme="minorEastAsia" w:cstheme="majorBidi"/>
                <w:color w:val="000000" w:themeColor="text1"/>
                <w:kern w:val="2"/>
                <w14:textFill>
                  <w14:solidFill>
                    <w14:schemeClr w14:val="tx1"/>
                  </w14:solidFill>
                </w14:textFill>
              </w:rPr>
              <w:t>。</w:t>
            </w:r>
          </w:p>
          <w:p w14:paraId="306B18AE">
            <w:pPr>
              <w:ind w:firstLine="480"/>
            </w:pPr>
            <w:r>
              <w:t>本项目为《建设项目环境影响评价分类管理名录（2021年版）》中</w:t>
            </w:r>
            <w:r>
              <w:rPr>
                <w:rFonts w:ascii="宋体" w:hAnsi="宋体"/>
              </w:rPr>
              <w:t>“</w:t>
            </w:r>
            <w:r>
              <w:t>二十六、橡胶和塑料制品业29</w:t>
            </w:r>
            <w:r>
              <w:rPr>
                <w:rFonts w:ascii="宋体" w:hAnsi="宋体"/>
              </w:rPr>
              <w:t>”</w:t>
            </w:r>
            <w:r>
              <w:t>-</w:t>
            </w:r>
            <w:r>
              <w:rPr>
                <w:rFonts w:ascii="宋体" w:hAnsi="宋体"/>
              </w:rPr>
              <w:t>“</w:t>
            </w:r>
            <w:r>
              <w:t>53塑料制品业292</w:t>
            </w:r>
            <w:r>
              <w:rPr>
                <w:rFonts w:ascii="宋体" w:hAnsi="宋体"/>
              </w:rPr>
              <w:t>”</w:t>
            </w:r>
            <w:r>
              <w:t>-</w:t>
            </w:r>
            <w:r>
              <w:rPr>
                <w:rFonts w:hint="eastAsia"/>
              </w:rPr>
              <w:t>“</w:t>
            </w:r>
            <w:r>
              <w:t>其他，且不属于年用非溶剂型低VOCs含量涂料10吨以下的项目</w:t>
            </w:r>
            <w:r>
              <w:rPr>
                <w:rFonts w:ascii="宋体" w:hAnsi="宋体"/>
              </w:rPr>
              <w:t>”</w:t>
            </w:r>
            <w:r>
              <w:t>。按照《建设项目环境影响评价分类管理名录（2021年版）》规定，本项目需编制环境影响报告表。</w:t>
            </w:r>
          </w:p>
          <w:p w14:paraId="2265C8FC">
            <w:pPr>
              <w:ind w:firstLine="480"/>
              <w:rPr>
                <w:rFonts w:asciiTheme="majorBidi" w:hAnsiTheme="majorBidi" w:eastAsiaTheme="minorEastAsia" w:cstheme="majorBidi"/>
                <w:color w:val="EE0000"/>
                <w:kern w:val="2"/>
              </w:rPr>
            </w:pPr>
            <w:r>
              <w:rPr>
                <w:rFonts w:hint="eastAsia" w:asciiTheme="majorBidi" w:hAnsiTheme="majorBidi" w:eastAsiaTheme="minorEastAsia" w:cstheme="majorBidi"/>
                <w:color w:val="EE0000"/>
                <w:kern w:val="2"/>
              </w:rPr>
              <w:t>根据附件3工业厂房买卖合同，</w:t>
            </w:r>
            <w:r>
              <w:rPr>
                <w:rFonts w:asciiTheme="majorBidi" w:hAnsiTheme="majorBidi" w:eastAsiaTheme="minorEastAsia" w:cstheme="majorBidi"/>
                <w:color w:val="EE0000"/>
                <w:kern w:val="2"/>
              </w:rPr>
              <w:t>惠州市胜辉科技有限公</w:t>
            </w:r>
            <w:r>
              <w:rPr>
                <w:rFonts w:hint="eastAsia" w:asciiTheme="majorBidi" w:hAnsiTheme="majorBidi" w:eastAsiaTheme="minorEastAsia" w:cstheme="majorBidi"/>
                <w:color w:val="EE0000"/>
                <w:kern w:val="2"/>
              </w:rPr>
              <w:t>司通过购买广东万宏同创工业科技有限公司现有厂房进行建设。广东万宏同创工业科技有限公司以出让方式取得博罗县园洲镇禾山村李屋股份经济合作社、桔龙村</w:t>
            </w:r>
            <w:r>
              <w:rPr>
                <w:rFonts w:hint="eastAsia" w:asciiTheme="majorBidi" w:hAnsiTheme="majorBidi" w:eastAsiaTheme="minorEastAsia" w:cstheme="majorBidi"/>
                <w:color w:val="0000FF"/>
                <w:kern w:val="2"/>
              </w:rPr>
              <w:t>桔</w:t>
            </w:r>
            <w:r>
              <w:rPr>
                <w:rFonts w:hint="eastAsia" w:asciiTheme="majorBidi" w:hAnsiTheme="majorBidi" w:eastAsiaTheme="minorEastAsia" w:cstheme="majorBidi"/>
                <w:color w:val="EE0000"/>
                <w:kern w:val="2"/>
              </w:rPr>
              <w:t>头新村股份经济合作社、田头村田竹、竹元岗股份经济合作社“松岭”“石子湖”“东鬼岭”(土名)地段的建设用地使用权，该地块国有土地使用证号为</w:t>
            </w:r>
            <w:r>
              <w:rPr>
                <w:rFonts w:hint="eastAsia" w:asciiTheme="majorBidi" w:hAnsiTheme="majorBidi" w:eastAsiaTheme="minorEastAsia" w:cstheme="majorBidi"/>
                <w:color w:val="0000FF"/>
                <w:kern w:val="2"/>
              </w:rPr>
              <w:t>粤</w:t>
            </w:r>
            <w:r>
              <w:rPr>
                <w:rFonts w:hint="eastAsia" w:asciiTheme="majorBidi" w:hAnsiTheme="majorBidi" w:eastAsiaTheme="minorEastAsia" w:cstheme="majorBidi"/>
                <w:color w:val="EE0000"/>
                <w:kern w:val="2"/>
              </w:rPr>
              <w:t>(2022)博罗县不动产权第0036979号（详见附件5）。</w:t>
            </w:r>
            <w:r>
              <w:rPr>
                <w:rFonts w:asciiTheme="majorBidi" w:hAnsiTheme="majorBidi" w:eastAsiaTheme="minorEastAsia" w:cstheme="majorBidi"/>
                <w:color w:val="EE0000"/>
                <w:kern w:val="2"/>
              </w:rPr>
              <w:t>惠州市胜辉科技有限公</w:t>
            </w:r>
            <w:r>
              <w:rPr>
                <w:rFonts w:hint="eastAsia" w:asciiTheme="majorBidi" w:hAnsiTheme="majorBidi" w:eastAsiaTheme="minorEastAsia" w:cstheme="majorBidi"/>
                <w:color w:val="EE0000"/>
                <w:kern w:val="2"/>
              </w:rPr>
              <w:t>司购买了上述地块的首开地块10-b号楼1/2/3层101/201/301号厂房。</w:t>
            </w:r>
            <w:r>
              <w:rPr>
                <w:rFonts w:hint="eastAsia" w:eastAsiaTheme="minorEastAsia"/>
                <w:color w:val="EE0000"/>
                <w:kern w:val="2"/>
              </w:rPr>
              <w:t>该厂房建筑总层数为11层，其中地上11层。该栋建筑层高分别为：首层7.5米，第二层至第九层分别为5.5 米，第十层4米，第十一层4米，总高度59.5米。4-11楼目前为空置厂房。</w:t>
            </w:r>
          </w:p>
          <w:p w14:paraId="442DECFD">
            <w:pPr>
              <w:ind w:firstLine="482"/>
              <w:rPr>
                <w:rFonts w:asciiTheme="majorBidi" w:hAnsiTheme="majorBidi" w:eastAsiaTheme="minorEastAsia" w:cstheme="majorBidi"/>
                <w:b/>
                <w:bCs/>
                <w:color w:val="000000" w:themeColor="text1"/>
                <w:kern w:val="2"/>
                <w:szCs w:val="21"/>
                <w14:textFill>
                  <w14:solidFill>
                    <w14:schemeClr w14:val="tx1"/>
                  </w14:solidFill>
                </w14:textFill>
              </w:rPr>
            </w:pPr>
            <w:r>
              <w:rPr>
                <w:rFonts w:asciiTheme="majorBidi" w:hAnsiTheme="majorBidi" w:eastAsiaTheme="minorEastAsia" w:cstheme="majorBidi"/>
                <w:b/>
                <w:bCs/>
                <w:color w:val="000000" w:themeColor="text1"/>
                <w:kern w:val="2"/>
                <w:szCs w:val="21"/>
                <w14:textFill>
                  <w14:solidFill>
                    <w14:schemeClr w14:val="tx1"/>
                  </w14:solidFill>
                </w14:textFill>
              </w:rPr>
              <w:t>（二）工程规模及内容</w:t>
            </w:r>
          </w:p>
          <w:p w14:paraId="315FE292">
            <w:pPr>
              <w:ind w:firstLine="482"/>
              <w:rPr>
                <w:rFonts w:asciiTheme="majorBidi" w:hAnsiTheme="majorBidi" w:eastAsiaTheme="minorEastAsia" w:cstheme="majorBidi"/>
                <w:b/>
                <w:bCs/>
                <w:color w:val="000000" w:themeColor="text1"/>
                <w:kern w:val="2"/>
                <w:szCs w:val="21"/>
                <w14:textFill>
                  <w14:solidFill>
                    <w14:schemeClr w14:val="tx1"/>
                  </w14:solidFill>
                </w14:textFill>
              </w:rPr>
            </w:pPr>
            <w:r>
              <w:rPr>
                <w:rFonts w:asciiTheme="majorBidi" w:hAnsiTheme="majorBidi" w:eastAsiaTheme="minorEastAsia" w:cstheme="majorBidi"/>
                <w:b/>
                <w:bCs/>
                <w:color w:val="000000" w:themeColor="text1"/>
                <w:kern w:val="2"/>
                <w:szCs w:val="21"/>
                <w14:textFill>
                  <w14:solidFill>
                    <w14:schemeClr w14:val="tx1"/>
                  </w14:solidFill>
                </w14:textFill>
              </w:rPr>
              <w:t>1.工程规模及内容</w:t>
            </w:r>
          </w:p>
          <w:p w14:paraId="038D251D">
            <w:pPr>
              <w:ind w:firstLine="480"/>
              <w:rPr>
                <w:rFonts w:asciiTheme="majorBidi" w:hAnsiTheme="majorBidi" w:eastAsiaTheme="minorEastAsia" w:cstheme="majorBidi"/>
                <w:color w:val="000000" w:themeColor="text1"/>
                <w:kern w:val="2"/>
                <w:szCs w:val="21"/>
                <w14:textFill>
                  <w14:solidFill>
                    <w14:schemeClr w14:val="tx1"/>
                  </w14:solidFill>
                </w14:textFill>
              </w:rPr>
            </w:pPr>
            <w:r>
              <w:rPr>
                <w:rFonts w:asciiTheme="majorBidi" w:hAnsiTheme="majorBidi" w:eastAsiaTheme="minorEastAsia" w:cstheme="majorBidi"/>
                <w:color w:val="000000" w:themeColor="text1"/>
                <w:kern w:val="2"/>
                <w:szCs w:val="21"/>
                <w14:textFill>
                  <w14:solidFill>
                    <w14:schemeClr w14:val="tx1"/>
                  </w14:solidFill>
                </w14:textFill>
              </w:rPr>
              <w:t>本项目工程组成见下表。</w:t>
            </w:r>
          </w:p>
          <w:p w14:paraId="78F63316">
            <w:pPr>
              <w:pStyle w:val="11"/>
              <w:rPr>
                <w:bCs w:val="0"/>
              </w:rPr>
            </w:pPr>
            <w:r>
              <w:rPr>
                <w:bCs w:val="0"/>
              </w:rPr>
              <w:t>表2-1 主要工程建设内容一览表</w:t>
            </w:r>
          </w:p>
          <w:tbl>
            <w:tblPr>
              <w:tblStyle w:val="43"/>
              <w:tblW w:w="4999" w:type="pct"/>
              <w:tblInd w:w="0" w:type="dxa"/>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28" w:type="dxa"/>
                <w:bottom w:w="0" w:type="dxa"/>
                <w:right w:w="28" w:type="dxa"/>
              </w:tblCellMar>
            </w:tblPr>
            <w:tblGrid>
              <w:gridCol w:w="1197"/>
              <w:gridCol w:w="1649"/>
              <w:gridCol w:w="1862"/>
              <w:gridCol w:w="4359"/>
            </w:tblGrid>
            <w:tr w14:paraId="349E4BB3">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340" w:hRule="atLeast"/>
              </w:trPr>
              <w:tc>
                <w:tcPr>
                  <w:tcW w:w="660" w:type="pct"/>
                  <w:vAlign w:val="center"/>
                </w:tcPr>
                <w:p w14:paraId="1812C3C3">
                  <w:pPr>
                    <w:pStyle w:val="29"/>
                    <w:rPr>
                      <w:b/>
                      <w:bCs/>
                    </w:rPr>
                  </w:pPr>
                  <w:r>
                    <w:rPr>
                      <w:b/>
                      <w:bCs/>
                    </w:rPr>
                    <w:t>工程类型</w:t>
                  </w:r>
                </w:p>
              </w:tc>
              <w:tc>
                <w:tcPr>
                  <w:tcW w:w="909" w:type="pct"/>
                  <w:vAlign w:val="center"/>
                </w:tcPr>
                <w:p w14:paraId="22ECD18E">
                  <w:pPr>
                    <w:pStyle w:val="29"/>
                    <w:rPr>
                      <w:b/>
                      <w:bCs/>
                    </w:rPr>
                  </w:pPr>
                  <w:r>
                    <w:rPr>
                      <w:b/>
                      <w:bCs/>
                    </w:rPr>
                    <w:t>工程名称</w:t>
                  </w:r>
                </w:p>
              </w:tc>
              <w:tc>
                <w:tcPr>
                  <w:tcW w:w="3431" w:type="pct"/>
                  <w:gridSpan w:val="2"/>
                  <w:vAlign w:val="center"/>
                </w:tcPr>
                <w:p w14:paraId="722FF386">
                  <w:pPr>
                    <w:pStyle w:val="29"/>
                    <w:rPr>
                      <w:b/>
                      <w:bCs/>
                    </w:rPr>
                  </w:pPr>
                  <w:r>
                    <w:rPr>
                      <w:b/>
                      <w:bCs/>
                    </w:rPr>
                    <w:t>工程内容</w:t>
                  </w:r>
                </w:p>
              </w:tc>
            </w:tr>
            <w:tr w14:paraId="556F9DE9">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869" w:hRule="atLeast"/>
              </w:trPr>
              <w:tc>
                <w:tcPr>
                  <w:tcW w:w="660" w:type="pct"/>
                  <w:vMerge w:val="restart"/>
                  <w:vAlign w:val="center"/>
                </w:tcPr>
                <w:p w14:paraId="37CADAC9">
                  <w:pPr>
                    <w:pStyle w:val="29"/>
                  </w:pPr>
                  <w:r>
                    <w:t>主体工程</w:t>
                  </w:r>
                </w:p>
              </w:tc>
              <w:tc>
                <w:tcPr>
                  <w:tcW w:w="909" w:type="pct"/>
                  <w:vMerge w:val="restart"/>
                  <w:vAlign w:val="center"/>
                </w:tcPr>
                <w:p w14:paraId="7C3812CE">
                  <w:pPr>
                    <w:pStyle w:val="29"/>
                  </w:pPr>
                  <w:r>
                    <w:t>生产车间</w:t>
                  </w:r>
                </w:p>
              </w:tc>
              <w:tc>
                <w:tcPr>
                  <w:tcW w:w="3431" w:type="pct"/>
                  <w:gridSpan w:val="2"/>
                  <w:vAlign w:val="center"/>
                </w:tcPr>
                <w:p w14:paraId="2B862CC0">
                  <w:pPr>
                    <w:pStyle w:val="29"/>
                    <w:rPr>
                      <w:rFonts w:eastAsiaTheme="minorEastAsia"/>
                      <w:kern w:val="2"/>
                    </w:rPr>
                  </w:pPr>
                  <w:r>
                    <w:rPr>
                      <w:rFonts w:eastAsiaTheme="minorEastAsia"/>
                      <w:kern w:val="2"/>
                    </w:rPr>
                    <w:t>本项目位于1栋11层厂房内的1、2、3层</w:t>
                  </w:r>
                  <w:r>
                    <w:rPr>
                      <w:rFonts w:hint="eastAsia" w:eastAsiaTheme="minorEastAsia"/>
                      <w:kern w:val="2"/>
                    </w:rPr>
                    <w:t>，</w:t>
                  </w:r>
                  <w:r>
                    <w:rPr>
                      <w:rFonts w:hint="eastAsia" w:eastAsiaTheme="minorEastAsia"/>
                      <w:color w:val="EE0000"/>
                      <w:kern w:val="2"/>
                    </w:rPr>
                    <w:t>该厂房总</w:t>
                  </w:r>
                  <w:r>
                    <w:rPr>
                      <w:rFonts w:eastAsiaTheme="minorEastAsia"/>
                      <w:kern w:val="2"/>
                    </w:rPr>
                    <w:t>建筑</w:t>
                  </w:r>
                  <w:r>
                    <w:rPr>
                      <w:rFonts w:hint="eastAsia" w:eastAsiaTheme="minorEastAsia"/>
                      <w:color w:val="EE0000"/>
                      <w:kern w:val="2"/>
                    </w:rPr>
                    <w:t>高度约</w:t>
                  </w:r>
                  <w:r>
                    <w:rPr>
                      <w:rFonts w:hint="eastAsia" w:eastAsiaTheme="minorEastAsia"/>
                      <w:color w:val="0000FF"/>
                      <w:kern w:val="2"/>
                    </w:rPr>
                    <w:t>59.5</w:t>
                  </w:r>
                  <w:r>
                    <w:rPr>
                      <w:rFonts w:hint="eastAsia" w:eastAsiaTheme="minorEastAsia"/>
                      <w:color w:val="EE0000"/>
                      <w:kern w:val="2"/>
                    </w:rPr>
                    <w:t>米。</w:t>
                  </w:r>
                  <w:r>
                    <w:rPr>
                      <w:rFonts w:eastAsiaTheme="minorEastAsia"/>
                      <w:kern w:val="2"/>
                    </w:rPr>
                    <w:t xml:space="preserve"> </w:t>
                  </w:r>
                </w:p>
              </w:tc>
            </w:tr>
            <w:tr w14:paraId="3387348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340" w:hRule="atLeast"/>
              </w:trPr>
              <w:tc>
                <w:tcPr>
                  <w:tcW w:w="660" w:type="pct"/>
                  <w:vMerge w:val="continue"/>
                  <w:vAlign w:val="center"/>
                </w:tcPr>
                <w:p w14:paraId="2F2C6F1C">
                  <w:pPr>
                    <w:pStyle w:val="29"/>
                  </w:pPr>
                </w:p>
              </w:tc>
              <w:tc>
                <w:tcPr>
                  <w:tcW w:w="909" w:type="pct"/>
                  <w:vMerge w:val="continue"/>
                  <w:vAlign w:val="center"/>
                </w:tcPr>
                <w:p w14:paraId="56AF58A4">
                  <w:pPr>
                    <w:pStyle w:val="29"/>
                  </w:pPr>
                </w:p>
              </w:tc>
              <w:tc>
                <w:tcPr>
                  <w:tcW w:w="3431" w:type="pct"/>
                  <w:gridSpan w:val="2"/>
                  <w:vAlign w:val="center"/>
                </w:tcPr>
                <w:p w14:paraId="1FE872C2">
                  <w:pPr>
                    <w:pStyle w:val="29"/>
                    <w:rPr>
                      <w:rFonts w:eastAsiaTheme="minorEastAsia"/>
                      <w:kern w:val="2"/>
                    </w:rPr>
                  </w:pPr>
                  <w:r>
                    <w:rPr>
                      <w:rFonts w:eastAsiaTheme="minorEastAsia"/>
                      <w:kern w:val="2"/>
                    </w:rPr>
                    <w:t>1楼注塑车间：建筑高度为7.5m，建筑面积893.95m</w:t>
                  </w:r>
                  <w:r>
                    <w:rPr>
                      <w:rFonts w:eastAsiaTheme="minorEastAsia"/>
                      <w:kern w:val="2"/>
                      <w:vertAlign w:val="superscript"/>
                    </w:rPr>
                    <w:t>2</w:t>
                  </w:r>
                  <w:r>
                    <w:rPr>
                      <w:rFonts w:eastAsiaTheme="minorEastAsia"/>
                      <w:kern w:val="2"/>
                    </w:rPr>
                    <w:t>，主要包括注塑区、破碎区、原料区、胶合组装区</w:t>
                  </w:r>
                </w:p>
              </w:tc>
            </w:tr>
            <w:tr w14:paraId="43ABAD84">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340" w:hRule="atLeast"/>
              </w:trPr>
              <w:tc>
                <w:tcPr>
                  <w:tcW w:w="660" w:type="pct"/>
                  <w:vMerge w:val="continue"/>
                  <w:vAlign w:val="center"/>
                </w:tcPr>
                <w:p w14:paraId="2F312BDD">
                  <w:pPr>
                    <w:pStyle w:val="29"/>
                  </w:pPr>
                </w:p>
              </w:tc>
              <w:tc>
                <w:tcPr>
                  <w:tcW w:w="909" w:type="pct"/>
                  <w:vMerge w:val="continue"/>
                  <w:vAlign w:val="center"/>
                </w:tcPr>
                <w:p w14:paraId="0C6C7E1A">
                  <w:pPr>
                    <w:pStyle w:val="29"/>
                  </w:pPr>
                </w:p>
              </w:tc>
              <w:tc>
                <w:tcPr>
                  <w:tcW w:w="3431" w:type="pct"/>
                  <w:gridSpan w:val="2"/>
                  <w:vAlign w:val="center"/>
                </w:tcPr>
                <w:p w14:paraId="392E637E">
                  <w:pPr>
                    <w:pStyle w:val="29"/>
                    <w:rPr>
                      <w:rFonts w:eastAsiaTheme="minorEastAsia"/>
                      <w:kern w:val="2"/>
                    </w:rPr>
                  </w:pPr>
                  <w:r>
                    <w:rPr>
                      <w:rFonts w:eastAsiaTheme="minorEastAsia"/>
                      <w:kern w:val="2"/>
                    </w:rPr>
                    <w:t>2楼模具车间：建筑高度为5.5m，建筑面积886.22m</w:t>
                  </w:r>
                  <w:r>
                    <w:rPr>
                      <w:rFonts w:eastAsiaTheme="minorEastAsia"/>
                      <w:kern w:val="2"/>
                      <w:vertAlign w:val="superscript"/>
                    </w:rPr>
                    <w:t>2</w:t>
                  </w:r>
                  <w:r>
                    <w:rPr>
                      <w:rFonts w:eastAsiaTheme="minorEastAsia"/>
                      <w:kern w:val="2"/>
                    </w:rPr>
                    <w:t>，主要包括模具车间、办公区、仓库1</w:t>
                  </w:r>
                </w:p>
              </w:tc>
            </w:tr>
            <w:tr w14:paraId="54C0C267">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340" w:hRule="atLeast"/>
              </w:trPr>
              <w:tc>
                <w:tcPr>
                  <w:tcW w:w="660" w:type="pct"/>
                  <w:vMerge w:val="continue"/>
                  <w:vAlign w:val="center"/>
                </w:tcPr>
                <w:p w14:paraId="0BC516C9">
                  <w:pPr>
                    <w:pStyle w:val="29"/>
                  </w:pPr>
                </w:p>
              </w:tc>
              <w:tc>
                <w:tcPr>
                  <w:tcW w:w="909" w:type="pct"/>
                  <w:vMerge w:val="continue"/>
                  <w:vAlign w:val="center"/>
                </w:tcPr>
                <w:p w14:paraId="2307D6CB">
                  <w:pPr>
                    <w:pStyle w:val="29"/>
                  </w:pPr>
                </w:p>
              </w:tc>
              <w:tc>
                <w:tcPr>
                  <w:tcW w:w="3431" w:type="pct"/>
                  <w:gridSpan w:val="2"/>
                  <w:vAlign w:val="center"/>
                </w:tcPr>
                <w:p w14:paraId="7EC7DEF1">
                  <w:pPr>
                    <w:pStyle w:val="29"/>
                    <w:rPr>
                      <w:rFonts w:eastAsiaTheme="minorEastAsia"/>
                      <w:kern w:val="2"/>
                    </w:rPr>
                  </w:pPr>
                  <w:r>
                    <w:rPr>
                      <w:rFonts w:eastAsiaTheme="minorEastAsia"/>
                      <w:kern w:val="2"/>
                    </w:rPr>
                    <w:t>3楼印刷和喷漆车间：建筑高度5.5m，建筑面积886.22m</w:t>
                  </w:r>
                  <w:r>
                    <w:rPr>
                      <w:rFonts w:eastAsiaTheme="minorEastAsia"/>
                      <w:kern w:val="2"/>
                      <w:vertAlign w:val="superscript"/>
                    </w:rPr>
                    <w:t>2</w:t>
                  </w:r>
                  <w:r>
                    <w:rPr>
                      <w:rFonts w:eastAsiaTheme="minorEastAsia"/>
                      <w:kern w:val="2"/>
                    </w:rPr>
                    <w:t>，主要包括印刷（移印、丝印）区、喷漆区、仓库2、一般固废间和</w:t>
                  </w:r>
                  <w:r>
                    <w:rPr>
                      <w:rFonts w:eastAsiaTheme="minorEastAsia"/>
                      <w:color w:val="EE0000"/>
                      <w:kern w:val="2"/>
                    </w:rPr>
                    <w:t>危废间</w:t>
                  </w:r>
                </w:p>
              </w:tc>
            </w:tr>
            <w:tr w14:paraId="62051B21">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340" w:hRule="atLeast"/>
              </w:trPr>
              <w:tc>
                <w:tcPr>
                  <w:tcW w:w="660" w:type="pct"/>
                  <w:vAlign w:val="center"/>
                </w:tcPr>
                <w:p w14:paraId="3AB70052">
                  <w:pPr>
                    <w:pStyle w:val="29"/>
                  </w:pPr>
                  <w:r>
                    <w:t>辅助工程</w:t>
                  </w:r>
                </w:p>
              </w:tc>
              <w:tc>
                <w:tcPr>
                  <w:tcW w:w="909" w:type="pct"/>
                  <w:vAlign w:val="center"/>
                </w:tcPr>
                <w:p w14:paraId="1994267A">
                  <w:pPr>
                    <w:pStyle w:val="29"/>
                  </w:pPr>
                  <w:r>
                    <w:t>办公区</w:t>
                  </w:r>
                </w:p>
              </w:tc>
              <w:tc>
                <w:tcPr>
                  <w:tcW w:w="3431" w:type="pct"/>
                  <w:gridSpan w:val="2"/>
                  <w:vAlign w:val="center"/>
                </w:tcPr>
                <w:p w14:paraId="6394E43E">
                  <w:pPr>
                    <w:pStyle w:val="29"/>
                    <w:rPr>
                      <w:rFonts w:eastAsiaTheme="minorEastAsia"/>
                      <w:kern w:val="2"/>
                    </w:rPr>
                  </w:pPr>
                  <w:r>
                    <w:rPr>
                      <w:rFonts w:eastAsiaTheme="minorEastAsia"/>
                      <w:kern w:val="2"/>
                    </w:rPr>
                    <w:t>位于厂房2楼</w:t>
                  </w:r>
                  <w:r>
                    <w:rPr>
                      <w:rFonts w:hint="eastAsia" w:eastAsiaTheme="minorEastAsia"/>
                      <w:color w:val="EE0000"/>
                      <w:kern w:val="2"/>
                    </w:rPr>
                    <w:t>西</w:t>
                  </w:r>
                  <w:r>
                    <w:rPr>
                      <w:rFonts w:eastAsiaTheme="minorEastAsia"/>
                      <w:kern w:val="2"/>
                    </w:rPr>
                    <w:t>北侧，建筑面积50m</w:t>
                  </w:r>
                  <w:r>
                    <w:rPr>
                      <w:rFonts w:eastAsiaTheme="minorEastAsia"/>
                      <w:kern w:val="2"/>
                      <w:vertAlign w:val="superscript"/>
                    </w:rPr>
                    <w:t>2</w:t>
                  </w:r>
                  <w:r>
                    <w:rPr>
                      <w:rFonts w:eastAsiaTheme="minorEastAsia"/>
                      <w:kern w:val="2"/>
                    </w:rPr>
                    <w:t>，用于办公。</w:t>
                  </w:r>
                </w:p>
              </w:tc>
            </w:tr>
            <w:tr w14:paraId="7BE62A69">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340" w:hRule="atLeast"/>
              </w:trPr>
              <w:tc>
                <w:tcPr>
                  <w:tcW w:w="660" w:type="pct"/>
                  <w:vMerge w:val="restart"/>
                  <w:vAlign w:val="center"/>
                </w:tcPr>
                <w:p w14:paraId="3609DD85">
                  <w:pPr>
                    <w:pStyle w:val="29"/>
                  </w:pPr>
                  <w:r>
                    <w:t>储运工程</w:t>
                  </w:r>
                </w:p>
              </w:tc>
              <w:tc>
                <w:tcPr>
                  <w:tcW w:w="909" w:type="pct"/>
                  <w:vAlign w:val="center"/>
                </w:tcPr>
                <w:p w14:paraId="3384040B">
                  <w:pPr>
                    <w:pStyle w:val="29"/>
                  </w:pPr>
                  <w:r>
                    <w:t>原料</w:t>
                  </w:r>
                  <w:r>
                    <w:rPr>
                      <w:rFonts w:hint="eastAsia"/>
                      <w:color w:val="EE0000"/>
                    </w:rPr>
                    <w:t>区</w:t>
                  </w:r>
                </w:p>
              </w:tc>
              <w:tc>
                <w:tcPr>
                  <w:tcW w:w="3431" w:type="pct"/>
                  <w:gridSpan w:val="2"/>
                  <w:vAlign w:val="center"/>
                </w:tcPr>
                <w:p w14:paraId="6A9BF3D5">
                  <w:pPr>
                    <w:pStyle w:val="29"/>
                    <w:rPr>
                      <w:rFonts w:eastAsiaTheme="minorEastAsia"/>
                      <w:kern w:val="2"/>
                    </w:rPr>
                  </w:pPr>
                  <w:r>
                    <w:rPr>
                      <w:rFonts w:eastAsiaTheme="minorEastAsia"/>
                      <w:kern w:val="2"/>
                    </w:rPr>
                    <w:t>位于1楼东侧，建筑面积80m</w:t>
                  </w:r>
                  <w:r>
                    <w:rPr>
                      <w:rFonts w:eastAsiaTheme="minorEastAsia"/>
                      <w:kern w:val="2"/>
                      <w:vertAlign w:val="superscript"/>
                    </w:rPr>
                    <w:t>2</w:t>
                  </w:r>
                  <w:r>
                    <w:rPr>
                      <w:rFonts w:eastAsiaTheme="minorEastAsia"/>
                      <w:kern w:val="2"/>
                    </w:rPr>
                    <w:t>，主要储存固体料，包括塑胶粒、色粉等，皆为袋装。</w:t>
                  </w:r>
                </w:p>
              </w:tc>
            </w:tr>
            <w:tr w14:paraId="185B5D70">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340" w:hRule="atLeast"/>
              </w:trPr>
              <w:tc>
                <w:tcPr>
                  <w:tcW w:w="660" w:type="pct"/>
                  <w:vMerge w:val="continue"/>
                  <w:vAlign w:val="center"/>
                </w:tcPr>
                <w:p w14:paraId="4DAF5FFA">
                  <w:pPr>
                    <w:pStyle w:val="29"/>
                  </w:pPr>
                </w:p>
              </w:tc>
              <w:tc>
                <w:tcPr>
                  <w:tcW w:w="909" w:type="pct"/>
                  <w:vAlign w:val="center"/>
                </w:tcPr>
                <w:p w14:paraId="5C01E591">
                  <w:pPr>
                    <w:pStyle w:val="29"/>
                  </w:pPr>
                  <w:r>
                    <w:t>仓库1</w:t>
                  </w:r>
                </w:p>
              </w:tc>
              <w:tc>
                <w:tcPr>
                  <w:tcW w:w="3431" w:type="pct"/>
                  <w:gridSpan w:val="2"/>
                  <w:vAlign w:val="center"/>
                </w:tcPr>
                <w:p w14:paraId="4FD0CD28">
                  <w:pPr>
                    <w:pStyle w:val="29"/>
                    <w:rPr>
                      <w:rFonts w:eastAsiaTheme="minorEastAsia"/>
                      <w:kern w:val="2"/>
                    </w:rPr>
                  </w:pPr>
                  <w:r>
                    <w:rPr>
                      <w:rFonts w:eastAsiaTheme="minorEastAsia"/>
                      <w:kern w:val="2"/>
                    </w:rPr>
                    <w:t>位于2楼，建筑面积约200m</w:t>
                  </w:r>
                  <w:r>
                    <w:rPr>
                      <w:rFonts w:eastAsiaTheme="minorEastAsia"/>
                      <w:kern w:val="2"/>
                      <w:vertAlign w:val="superscript"/>
                    </w:rPr>
                    <w:t>2</w:t>
                  </w:r>
                  <w:r>
                    <w:rPr>
                      <w:rFonts w:eastAsiaTheme="minorEastAsia"/>
                      <w:kern w:val="2"/>
                    </w:rPr>
                    <w:t>，主要储存塑料件（成品、半成品）、钢材。</w:t>
                  </w:r>
                </w:p>
              </w:tc>
            </w:tr>
            <w:tr w14:paraId="2FE65E42">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340" w:hRule="atLeast"/>
              </w:trPr>
              <w:tc>
                <w:tcPr>
                  <w:tcW w:w="660" w:type="pct"/>
                  <w:vMerge w:val="continue"/>
                  <w:vAlign w:val="center"/>
                </w:tcPr>
                <w:p w14:paraId="4F1EC547">
                  <w:pPr>
                    <w:pStyle w:val="29"/>
                  </w:pPr>
                </w:p>
              </w:tc>
              <w:tc>
                <w:tcPr>
                  <w:tcW w:w="909" w:type="pct"/>
                  <w:vAlign w:val="center"/>
                </w:tcPr>
                <w:p w14:paraId="6A830D22">
                  <w:pPr>
                    <w:pStyle w:val="29"/>
                  </w:pPr>
                  <w:r>
                    <w:t>仓库2</w:t>
                  </w:r>
                </w:p>
              </w:tc>
              <w:tc>
                <w:tcPr>
                  <w:tcW w:w="3431" w:type="pct"/>
                  <w:gridSpan w:val="2"/>
                  <w:vAlign w:val="center"/>
                </w:tcPr>
                <w:p w14:paraId="409BB11C">
                  <w:pPr>
                    <w:pStyle w:val="29"/>
                    <w:rPr>
                      <w:rFonts w:eastAsiaTheme="minorEastAsia"/>
                      <w:kern w:val="2"/>
                    </w:rPr>
                  </w:pPr>
                  <w:r>
                    <w:rPr>
                      <w:rFonts w:eastAsiaTheme="minorEastAsia"/>
                      <w:kern w:val="2"/>
                    </w:rPr>
                    <w:t>位于3楼</w:t>
                  </w:r>
                  <w:r>
                    <w:rPr>
                      <w:rFonts w:hint="eastAsia" w:eastAsiaTheme="minorEastAsia"/>
                      <w:color w:val="EE0000"/>
                      <w:kern w:val="2"/>
                    </w:rPr>
                    <w:t>北侧</w:t>
                  </w:r>
                  <w:r>
                    <w:rPr>
                      <w:rFonts w:eastAsiaTheme="minorEastAsia"/>
                      <w:kern w:val="2"/>
                    </w:rPr>
                    <w:t>，建筑面积约20 m</w:t>
                  </w:r>
                  <w:r>
                    <w:rPr>
                      <w:rFonts w:eastAsiaTheme="minorEastAsia"/>
                      <w:kern w:val="2"/>
                      <w:vertAlign w:val="superscript"/>
                    </w:rPr>
                    <w:t>2</w:t>
                  </w:r>
                  <w:r>
                    <w:rPr>
                      <w:rFonts w:eastAsiaTheme="minorEastAsia"/>
                      <w:kern w:val="2"/>
                    </w:rPr>
                    <w:t>，主要存放液态料（水性油墨、水性面漆、机油、</w:t>
                  </w:r>
                  <w:r>
                    <w:rPr>
                      <w:rFonts w:eastAsiaTheme="minorEastAsia"/>
                      <w:color w:val="0000FF"/>
                      <w:kern w:val="2"/>
                    </w:rPr>
                    <w:t>电火花机</w:t>
                  </w:r>
                  <w:r>
                    <w:rPr>
                      <w:rFonts w:eastAsiaTheme="minorEastAsia"/>
                      <w:kern w:val="2"/>
                    </w:rPr>
                    <w:t>油等）。</w:t>
                  </w:r>
                </w:p>
              </w:tc>
            </w:tr>
            <w:tr w14:paraId="11E79252">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340" w:hRule="atLeast"/>
              </w:trPr>
              <w:tc>
                <w:tcPr>
                  <w:tcW w:w="660" w:type="pct"/>
                  <w:vMerge w:val="restart"/>
                  <w:vAlign w:val="center"/>
                </w:tcPr>
                <w:p w14:paraId="2B2E1C89">
                  <w:pPr>
                    <w:pStyle w:val="29"/>
                  </w:pPr>
                  <w:r>
                    <w:t>公用工程</w:t>
                  </w:r>
                </w:p>
              </w:tc>
              <w:tc>
                <w:tcPr>
                  <w:tcW w:w="909" w:type="pct"/>
                  <w:vAlign w:val="center"/>
                </w:tcPr>
                <w:p w14:paraId="23097915">
                  <w:pPr>
                    <w:pStyle w:val="29"/>
                  </w:pPr>
                  <w:r>
                    <w:t>给水系统</w:t>
                  </w:r>
                </w:p>
              </w:tc>
              <w:tc>
                <w:tcPr>
                  <w:tcW w:w="3431" w:type="pct"/>
                  <w:gridSpan w:val="2"/>
                  <w:vAlign w:val="center"/>
                </w:tcPr>
                <w:p w14:paraId="3D76CEC8">
                  <w:pPr>
                    <w:pStyle w:val="29"/>
                    <w:rPr>
                      <w:rFonts w:eastAsiaTheme="minorEastAsia"/>
                      <w:kern w:val="2"/>
                    </w:rPr>
                  </w:pPr>
                  <w:r>
                    <w:rPr>
                      <w:rFonts w:eastAsiaTheme="minorEastAsia"/>
                      <w:kern w:val="2"/>
                    </w:rPr>
                    <w:t>由市政供水管网供给。</w:t>
                  </w:r>
                </w:p>
              </w:tc>
            </w:tr>
            <w:tr w14:paraId="00A9D209">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340" w:hRule="atLeast"/>
              </w:trPr>
              <w:tc>
                <w:tcPr>
                  <w:tcW w:w="660" w:type="pct"/>
                  <w:vMerge w:val="continue"/>
                  <w:vAlign w:val="center"/>
                </w:tcPr>
                <w:p w14:paraId="7BE50816">
                  <w:pPr>
                    <w:pStyle w:val="29"/>
                  </w:pPr>
                </w:p>
              </w:tc>
              <w:tc>
                <w:tcPr>
                  <w:tcW w:w="909" w:type="pct"/>
                  <w:vAlign w:val="center"/>
                </w:tcPr>
                <w:p w14:paraId="1C742BF4">
                  <w:pPr>
                    <w:pStyle w:val="29"/>
                  </w:pPr>
                  <w:r>
                    <w:t>排水系统</w:t>
                  </w:r>
                </w:p>
              </w:tc>
              <w:tc>
                <w:tcPr>
                  <w:tcW w:w="3431" w:type="pct"/>
                  <w:gridSpan w:val="2"/>
                  <w:vAlign w:val="center"/>
                </w:tcPr>
                <w:p w14:paraId="2FC70223">
                  <w:pPr>
                    <w:pStyle w:val="29"/>
                    <w:rPr>
                      <w:rFonts w:eastAsiaTheme="minorEastAsia"/>
                      <w:kern w:val="2"/>
                    </w:rPr>
                  </w:pPr>
                  <w:r>
                    <w:rPr>
                      <w:rFonts w:eastAsiaTheme="minorEastAsia"/>
                      <w:kern w:val="2"/>
                    </w:rPr>
                    <w:t>雨污分流</w:t>
                  </w:r>
                </w:p>
              </w:tc>
            </w:tr>
            <w:tr w14:paraId="3AC3AF32">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340" w:hRule="atLeast"/>
              </w:trPr>
              <w:tc>
                <w:tcPr>
                  <w:tcW w:w="660" w:type="pct"/>
                  <w:vMerge w:val="continue"/>
                  <w:vAlign w:val="center"/>
                </w:tcPr>
                <w:p w14:paraId="0DEB442B">
                  <w:pPr>
                    <w:pStyle w:val="29"/>
                  </w:pPr>
                </w:p>
              </w:tc>
              <w:tc>
                <w:tcPr>
                  <w:tcW w:w="909" w:type="pct"/>
                  <w:vAlign w:val="center"/>
                </w:tcPr>
                <w:p w14:paraId="15A2CF23">
                  <w:pPr>
                    <w:pStyle w:val="29"/>
                  </w:pPr>
                  <w:r>
                    <w:t>消防系统</w:t>
                  </w:r>
                </w:p>
              </w:tc>
              <w:tc>
                <w:tcPr>
                  <w:tcW w:w="3431" w:type="pct"/>
                  <w:gridSpan w:val="2"/>
                  <w:vAlign w:val="center"/>
                </w:tcPr>
                <w:p w14:paraId="21F12275">
                  <w:pPr>
                    <w:pStyle w:val="29"/>
                    <w:rPr>
                      <w:rFonts w:eastAsiaTheme="minorEastAsia"/>
                      <w:kern w:val="2"/>
                    </w:rPr>
                  </w:pPr>
                  <w:r>
                    <w:rPr>
                      <w:rFonts w:eastAsiaTheme="minorEastAsia"/>
                      <w:kern w:val="2"/>
                    </w:rPr>
                    <w:t>依托厂房的喷淋系统、消火栓系统及企业自备的灭火器。</w:t>
                  </w:r>
                </w:p>
              </w:tc>
            </w:tr>
            <w:tr w14:paraId="7DC8189C">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340" w:hRule="atLeast"/>
              </w:trPr>
              <w:tc>
                <w:tcPr>
                  <w:tcW w:w="660" w:type="pct"/>
                  <w:vMerge w:val="continue"/>
                  <w:vAlign w:val="center"/>
                </w:tcPr>
                <w:p w14:paraId="0024D457">
                  <w:pPr>
                    <w:pStyle w:val="29"/>
                  </w:pPr>
                </w:p>
              </w:tc>
              <w:tc>
                <w:tcPr>
                  <w:tcW w:w="909" w:type="pct"/>
                  <w:vAlign w:val="center"/>
                </w:tcPr>
                <w:p w14:paraId="1FF2CE32">
                  <w:pPr>
                    <w:pStyle w:val="29"/>
                  </w:pPr>
                  <w:r>
                    <w:t>供电系统</w:t>
                  </w:r>
                </w:p>
              </w:tc>
              <w:tc>
                <w:tcPr>
                  <w:tcW w:w="3431" w:type="pct"/>
                  <w:gridSpan w:val="2"/>
                  <w:vAlign w:val="center"/>
                </w:tcPr>
                <w:p w14:paraId="40DD1DAC">
                  <w:pPr>
                    <w:pStyle w:val="29"/>
                    <w:rPr>
                      <w:rFonts w:eastAsiaTheme="minorEastAsia"/>
                      <w:kern w:val="2"/>
                    </w:rPr>
                  </w:pPr>
                  <w:r>
                    <w:rPr>
                      <w:rFonts w:eastAsiaTheme="minorEastAsia"/>
                      <w:kern w:val="2"/>
                    </w:rPr>
                    <w:t>由市政电网供电。</w:t>
                  </w:r>
                </w:p>
              </w:tc>
            </w:tr>
            <w:tr w14:paraId="1D694D74">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340" w:hRule="atLeast"/>
              </w:trPr>
              <w:tc>
                <w:tcPr>
                  <w:tcW w:w="660" w:type="pct"/>
                  <w:vMerge w:val="restart"/>
                  <w:vAlign w:val="center"/>
                </w:tcPr>
                <w:p w14:paraId="006523AB">
                  <w:pPr>
                    <w:pStyle w:val="29"/>
                  </w:pPr>
                  <w:r>
                    <w:t>环保工程</w:t>
                  </w:r>
                </w:p>
              </w:tc>
              <w:tc>
                <w:tcPr>
                  <w:tcW w:w="909" w:type="pct"/>
                  <w:vMerge w:val="restart"/>
                  <w:vAlign w:val="center"/>
                </w:tcPr>
                <w:p w14:paraId="43160880">
                  <w:pPr>
                    <w:pStyle w:val="29"/>
                  </w:pPr>
                  <w:r>
                    <w:t>废水处理</w:t>
                  </w:r>
                </w:p>
              </w:tc>
              <w:tc>
                <w:tcPr>
                  <w:tcW w:w="3431" w:type="pct"/>
                  <w:gridSpan w:val="2"/>
                  <w:vAlign w:val="center"/>
                </w:tcPr>
                <w:p w14:paraId="3F50E4E0">
                  <w:pPr>
                    <w:pStyle w:val="29"/>
                    <w:rPr>
                      <w:rFonts w:eastAsiaTheme="minorEastAsia"/>
                      <w:kern w:val="2"/>
                    </w:rPr>
                  </w:pPr>
                  <w:r>
                    <w:rPr>
                      <w:rFonts w:eastAsiaTheme="minorEastAsia"/>
                      <w:kern w:val="2"/>
                    </w:rPr>
                    <w:t>生活污水经三级化粪池预处理经市政管网排入博罗县园洲镇第五生活污水处理厂处理进行深度处理，尾水排入园洲镇中心排渠后汇入沙河。</w:t>
                  </w:r>
                </w:p>
              </w:tc>
            </w:tr>
            <w:tr w14:paraId="3B09BE82">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340" w:hRule="atLeast"/>
              </w:trPr>
              <w:tc>
                <w:tcPr>
                  <w:tcW w:w="660" w:type="pct"/>
                  <w:vMerge w:val="continue"/>
                  <w:vAlign w:val="center"/>
                </w:tcPr>
                <w:p w14:paraId="7AC5F109">
                  <w:pPr>
                    <w:pStyle w:val="29"/>
                  </w:pPr>
                </w:p>
              </w:tc>
              <w:tc>
                <w:tcPr>
                  <w:tcW w:w="909" w:type="pct"/>
                  <w:vMerge w:val="continue"/>
                  <w:vAlign w:val="center"/>
                </w:tcPr>
                <w:p w14:paraId="16BCD22B">
                  <w:pPr>
                    <w:pStyle w:val="29"/>
                  </w:pPr>
                </w:p>
              </w:tc>
              <w:tc>
                <w:tcPr>
                  <w:tcW w:w="3431" w:type="pct"/>
                  <w:gridSpan w:val="2"/>
                  <w:vAlign w:val="center"/>
                </w:tcPr>
                <w:p w14:paraId="64D784AD">
                  <w:pPr>
                    <w:pStyle w:val="29"/>
                    <w:rPr>
                      <w:rFonts w:eastAsiaTheme="minorEastAsia"/>
                      <w:kern w:val="2"/>
                    </w:rPr>
                  </w:pPr>
                  <w:r>
                    <w:rPr>
                      <w:rFonts w:eastAsiaTheme="minorEastAsia"/>
                      <w:kern w:val="2"/>
                    </w:rPr>
                    <w:t>冷却用水循环使用，定期补充，不外排；水帘柜用水、喷淋用水循环使用，定期补充；喷淋废液、水帘柜废液、喷枪清洗废水交由有危废资质单位处理</w:t>
                  </w:r>
                </w:p>
              </w:tc>
            </w:tr>
            <w:tr w14:paraId="1A078B50">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340" w:hRule="atLeast"/>
              </w:trPr>
              <w:tc>
                <w:tcPr>
                  <w:tcW w:w="660" w:type="pct"/>
                  <w:vMerge w:val="continue"/>
                  <w:vAlign w:val="center"/>
                </w:tcPr>
                <w:p w14:paraId="7FDE5D03">
                  <w:pPr>
                    <w:pStyle w:val="29"/>
                  </w:pPr>
                </w:p>
              </w:tc>
              <w:tc>
                <w:tcPr>
                  <w:tcW w:w="909" w:type="pct"/>
                  <w:vMerge w:val="restart"/>
                  <w:vAlign w:val="center"/>
                </w:tcPr>
                <w:p w14:paraId="10A3297D">
                  <w:pPr>
                    <w:pStyle w:val="29"/>
                  </w:pPr>
                  <w:r>
                    <w:t>废气处理</w:t>
                  </w:r>
                </w:p>
              </w:tc>
              <w:tc>
                <w:tcPr>
                  <w:tcW w:w="1027" w:type="pct"/>
                  <w:vAlign w:val="center"/>
                </w:tcPr>
                <w:p w14:paraId="3D6D7034">
                  <w:pPr>
                    <w:pStyle w:val="29"/>
                    <w:rPr>
                      <w:rFonts w:eastAsiaTheme="minorEastAsia"/>
                      <w:kern w:val="2"/>
                    </w:rPr>
                  </w:pPr>
                  <w:r>
                    <w:rPr>
                      <w:rFonts w:eastAsiaTheme="minorEastAsia"/>
                      <w:kern w:val="2"/>
                    </w:rPr>
                    <w:t>注塑废气</w:t>
                  </w:r>
                </w:p>
              </w:tc>
              <w:tc>
                <w:tcPr>
                  <w:tcW w:w="2404" w:type="pct"/>
                  <w:vMerge w:val="restart"/>
                  <w:vAlign w:val="center"/>
                </w:tcPr>
                <w:p w14:paraId="2A765E2C">
                  <w:pPr>
                    <w:pStyle w:val="29"/>
                    <w:rPr>
                      <w:rFonts w:eastAsiaTheme="minorEastAsia"/>
                      <w:kern w:val="2"/>
                    </w:rPr>
                  </w:pPr>
                  <w:r>
                    <w:rPr>
                      <w:rFonts w:eastAsiaTheme="minorEastAsia"/>
                      <w:kern w:val="2"/>
                    </w:rPr>
                    <w:t>收集后引至</w:t>
                  </w:r>
                  <w:r>
                    <w:rPr>
                      <w:rFonts w:ascii="宋体" w:hAnsi="宋体" w:eastAsiaTheme="minorEastAsia"/>
                      <w:kern w:val="2"/>
                    </w:rPr>
                    <w:t>“</w:t>
                  </w:r>
                  <w:r>
                    <w:rPr>
                      <w:rFonts w:eastAsiaTheme="minorEastAsia"/>
                      <w:kern w:val="2"/>
                    </w:rPr>
                    <w:t>水喷淋+干式过滤器+二级活性炭吸附装置</w:t>
                  </w:r>
                  <w:r>
                    <w:rPr>
                      <w:rFonts w:ascii="宋体" w:hAnsi="宋体" w:eastAsiaTheme="minorEastAsia"/>
                      <w:kern w:val="2"/>
                    </w:rPr>
                    <w:t>”</w:t>
                  </w:r>
                  <w:r>
                    <w:rPr>
                      <w:rFonts w:eastAsiaTheme="minorEastAsia"/>
                      <w:kern w:val="2"/>
                    </w:rPr>
                    <w:t>处理达标后通过65米高排放口DA001高空排放</w:t>
                  </w:r>
                </w:p>
              </w:tc>
            </w:tr>
            <w:tr w14:paraId="40825AF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340" w:hRule="atLeast"/>
              </w:trPr>
              <w:tc>
                <w:tcPr>
                  <w:tcW w:w="660" w:type="pct"/>
                  <w:vMerge w:val="continue"/>
                  <w:vAlign w:val="center"/>
                </w:tcPr>
                <w:p w14:paraId="366E076D">
                  <w:pPr>
                    <w:pStyle w:val="29"/>
                  </w:pPr>
                </w:p>
              </w:tc>
              <w:tc>
                <w:tcPr>
                  <w:tcW w:w="909" w:type="pct"/>
                  <w:vMerge w:val="continue"/>
                  <w:vAlign w:val="center"/>
                </w:tcPr>
                <w:p w14:paraId="361FACCD">
                  <w:pPr>
                    <w:pStyle w:val="29"/>
                  </w:pPr>
                </w:p>
              </w:tc>
              <w:tc>
                <w:tcPr>
                  <w:tcW w:w="1027" w:type="pct"/>
                  <w:vAlign w:val="center"/>
                </w:tcPr>
                <w:p w14:paraId="783503E5">
                  <w:pPr>
                    <w:pStyle w:val="29"/>
                    <w:rPr>
                      <w:rFonts w:eastAsiaTheme="minorEastAsia"/>
                      <w:kern w:val="2"/>
                    </w:rPr>
                  </w:pPr>
                  <w:r>
                    <w:rPr>
                      <w:rFonts w:hint="eastAsia" w:eastAsiaTheme="minorEastAsia"/>
                      <w:kern w:val="2"/>
                    </w:rPr>
                    <w:t>胶合废气</w:t>
                  </w:r>
                </w:p>
              </w:tc>
              <w:tc>
                <w:tcPr>
                  <w:tcW w:w="2404" w:type="pct"/>
                  <w:vMerge w:val="continue"/>
                  <w:vAlign w:val="center"/>
                </w:tcPr>
                <w:p w14:paraId="24E356B6">
                  <w:pPr>
                    <w:pStyle w:val="29"/>
                    <w:rPr>
                      <w:rFonts w:eastAsiaTheme="minorEastAsia"/>
                      <w:kern w:val="2"/>
                    </w:rPr>
                  </w:pPr>
                </w:p>
              </w:tc>
            </w:tr>
            <w:tr w14:paraId="6C830992">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340" w:hRule="atLeast"/>
              </w:trPr>
              <w:tc>
                <w:tcPr>
                  <w:tcW w:w="660" w:type="pct"/>
                  <w:vMerge w:val="continue"/>
                  <w:vAlign w:val="center"/>
                </w:tcPr>
                <w:p w14:paraId="2423F4C7">
                  <w:pPr>
                    <w:pStyle w:val="29"/>
                  </w:pPr>
                </w:p>
              </w:tc>
              <w:tc>
                <w:tcPr>
                  <w:tcW w:w="909" w:type="pct"/>
                  <w:vMerge w:val="continue"/>
                  <w:vAlign w:val="center"/>
                </w:tcPr>
                <w:p w14:paraId="12723D67">
                  <w:pPr>
                    <w:pStyle w:val="29"/>
                  </w:pPr>
                </w:p>
              </w:tc>
              <w:tc>
                <w:tcPr>
                  <w:tcW w:w="1027" w:type="pct"/>
                  <w:vAlign w:val="center"/>
                </w:tcPr>
                <w:p w14:paraId="43AA5A5B">
                  <w:pPr>
                    <w:pStyle w:val="29"/>
                    <w:rPr>
                      <w:rFonts w:eastAsiaTheme="minorEastAsia"/>
                      <w:kern w:val="2"/>
                    </w:rPr>
                  </w:pPr>
                  <w:r>
                    <w:rPr>
                      <w:rFonts w:eastAsiaTheme="minorEastAsia"/>
                      <w:kern w:val="2"/>
                    </w:rPr>
                    <w:t>喷漆废气、烘干废气</w:t>
                  </w:r>
                </w:p>
              </w:tc>
              <w:tc>
                <w:tcPr>
                  <w:tcW w:w="2404" w:type="pct"/>
                  <w:vMerge w:val="continue"/>
                  <w:vAlign w:val="center"/>
                </w:tcPr>
                <w:p w14:paraId="795928E6">
                  <w:pPr>
                    <w:pStyle w:val="29"/>
                    <w:rPr>
                      <w:rFonts w:eastAsiaTheme="minorEastAsia"/>
                      <w:kern w:val="2"/>
                    </w:rPr>
                  </w:pPr>
                </w:p>
              </w:tc>
            </w:tr>
            <w:tr w14:paraId="2979D92F">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340" w:hRule="atLeast"/>
              </w:trPr>
              <w:tc>
                <w:tcPr>
                  <w:tcW w:w="660" w:type="pct"/>
                  <w:vMerge w:val="continue"/>
                  <w:vAlign w:val="center"/>
                </w:tcPr>
                <w:p w14:paraId="7A13165A">
                  <w:pPr>
                    <w:pStyle w:val="29"/>
                  </w:pPr>
                </w:p>
              </w:tc>
              <w:tc>
                <w:tcPr>
                  <w:tcW w:w="909" w:type="pct"/>
                  <w:vMerge w:val="continue"/>
                  <w:vAlign w:val="center"/>
                </w:tcPr>
                <w:p w14:paraId="494D85B0">
                  <w:pPr>
                    <w:pStyle w:val="29"/>
                  </w:pPr>
                </w:p>
              </w:tc>
              <w:tc>
                <w:tcPr>
                  <w:tcW w:w="1027" w:type="pct"/>
                  <w:vAlign w:val="center"/>
                </w:tcPr>
                <w:p w14:paraId="3E0E88AE">
                  <w:pPr>
                    <w:pStyle w:val="29"/>
                    <w:rPr>
                      <w:rFonts w:eastAsiaTheme="minorEastAsia"/>
                      <w:kern w:val="2"/>
                    </w:rPr>
                  </w:pPr>
                  <w:r>
                    <w:rPr>
                      <w:rFonts w:eastAsiaTheme="minorEastAsia"/>
                      <w:kern w:val="2"/>
                    </w:rPr>
                    <w:t>印刷废气</w:t>
                  </w:r>
                </w:p>
              </w:tc>
              <w:tc>
                <w:tcPr>
                  <w:tcW w:w="2404" w:type="pct"/>
                  <w:vMerge w:val="continue"/>
                  <w:vAlign w:val="center"/>
                </w:tcPr>
                <w:p w14:paraId="4E9E4996">
                  <w:pPr>
                    <w:pStyle w:val="29"/>
                    <w:rPr>
                      <w:rFonts w:eastAsiaTheme="minorEastAsia"/>
                      <w:kern w:val="2"/>
                    </w:rPr>
                  </w:pPr>
                </w:p>
              </w:tc>
            </w:tr>
            <w:tr w14:paraId="2D9F76DE">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340" w:hRule="atLeast"/>
              </w:trPr>
              <w:tc>
                <w:tcPr>
                  <w:tcW w:w="660" w:type="pct"/>
                  <w:vMerge w:val="continue"/>
                  <w:vAlign w:val="center"/>
                </w:tcPr>
                <w:p w14:paraId="7649DF8F">
                  <w:pPr>
                    <w:pStyle w:val="29"/>
                  </w:pPr>
                </w:p>
              </w:tc>
              <w:tc>
                <w:tcPr>
                  <w:tcW w:w="909" w:type="pct"/>
                  <w:vMerge w:val="continue"/>
                  <w:vAlign w:val="center"/>
                </w:tcPr>
                <w:p w14:paraId="0B1266AA">
                  <w:pPr>
                    <w:pStyle w:val="29"/>
                  </w:pPr>
                </w:p>
              </w:tc>
              <w:tc>
                <w:tcPr>
                  <w:tcW w:w="3431" w:type="pct"/>
                  <w:gridSpan w:val="2"/>
                  <w:vAlign w:val="center"/>
                </w:tcPr>
                <w:p w14:paraId="057326AD">
                  <w:pPr>
                    <w:pStyle w:val="29"/>
                    <w:rPr>
                      <w:rFonts w:eastAsiaTheme="minorEastAsia"/>
                      <w:kern w:val="2"/>
                    </w:rPr>
                  </w:pPr>
                  <w:r>
                    <w:rPr>
                      <w:rFonts w:eastAsiaTheme="minorEastAsia"/>
                      <w:color w:val="EE0000"/>
                      <w:kern w:val="2"/>
                    </w:rPr>
                    <w:t>投料粉尘</w:t>
                  </w:r>
                  <w:r>
                    <w:rPr>
                      <w:rFonts w:eastAsiaTheme="minorEastAsia"/>
                      <w:kern w:val="2"/>
                    </w:rPr>
                    <w:t>、破碎粉尘、焊接烟尘产生量较少，通过无组织排放</w:t>
                  </w:r>
                </w:p>
              </w:tc>
            </w:tr>
            <w:tr w14:paraId="614AD1C5">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340" w:hRule="atLeast"/>
              </w:trPr>
              <w:tc>
                <w:tcPr>
                  <w:tcW w:w="660" w:type="pct"/>
                  <w:vMerge w:val="continue"/>
                  <w:vAlign w:val="center"/>
                </w:tcPr>
                <w:p w14:paraId="052B6D57">
                  <w:pPr>
                    <w:pStyle w:val="29"/>
                  </w:pPr>
                </w:p>
              </w:tc>
              <w:tc>
                <w:tcPr>
                  <w:tcW w:w="909" w:type="pct"/>
                  <w:vAlign w:val="center"/>
                </w:tcPr>
                <w:p w14:paraId="6E0E643D">
                  <w:pPr>
                    <w:pStyle w:val="29"/>
                  </w:pPr>
                  <w:r>
                    <w:t>噪声防治设施</w:t>
                  </w:r>
                </w:p>
              </w:tc>
              <w:tc>
                <w:tcPr>
                  <w:tcW w:w="3431" w:type="pct"/>
                  <w:gridSpan w:val="2"/>
                  <w:vAlign w:val="center"/>
                </w:tcPr>
                <w:p w14:paraId="39287CDC">
                  <w:pPr>
                    <w:pStyle w:val="29"/>
                    <w:rPr>
                      <w:rFonts w:eastAsiaTheme="minorEastAsia"/>
                      <w:kern w:val="2"/>
                    </w:rPr>
                  </w:pPr>
                  <w:r>
                    <w:rPr>
                      <w:rFonts w:eastAsiaTheme="minorEastAsia"/>
                      <w:kern w:val="2"/>
                    </w:rPr>
                    <w:t>隔声、降噪、减振等</w:t>
                  </w:r>
                </w:p>
              </w:tc>
            </w:tr>
            <w:tr w14:paraId="6826A580">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340" w:hRule="atLeast"/>
              </w:trPr>
              <w:tc>
                <w:tcPr>
                  <w:tcW w:w="660" w:type="pct"/>
                  <w:vMerge w:val="continue"/>
                  <w:vAlign w:val="center"/>
                </w:tcPr>
                <w:p w14:paraId="0E5E6835">
                  <w:pPr>
                    <w:pStyle w:val="29"/>
                  </w:pPr>
                </w:p>
              </w:tc>
              <w:tc>
                <w:tcPr>
                  <w:tcW w:w="909" w:type="pct"/>
                  <w:vMerge w:val="restart"/>
                  <w:vAlign w:val="center"/>
                </w:tcPr>
                <w:p w14:paraId="56D07379">
                  <w:pPr>
                    <w:pStyle w:val="29"/>
                  </w:pPr>
                  <w:r>
                    <w:t>固体废物贮存设施</w:t>
                  </w:r>
                </w:p>
              </w:tc>
              <w:tc>
                <w:tcPr>
                  <w:tcW w:w="1027" w:type="pct"/>
                  <w:vAlign w:val="center"/>
                </w:tcPr>
                <w:p w14:paraId="15EAC7F8">
                  <w:pPr>
                    <w:pStyle w:val="29"/>
                    <w:rPr>
                      <w:rFonts w:eastAsiaTheme="minorEastAsia"/>
                      <w:kern w:val="2"/>
                    </w:rPr>
                  </w:pPr>
                  <w:r>
                    <w:rPr>
                      <w:rFonts w:eastAsiaTheme="minorEastAsia"/>
                      <w:kern w:val="2"/>
                    </w:rPr>
                    <w:t>一般固废间</w:t>
                  </w:r>
                </w:p>
              </w:tc>
              <w:tc>
                <w:tcPr>
                  <w:tcW w:w="2404" w:type="pct"/>
                  <w:vAlign w:val="center"/>
                </w:tcPr>
                <w:p w14:paraId="6B0634DB">
                  <w:pPr>
                    <w:pStyle w:val="29"/>
                    <w:rPr>
                      <w:rFonts w:eastAsiaTheme="minorEastAsia"/>
                      <w:kern w:val="2"/>
                    </w:rPr>
                  </w:pPr>
                  <w:r>
                    <w:rPr>
                      <w:rFonts w:eastAsiaTheme="minorEastAsia"/>
                      <w:kern w:val="2"/>
                    </w:rPr>
                    <w:t>位于3楼北侧；建筑面积20m</w:t>
                  </w:r>
                  <w:r>
                    <w:rPr>
                      <w:rFonts w:eastAsiaTheme="minorEastAsia"/>
                      <w:kern w:val="2"/>
                      <w:vertAlign w:val="superscript"/>
                    </w:rPr>
                    <w:t>2</w:t>
                  </w:r>
                  <w:r>
                    <w:rPr>
                      <w:rFonts w:eastAsiaTheme="minorEastAsia"/>
                      <w:kern w:val="2"/>
                    </w:rPr>
                    <w:t>，一般工业固体废物统一收集后交由专业回收公司处理</w:t>
                  </w:r>
                </w:p>
              </w:tc>
            </w:tr>
            <w:tr w14:paraId="72CA6692">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340" w:hRule="atLeast"/>
              </w:trPr>
              <w:tc>
                <w:tcPr>
                  <w:tcW w:w="660" w:type="pct"/>
                  <w:vMerge w:val="continue"/>
                  <w:vAlign w:val="center"/>
                </w:tcPr>
                <w:p w14:paraId="2DA807BA">
                  <w:pPr>
                    <w:pStyle w:val="29"/>
                  </w:pPr>
                </w:p>
              </w:tc>
              <w:tc>
                <w:tcPr>
                  <w:tcW w:w="909" w:type="pct"/>
                  <w:vMerge w:val="continue"/>
                  <w:vAlign w:val="center"/>
                </w:tcPr>
                <w:p w14:paraId="223D3773">
                  <w:pPr>
                    <w:pStyle w:val="29"/>
                  </w:pPr>
                </w:p>
              </w:tc>
              <w:tc>
                <w:tcPr>
                  <w:tcW w:w="1027" w:type="pct"/>
                  <w:vAlign w:val="center"/>
                </w:tcPr>
                <w:p w14:paraId="2184F831">
                  <w:pPr>
                    <w:pStyle w:val="29"/>
                    <w:rPr>
                      <w:rFonts w:eastAsiaTheme="minorEastAsia"/>
                      <w:kern w:val="2"/>
                    </w:rPr>
                  </w:pPr>
                  <w:r>
                    <w:rPr>
                      <w:rFonts w:eastAsiaTheme="minorEastAsia"/>
                      <w:kern w:val="2"/>
                    </w:rPr>
                    <w:t>危废暂存间</w:t>
                  </w:r>
                </w:p>
              </w:tc>
              <w:tc>
                <w:tcPr>
                  <w:tcW w:w="2404" w:type="pct"/>
                  <w:vAlign w:val="center"/>
                </w:tcPr>
                <w:p w14:paraId="0532393C">
                  <w:pPr>
                    <w:pStyle w:val="29"/>
                    <w:rPr>
                      <w:rFonts w:eastAsiaTheme="minorEastAsia"/>
                      <w:kern w:val="2"/>
                    </w:rPr>
                  </w:pPr>
                  <w:r>
                    <w:rPr>
                      <w:rFonts w:eastAsiaTheme="minorEastAsia"/>
                      <w:kern w:val="2"/>
                    </w:rPr>
                    <w:t>位于3楼北侧；建筑面积20m</w:t>
                  </w:r>
                  <w:r>
                    <w:rPr>
                      <w:rFonts w:eastAsiaTheme="minorEastAsia"/>
                      <w:kern w:val="2"/>
                      <w:vertAlign w:val="superscript"/>
                    </w:rPr>
                    <w:t>2</w:t>
                  </w:r>
                  <w:r>
                    <w:rPr>
                      <w:rFonts w:eastAsiaTheme="minorEastAsia"/>
                      <w:kern w:val="2"/>
                    </w:rPr>
                    <w:t>，危险废物收集后交由有危险废物处理资质的单位处理。</w:t>
                  </w:r>
                </w:p>
              </w:tc>
            </w:tr>
            <w:tr w14:paraId="54F0EB85">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340" w:hRule="atLeast"/>
              </w:trPr>
              <w:tc>
                <w:tcPr>
                  <w:tcW w:w="660" w:type="pct"/>
                  <w:vAlign w:val="center"/>
                </w:tcPr>
                <w:p w14:paraId="59CDDC95">
                  <w:pPr>
                    <w:pStyle w:val="29"/>
                  </w:pPr>
                  <w:r>
                    <w:t>依托工程</w:t>
                  </w:r>
                </w:p>
              </w:tc>
              <w:tc>
                <w:tcPr>
                  <w:tcW w:w="4340" w:type="pct"/>
                  <w:gridSpan w:val="3"/>
                  <w:vAlign w:val="center"/>
                </w:tcPr>
                <w:p w14:paraId="49942F8C">
                  <w:pPr>
                    <w:pStyle w:val="29"/>
                  </w:pPr>
                  <w:r>
                    <w:t>博罗县园洲镇第五生活污水处理厂</w:t>
                  </w:r>
                </w:p>
              </w:tc>
            </w:tr>
          </w:tbl>
          <w:p w14:paraId="379DB7D7">
            <w:pPr>
              <w:ind w:firstLine="482"/>
              <w:rPr>
                <w:rFonts w:asciiTheme="majorBidi" w:hAnsiTheme="majorBidi" w:eastAsiaTheme="minorEastAsia" w:cstheme="majorBidi"/>
                <w:b/>
                <w:bCs/>
                <w:color w:val="000000" w:themeColor="text1"/>
                <w:kern w:val="2"/>
                <w:szCs w:val="21"/>
                <w14:textFill>
                  <w14:solidFill>
                    <w14:schemeClr w14:val="tx1"/>
                  </w14:solidFill>
                </w14:textFill>
              </w:rPr>
            </w:pPr>
            <w:r>
              <w:rPr>
                <w:rFonts w:asciiTheme="majorBidi" w:hAnsiTheme="majorBidi" w:eastAsiaTheme="minorEastAsia" w:cstheme="majorBidi"/>
                <w:b/>
                <w:bCs/>
                <w:color w:val="000000" w:themeColor="text1"/>
                <w:kern w:val="2"/>
                <w:szCs w:val="21"/>
                <w14:textFill>
                  <w14:solidFill>
                    <w14:schemeClr w14:val="tx1"/>
                  </w14:solidFill>
                </w14:textFill>
              </w:rPr>
              <w:t>2.主要产品及产能</w:t>
            </w:r>
          </w:p>
          <w:p w14:paraId="38A29470">
            <w:pPr>
              <w:pStyle w:val="11"/>
              <w:rPr>
                <w:bCs w:val="0"/>
              </w:rPr>
            </w:pPr>
            <w:r>
              <w:rPr>
                <w:bCs w:val="0"/>
              </w:rPr>
              <w:t>表2-2 项目产品方案</w:t>
            </w:r>
          </w:p>
          <w:tbl>
            <w:tblPr>
              <w:tblStyle w:val="43"/>
              <w:tblW w:w="8850" w:type="dxa"/>
              <w:tblInd w:w="0" w:type="dxa"/>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Layout w:type="fixed"/>
              <w:tblCellMar>
                <w:top w:w="0" w:type="dxa"/>
                <w:left w:w="28" w:type="dxa"/>
                <w:bottom w:w="0" w:type="dxa"/>
                <w:right w:w="28" w:type="dxa"/>
              </w:tblCellMar>
            </w:tblPr>
            <w:tblGrid>
              <w:gridCol w:w="1480"/>
              <w:gridCol w:w="1542"/>
              <w:gridCol w:w="1538"/>
              <w:gridCol w:w="1538"/>
              <w:gridCol w:w="2752"/>
            </w:tblGrid>
            <w:tr w14:paraId="6C0C7B52">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28" w:type="dxa"/>
                  <w:bottom w:w="0" w:type="dxa"/>
                  <w:right w:w="28" w:type="dxa"/>
                </w:tblCellMar>
              </w:tblPrEx>
              <w:trPr>
                <w:trHeight w:val="340" w:hRule="atLeast"/>
              </w:trPr>
              <w:tc>
                <w:tcPr>
                  <w:tcW w:w="836" w:type="pct"/>
                  <w:vAlign w:val="center"/>
                </w:tcPr>
                <w:p w14:paraId="502564A7">
                  <w:pPr>
                    <w:pStyle w:val="29"/>
                    <w:rPr>
                      <w:b/>
                      <w:bCs/>
                    </w:rPr>
                  </w:pPr>
                  <w:r>
                    <w:rPr>
                      <w:b/>
                      <w:bCs/>
                    </w:rPr>
                    <w:t>产品名称</w:t>
                  </w:r>
                </w:p>
              </w:tc>
              <w:tc>
                <w:tcPr>
                  <w:tcW w:w="871" w:type="pct"/>
                  <w:vAlign w:val="center"/>
                </w:tcPr>
                <w:p w14:paraId="45933DF3">
                  <w:pPr>
                    <w:pStyle w:val="29"/>
                    <w:rPr>
                      <w:b/>
                      <w:bCs/>
                    </w:rPr>
                  </w:pPr>
                  <w:r>
                    <w:rPr>
                      <w:b/>
                      <w:bCs/>
                    </w:rPr>
                    <w:t>年产量</w:t>
                  </w:r>
                </w:p>
              </w:tc>
              <w:tc>
                <w:tcPr>
                  <w:tcW w:w="869" w:type="pct"/>
                  <w:vAlign w:val="center"/>
                </w:tcPr>
                <w:p w14:paraId="3CBC609B">
                  <w:pPr>
                    <w:pStyle w:val="29"/>
                    <w:rPr>
                      <w:b/>
                      <w:bCs/>
                    </w:rPr>
                  </w:pPr>
                  <w:r>
                    <w:rPr>
                      <w:b/>
                      <w:bCs/>
                    </w:rPr>
                    <w:t>单个产品重量</w:t>
                  </w:r>
                </w:p>
              </w:tc>
              <w:tc>
                <w:tcPr>
                  <w:tcW w:w="869" w:type="pct"/>
                  <w:vAlign w:val="center"/>
                </w:tcPr>
                <w:p w14:paraId="21D2DF2B">
                  <w:pPr>
                    <w:pStyle w:val="29"/>
                    <w:rPr>
                      <w:b/>
                      <w:bCs/>
                    </w:rPr>
                  </w:pPr>
                  <w:r>
                    <w:rPr>
                      <w:b/>
                      <w:bCs/>
                    </w:rPr>
                    <w:t>合计产品重量</w:t>
                  </w:r>
                </w:p>
              </w:tc>
              <w:tc>
                <w:tcPr>
                  <w:tcW w:w="1555" w:type="pct"/>
                  <w:vAlign w:val="center"/>
                </w:tcPr>
                <w:p w14:paraId="2A290905">
                  <w:pPr>
                    <w:pStyle w:val="29"/>
                    <w:rPr>
                      <w:b/>
                      <w:bCs/>
                    </w:rPr>
                  </w:pPr>
                  <w:r>
                    <w:rPr>
                      <w:rFonts w:hint="eastAsia"/>
                      <w:b/>
                      <w:bCs/>
                      <w:color w:val="EE0000"/>
                    </w:rPr>
                    <w:t>备注</w:t>
                  </w:r>
                </w:p>
              </w:tc>
            </w:tr>
            <w:tr w14:paraId="4C884254">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28" w:type="dxa"/>
                  <w:bottom w:w="0" w:type="dxa"/>
                  <w:right w:w="28" w:type="dxa"/>
                </w:tblCellMar>
              </w:tblPrEx>
              <w:trPr>
                <w:trHeight w:val="340" w:hRule="atLeast"/>
              </w:trPr>
              <w:tc>
                <w:tcPr>
                  <w:tcW w:w="836" w:type="pct"/>
                  <w:vAlign w:val="center"/>
                </w:tcPr>
                <w:p w14:paraId="059D5C68">
                  <w:pPr>
                    <w:pStyle w:val="29"/>
                  </w:pPr>
                  <w:r>
                    <w:t>塑胶台灯</w:t>
                  </w:r>
                </w:p>
              </w:tc>
              <w:tc>
                <w:tcPr>
                  <w:tcW w:w="871" w:type="pct"/>
                  <w:vAlign w:val="center"/>
                </w:tcPr>
                <w:p w14:paraId="00EEB663">
                  <w:pPr>
                    <w:pStyle w:val="29"/>
                  </w:pPr>
                  <w:r>
                    <w:t>60万</w:t>
                  </w:r>
                  <w:r>
                    <w:rPr>
                      <w:rFonts w:hint="eastAsia"/>
                    </w:rPr>
                    <w:t>件</w:t>
                  </w:r>
                </w:p>
              </w:tc>
              <w:tc>
                <w:tcPr>
                  <w:tcW w:w="869" w:type="pct"/>
                  <w:vAlign w:val="center"/>
                </w:tcPr>
                <w:p w14:paraId="60D794B5">
                  <w:pPr>
                    <w:pStyle w:val="29"/>
                  </w:pPr>
                  <w:r>
                    <w:t>200g</w:t>
                  </w:r>
                </w:p>
              </w:tc>
              <w:tc>
                <w:tcPr>
                  <w:tcW w:w="869" w:type="pct"/>
                  <w:vAlign w:val="center"/>
                </w:tcPr>
                <w:p w14:paraId="4970CC0E">
                  <w:pPr>
                    <w:pStyle w:val="29"/>
                  </w:pPr>
                  <w:r>
                    <w:t>120t</w:t>
                  </w:r>
                </w:p>
              </w:tc>
              <w:tc>
                <w:tcPr>
                  <w:tcW w:w="1555" w:type="pct"/>
                  <w:vAlign w:val="center"/>
                </w:tcPr>
                <w:p w14:paraId="7284E810">
                  <w:pPr>
                    <w:pStyle w:val="29"/>
                    <w:rPr>
                      <w:color w:val="EE0000"/>
                    </w:rPr>
                  </w:pPr>
                  <w:r>
                    <w:rPr>
                      <w:rFonts w:hint="eastAsia"/>
                      <w:color w:val="EE0000"/>
                    </w:rPr>
                    <w:t>100%喷漆，</w:t>
                  </w:r>
                  <w:r>
                    <w:rPr>
                      <w:color w:val="0000FF"/>
                    </w:rPr>
                    <w:t>0.035m</w:t>
                  </w:r>
                  <w:r>
                    <w:rPr>
                      <w:color w:val="0000FF"/>
                      <w:vertAlign w:val="superscript"/>
                    </w:rPr>
                    <w:t>2</w:t>
                  </w:r>
                  <w:r>
                    <w:rPr>
                      <w:rFonts w:hint="eastAsia"/>
                      <w:color w:val="0000FF"/>
                    </w:rPr>
                    <w:t>/件</w:t>
                  </w:r>
                </w:p>
                <w:p w14:paraId="6CDB9C7F">
                  <w:pPr>
                    <w:pStyle w:val="29"/>
                    <w:rPr>
                      <w:color w:val="0000FF"/>
                    </w:rPr>
                  </w:pPr>
                  <w:r>
                    <w:rPr>
                      <w:rFonts w:hint="eastAsia"/>
                      <w:color w:val="0000FF"/>
                    </w:rPr>
                    <w:t>100%产品需组装</w:t>
                  </w:r>
                </w:p>
                <w:p w14:paraId="10C6636A">
                  <w:pPr>
                    <w:pStyle w:val="29"/>
                    <w:rPr>
                      <w:color w:val="EE0000"/>
                    </w:rPr>
                  </w:pPr>
                  <w:r>
                    <w:rPr>
                      <w:color w:val="EE0000"/>
                    </w:rPr>
                    <w:t>10%</w:t>
                  </w:r>
                  <w:r>
                    <w:rPr>
                      <w:rFonts w:hint="eastAsia"/>
                      <w:color w:val="0000FF"/>
                    </w:rPr>
                    <w:t>产品上盖需</w:t>
                  </w:r>
                  <w:r>
                    <w:rPr>
                      <w:rFonts w:hint="eastAsia"/>
                      <w:color w:val="EE0000"/>
                    </w:rPr>
                    <w:t>印刷</w:t>
                  </w:r>
                </w:p>
              </w:tc>
            </w:tr>
            <w:tr w14:paraId="4268F3C6">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28" w:type="dxa"/>
                  <w:bottom w:w="0" w:type="dxa"/>
                  <w:right w:w="28" w:type="dxa"/>
                </w:tblCellMar>
              </w:tblPrEx>
              <w:trPr>
                <w:trHeight w:val="340" w:hRule="atLeast"/>
              </w:trPr>
              <w:tc>
                <w:tcPr>
                  <w:tcW w:w="836" w:type="pct"/>
                  <w:vAlign w:val="center"/>
                </w:tcPr>
                <w:p w14:paraId="31B02C62">
                  <w:pPr>
                    <w:pStyle w:val="29"/>
                  </w:pPr>
                  <w:r>
                    <w:t>塑胶包装盒</w:t>
                  </w:r>
                </w:p>
              </w:tc>
              <w:tc>
                <w:tcPr>
                  <w:tcW w:w="871" w:type="pct"/>
                  <w:vAlign w:val="center"/>
                </w:tcPr>
                <w:p w14:paraId="4EA382F8">
                  <w:pPr>
                    <w:pStyle w:val="29"/>
                  </w:pPr>
                  <w:r>
                    <w:t>40万个</w:t>
                  </w:r>
                </w:p>
              </w:tc>
              <w:tc>
                <w:tcPr>
                  <w:tcW w:w="869" w:type="pct"/>
                  <w:vAlign w:val="center"/>
                </w:tcPr>
                <w:p w14:paraId="71E435FD">
                  <w:pPr>
                    <w:pStyle w:val="29"/>
                  </w:pPr>
                  <w:r>
                    <w:t>30g</w:t>
                  </w:r>
                </w:p>
              </w:tc>
              <w:tc>
                <w:tcPr>
                  <w:tcW w:w="869" w:type="pct"/>
                  <w:vAlign w:val="center"/>
                </w:tcPr>
                <w:p w14:paraId="5AF81934">
                  <w:pPr>
                    <w:pStyle w:val="29"/>
                  </w:pPr>
                  <w:r>
                    <w:t>12t</w:t>
                  </w:r>
                </w:p>
              </w:tc>
              <w:tc>
                <w:tcPr>
                  <w:tcW w:w="1555" w:type="pct"/>
                  <w:vAlign w:val="top"/>
                </w:tcPr>
                <w:p w14:paraId="32BC1009">
                  <w:pPr>
                    <w:pStyle w:val="29"/>
                    <w:rPr>
                      <w:color w:val="EE0000"/>
                    </w:rPr>
                  </w:pPr>
                  <w:r>
                    <w:rPr>
                      <w:rFonts w:asciiTheme="majorBidi" w:hAnsiTheme="majorBidi" w:eastAsiaTheme="minorEastAsia" w:cstheme="majorBidi"/>
                      <w:color w:val="EE0000"/>
                      <w:kern w:val="2"/>
                    </w:rPr>
                    <w:t>10%</w:t>
                  </w:r>
                  <w:r>
                    <w:rPr>
                      <w:rFonts w:hint="eastAsia"/>
                      <w:color w:val="0000FF"/>
                    </w:rPr>
                    <w:t>产品需</w:t>
                  </w:r>
                  <w:r>
                    <w:rPr>
                      <w:rFonts w:hint="eastAsia"/>
                      <w:color w:val="EE0000"/>
                    </w:rPr>
                    <w:t>印刷</w:t>
                  </w:r>
                </w:p>
              </w:tc>
            </w:tr>
            <w:tr w14:paraId="0C6349A0">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28" w:type="dxa"/>
                  <w:bottom w:w="0" w:type="dxa"/>
                  <w:right w:w="28" w:type="dxa"/>
                </w:tblCellMar>
              </w:tblPrEx>
              <w:trPr>
                <w:trHeight w:val="340" w:hRule="atLeast"/>
              </w:trPr>
              <w:tc>
                <w:tcPr>
                  <w:tcW w:w="836" w:type="pct"/>
                  <w:vAlign w:val="center"/>
                </w:tcPr>
                <w:p w14:paraId="0EC0C21D">
                  <w:pPr>
                    <w:pStyle w:val="29"/>
                  </w:pPr>
                  <w:r>
                    <w:t>塑胶零件</w:t>
                  </w:r>
                </w:p>
              </w:tc>
              <w:tc>
                <w:tcPr>
                  <w:tcW w:w="871" w:type="pct"/>
                  <w:vAlign w:val="center"/>
                </w:tcPr>
                <w:p w14:paraId="13E38650">
                  <w:pPr>
                    <w:pStyle w:val="29"/>
                  </w:pPr>
                  <w:r>
                    <w:t>40万个</w:t>
                  </w:r>
                </w:p>
              </w:tc>
              <w:tc>
                <w:tcPr>
                  <w:tcW w:w="869" w:type="pct"/>
                  <w:vAlign w:val="center"/>
                </w:tcPr>
                <w:p w14:paraId="1AA4723F">
                  <w:pPr>
                    <w:pStyle w:val="29"/>
                  </w:pPr>
                  <w:r>
                    <w:t>20g</w:t>
                  </w:r>
                </w:p>
              </w:tc>
              <w:tc>
                <w:tcPr>
                  <w:tcW w:w="869" w:type="pct"/>
                  <w:vAlign w:val="center"/>
                </w:tcPr>
                <w:p w14:paraId="31BFA3CB">
                  <w:pPr>
                    <w:pStyle w:val="29"/>
                  </w:pPr>
                  <w:r>
                    <w:t>8t</w:t>
                  </w:r>
                </w:p>
              </w:tc>
              <w:tc>
                <w:tcPr>
                  <w:tcW w:w="1555" w:type="pct"/>
                  <w:vAlign w:val="center"/>
                </w:tcPr>
                <w:p w14:paraId="24AC20BC">
                  <w:pPr>
                    <w:pStyle w:val="29"/>
                    <w:rPr>
                      <w:color w:val="EE0000"/>
                    </w:rPr>
                  </w:pPr>
                  <w:r>
                    <w:rPr>
                      <w:rFonts w:asciiTheme="majorBidi" w:hAnsiTheme="majorBidi" w:eastAsiaTheme="minorEastAsia" w:cstheme="majorBidi"/>
                      <w:color w:val="EE0000"/>
                      <w:kern w:val="2"/>
                    </w:rPr>
                    <w:t>10%</w:t>
                  </w:r>
                  <w:r>
                    <w:rPr>
                      <w:rFonts w:hint="eastAsia"/>
                      <w:color w:val="0000FF"/>
                    </w:rPr>
                    <w:t>产品上盖需</w:t>
                  </w:r>
                  <w:r>
                    <w:rPr>
                      <w:rFonts w:hint="eastAsia"/>
                      <w:color w:val="EE0000"/>
                    </w:rPr>
                    <w:t>印刷</w:t>
                  </w:r>
                </w:p>
                <w:p w14:paraId="4E1118C0">
                  <w:pPr>
                    <w:pStyle w:val="29"/>
                    <w:rPr>
                      <w:color w:val="EE0000"/>
                    </w:rPr>
                  </w:pPr>
                  <w:r>
                    <w:rPr>
                      <w:rFonts w:asciiTheme="majorBidi" w:hAnsiTheme="majorBidi" w:eastAsiaTheme="minorEastAsia" w:cstheme="majorBidi"/>
                      <w:color w:val="EE0000"/>
                      <w:kern w:val="2"/>
                    </w:rPr>
                    <w:t>10%</w:t>
                  </w:r>
                  <w:r>
                    <w:rPr>
                      <w:rFonts w:hint="eastAsia"/>
                      <w:color w:val="0000FF"/>
                    </w:rPr>
                    <w:t>产品需胶合</w:t>
                  </w:r>
                </w:p>
              </w:tc>
            </w:tr>
          </w:tbl>
          <w:p w14:paraId="69CF8F27">
            <w:pPr>
              <w:ind w:firstLine="480"/>
              <w:rPr>
                <w:rFonts w:asciiTheme="majorBidi" w:hAnsiTheme="majorBidi" w:eastAsiaTheme="minorEastAsia" w:cstheme="majorBidi"/>
                <w:color w:val="000000" w:themeColor="text1"/>
                <w14:textFill>
                  <w14:solidFill>
                    <w14:schemeClr w14:val="tx1"/>
                  </w14:solidFill>
                </w14:textFill>
              </w:rPr>
            </w:pPr>
            <w:r>
              <w:rPr>
                <w:rFonts w:asciiTheme="majorBidi" w:hAnsiTheme="majorBidi" w:eastAsiaTheme="minorEastAsia" w:cstheme="majorBidi"/>
                <w:color w:val="000000" w:themeColor="text1"/>
                <w14:textFill>
                  <w14:solidFill>
                    <w14:schemeClr w14:val="tx1"/>
                  </w14:solidFill>
                </w14:textFill>
              </w:rPr>
              <w:t>注：项目产品根据客户要求定制，尺寸大小不一，本报告选取项目主要的产品规格计算。</w:t>
            </w:r>
          </w:p>
          <w:tbl>
            <w:tblPr>
              <w:tblStyle w:val="21"/>
              <w:tblW w:w="5000" w:type="pct"/>
              <w:tblInd w:w="0" w:type="dxa"/>
              <w:tblLayout w:type="fixed"/>
              <w:tblCellMar>
                <w:top w:w="0" w:type="dxa"/>
                <w:left w:w="108" w:type="dxa"/>
                <w:bottom w:w="0" w:type="dxa"/>
                <w:right w:w="108" w:type="dxa"/>
              </w:tblCellMar>
            </w:tblPr>
            <w:tblGrid>
              <w:gridCol w:w="2087"/>
              <w:gridCol w:w="2224"/>
              <w:gridCol w:w="2404"/>
              <w:gridCol w:w="2352"/>
            </w:tblGrid>
            <w:tr w14:paraId="7A98BE0A">
              <w:trPr>
                <w:trHeight w:val="340" w:hRule="atLeast"/>
              </w:trPr>
              <w:tc>
                <w:tcPr>
                  <w:tcW w:w="5000" w:type="pct"/>
                  <w:gridSpan w:val="4"/>
                </w:tcPr>
                <w:p w14:paraId="3EB32B81">
                  <w:pPr>
                    <w:pStyle w:val="29"/>
                  </w:pPr>
                  <w:r>
                    <w:drawing>
                      <wp:inline distT="0" distB="0" distL="114300" distR="114300">
                        <wp:extent cx="1724025" cy="1632585"/>
                        <wp:effectExtent l="0" t="0" r="9525" b="5715"/>
                        <wp:docPr id="35" name="图片 35" descr="43a80f1ba609250397f49ed6295883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图片 35" descr="43a80f1ba609250397f49ed6295883d"/>
                                <pic:cNvPicPr>
                                  <a:picLocks noChangeAspect="1"/>
                                </pic:cNvPicPr>
                              </pic:nvPicPr>
                              <pic:blipFill>
                                <a:blip r:embed="rId16"/>
                                <a:srcRect t="30651" b="16114"/>
                                <a:stretch>
                                  <a:fillRect/>
                                </a:stretch>
                              </pic:blipFill>
                              <pic:spPr>
                                <a:xfrm>
                                  <a:off x="0" y="0"/>
                                  <a:ext cx="1727223" cy="1635499"/>
                                </a:xfrm>
                                <a:prstGeom prst="rect">
                                  <a:avLst/>
                                </a:prstGeom>
                                <a:ln>
                                  <a:noFill/>
                                </a:ln>
                              </pic:spPr>
                            </pic:pic>
                          </a:graphicData>
                        </a:graphic>
                      </wp:inline>
                    </w:drawing>
                  </w:r>
                  <w:r>
                    <w:drawing>
                      <wp:inline distT="0" distB="0" distL="114300" distR="114300">
                        <wp:extent cx="1722120" cy="1619885"/>
                        <wp:effectExtent l="0" t="0" r="0" b="0"/>
                        <wp:docPr id="36" name="图片 36" descr="73a66d646026bf7fa5ff8689c395da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6" name="图片 36" descr="73a66d646026bf7fa5ff8689c395dae"/>
                                <pic:cNvPicPr>
                                  <a:picLocks noChangeAspect="1"/>
                                </pic:cNvPicPr>
                              </pic:nvPicPr>
                              <pic:blipFill>
                                <a:blip r:embed="rId17"/>
                                <a:srcRect t="23455" b="23648"/>
                                <a:stretch>
                                  <a:fillRect/>
                                </a:stretch>
                              </pic:blipFill>
                              <pic:spPr>
                                <a:xfrm>
                                  <a:off x="0" y="0"/>
                                  <a:ext cx="1734705" cy="1631489"/>
                                </a:xfrm>
                                <a:prstGeom prst="rect">
                                  <a:avLst/>
                                </a:prstGeom>
                                <a:ln>
                                  <a:noFill/>
                                </a:ln>
                              </pic:spPr>
                            </pic:pic>
                          </a:graphicData>
                        </a:graphic>
                      </wp:inline>
                    </w:drawing>
                  </w:r>
                  <w:r>
                    <w:drawing>
                      <wp:inline distT="0" distB="0" distL="0" distR="0">
                        <wp:extent cx="1219200" cy="1638300"/>
                        <wp:effectExtent l="19050" t="19050" r="19050" b="19050"/>
                        <wp:docPr id="182954404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29544041" name="图片 1"/>
                                <pic:cNvPicPr>
                                  <a:picLocks noChangeAspect="1"/>
                                </pic:cNvPicPr>
                              </pic:nvPicPr>
                              <pic:blipFill>
                                <a:blip r:embed="rId18"/>
                                <a:stretch>
                                  <a:fillRect/>
                                </a:stretch>
                              </pic:blipFill>
                              <pic:spPr>
                                <a:xfrm>
                                  <a:off x="0" y="0"/>
                                  <a:ext cx="1219200" cy="1638300"/>
                                </a:xfrm>
                                <a:prstGeom prst="rect">
                                  <a:avLst/>
                                </a:prstGeom>
                                <a:ln>
                                  <a:solidFill>
                                    <a:schemeClr val="tx1"/>
                                  </a:solidFill>
                                </a:ln>
                              </pic:spPr>
                            </pic:pic>
                          </a:graphicData>
                        </a:graphic>
                      </wp:inline>
                    </w:drawing>
                  </w:r>
                </w:p>
              </w:tc>
            </w:tr>
            <w:tr w14:paraId="65EF459B">
              <w:tblPrEx>
                <w:tblCellMar>
                  <w:top w:w="0" w:type="dxa"/>
                  <w:left w:w="108" w:type="dxa"/>
                  <w:bottom w:w="0" w:type="dxa"/>
                  <w:right w:w="108" w:type="dxa"/>
                </w:tblCellMar>
              </w:tblPrEx>
              <w:trPr>
                <w:trHeight w:val="340" w:hRule="atLeast"/>
              </w:trPr>
              <w:tc>
                <w:tcPr>
                  <w:tcW w:w="5000" w:type="pct"/>
                  <w:gridSpan w:val="4"/>
                </w:tcPr>
                <w:p w14:paraId="5D7B8020">
                  <w:pPr>
                    <w:pStyle w:val="29"/>
                  </w:pPr>
                  <w:r>
                    <w:t>塑胶台灯上盖</w:t>
                  </w:r>
                  <w:r>
                    <w:rPr>
                      <w:rFonts w:hint="eastAsia"/>
                    </w:rPr>
                    <w:t xml:space="preserve">                              </w:t>
                  </w:r>
                  <w:r>
                    <w:t>塑胶台灯下盖</w:t>
                  </w:r>
                  <w:r>
                    <w:rPr>
                      <w:rFonts w:hint="eastAsia"/>
                    </w:rPr>
                    <w:t xml:space="preserve">                       </w:t>
                  </w:r>
                  <w:r>
                    <w:rPr>
                      <w:rFonts w:hint="eastAsia"/>
                      <w:color w:val="0000FF"/>
                    </w:rPr>
                    <w:t xml:space="preserve"> 组合后产品</w:t>
                  </w:r>
                </w:p>
              </w:tc>
            </w:tr>
            <w:tr w14:paraId="5C8534AC">
              <w:tblPrEx>
                <w:tblCellMar>
                  <w:top w:w="0" w:type="dxa"/>
                  <w:left w:w="108" w:type="dxa"/>
                  <w:bottom w:w="0" w:type="dxa"/>
                  <w:right w:w="108" w:type="dxa"/>
                </w:tblCellMar>
              </w:tblPrEx>
              <w:trPr>
                <w:trHeight w:val="340" w:hRule="atLeast"/>
              </w:trPr>
              <w:tc>
                <w:tcPr>
                  <w:tcW w:w="2377" w:type="pct"/>
                  <w:gridSpan w:val="2"/>
                </w:tcPr>
                <w:p w14:paraId="000A4568">
                  <w:pPr>
                    <w:pStyle w:val="29"/>
                  </w:pPr>
                  <w:r>
                    <w:drawing>
                      <wp:inline distT="0" distB="0" distL="114300" distR="114300">
                        <wp:extent cx="1594485" cy="1971675"/>
                        <wp:effectExtent l="0" t="0" r="5715" b="9525"/>
                        <wp:docPr id="38" name="图片 38" descr="8a306b030875c846e67cec35896c83b"/>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8" name="图片 38" descr="8a306b030875c846e67cec35896c83b"/>
                                <pic:cNvPicPr>
                                  <a:picLocks noChangeAspect="1"/>
                                </pic:cNvPicPr>
                              </pic:nvPicPr>
                              <pic:blipFill>
                                <a:blip r:embed="rId19"/>
                                <a:srcRect t="16086" b="14390"/>
                                <a:stretch>
                                  <a:fillRect/>
                                </a:stretch>
                              </pic:blipFill>
                              <pic:spPr>
                                <a:xfrm>
                                  <a:off x="0" y="0"/>
                                  <a:ext cx="1600246" cy="1978876"/>
                                </a:xfrm>
                                <a:prstGeom prst="rect">
                                  <a:avLst/>
                                </a:prstGeom>
                                <a:ln>
                                  <a:noFill/>
                                </a:ln>
                              </pic:spPr>
                            </pic:pic>
                          </a:graphicData>
                        </a:graphic>
                      </wp:inline>
                    </w:drawing>
                  </w:r>
                </w:p>
              </w:tc>
              <w:tc>
                <w:tcPr>
                  <w:tcW w:w="2623" w:type="pct"/>
                  <w:gridSpan w:val="2"/>
                </w:tcPr>
                <w:p w14:paraId="3E8DAF27">
                  <w:pPr>
                    <w:pStyle w:val="29"/>
                  </w:pPr>
                  <w:r>
                    <w:drawing>
                      <wp:inline distT="0" distB="0" distL="114300" distR="114300">
                        <wp:extent cx="1637030" cy="2032000"/>
                        <wp:effectExtent l="0" t="0" r="1270" b="6350"/>
                        <wp:docPr id="52" name="图片 52" descr="cf50df37b7b6998ab11db82ba61493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2" name="图片 52" descr="cf50df37b7b6998ab11db82ba61493e"/>
                                <pic:cNvPicPr>
                                  <a:picLocks noChangeAspect="1"/>
                                </pic:cNvPicPr>
                              </pic:nvPicPr>
                              <pic:blipFill>
                                <a:blip r:embed="rId20"/>
                                <a:srcRect l="20306" t="19082" r="5995" b="29461"/>
                                <a:stretch>
                                  <a:fillRect/>
                                </a:stretch>
                              </pic:blipFill>
                              <pic:spPr>
                                <a:xfrm>
                                  <a:off x="0" y="0"/>
                                  <a:ext cx="1641580" cy="2037615"/>
                                </a:xfrm>
                                <a:prstGeom prst="rect">
                                  <a:avLst/>
                                </a:prstGeom>
                                <a:ln>
                                  <a:noFill/>
                                </a:ln>
                              </pic:spPr>
                            </pic:pic>
                          </a:graphicData>
                        </a:graphic>
                      </wp:inline>
                    </w:drawing>
                  </w:r>
                </w:p>
              </w:tc>
            </w:tr>
            <w:tr w14:paraId="6C5AD882">
              <w:tblPrEx>
                <w:tblCellMar>
                  <w:top w:w="0" w:type="dxa"/>
                  <w:left w:w="108" w:type="dxa"/>
                  <w:bottom w:w="0" w:type="dxa"/>
                  <w:right w:w="108" w:type="dxa"/>
                </w:tblCellMar>
              </w:tblPrEx>
              <w:trPr>
                <w:trHeight w:val="340" w:hRule="atLeast"/>
              </w:trPr>
              <w:tc>
                <w:tcPr>
                  <w:tcW w:w="2377" w:type="pct"/>
                  <w:gridSpan w:val="2"/>
                </w:tcPr>
                <w:p w14:paraId="7D428B97">
                  <w:pPr>
                    <w:pStyle w:val="29"/>
                  </w:pPr>
                  <w:r>
                    <w:t>塑胶包装盒上盖</w:t>
                  </w:r>
                </w:p>
              </w:tc>
              <w:tc>
                <w:tcPr>
                  <w:tcW w:w="2623" w:type="pct"/>
                  <w:gridSpan w:val="2"/>
                </w:tcPr>
                <w:p w14:paraId="7CF20947">
                  <w:pPr>
                    <w:pStyle w:val="29"/>
                  </w:pPr>
                  <w:r>
                    <w:t>塑胶包装盒下盖</w:t>
                  </w:r>
                </w:p>
              </w:tc>
            </w:tr>
            <w:tr w14:paraId="10DC5DD0">
              <w:tblPrEx>
                <w:tblCellMar>
                  <w:top w:w="0" w:type="dxa"/>
                  <w:left w:w="108" w:type="dxa"/>
                  <w:bottom w:w="0" w:type="dxa"/>
                  <w:right w:w="108" w:type="dxa"/>
                </w:tblCellMar>
              </w:tblPrEx>
              <w:trPr>
                <w:trHeight w:val="340" w:hRule="atLeast"/>
              </w:trPr>
              <w:tc>
                <w:tcPr>
                  <w:tcW w:w="1151" w:type="pct"/>
                </w:tcPr>
                <w:p w14:paraId="02DF8F74">
                  <w:pPr>
                    <w:pStyle w:val="29"/>
                  </w:pPr>
                  <w:r>
                    <w:drawing>
                      <wp:inline distT="0" distB="0" distL="114300" distR="114300">
                        <wp:extent cx="1062990" cy="1115695"/>
                        <wp:effectExtent l="0" t="0" r="3810" b="8255"/>
                        <wp:docPr id="54" name="图片 54" descr="822dcbd2319072f8c39d7063f52ab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4" name="图片 54" descr="822dcbd2319072f8c39d7063f52ab56"/>
                                <pic:cNvPicPr>
                                  <a:picLocks noChangeAspect="1"/>
                                </pic:cNvPicPr>
                              </pic:nvPicPr>
                              <pic:blipFill>
                                <a:blip r:embed="rId21"/>
                                <a:srcRect t="28936" b="12041"/>
                                <a:stretch>
                                  <a:fillRect/>
                                </a:stretch>
                              </pic:blipFill>
                              <pic:spPr>
                                <a:xfrm>
                                  <a:off x="0" y="0"/>
                                  <a:ext cx="1071063" cy="1124387"/>
                                </a:xfrm>
                                <a:prstGeom prst="rect">
                                  <a:avLst/>
                                </a:prstGeom>
                                <a:ln>
                                  <a:noFill/>
                                </a:ln>
                              </pic:spPr>
                            </pic:pic>
                          </a:graphicData>
                        </a:graphic>
                      </wp:inline>
                    </w:drawing>
                  </w:r>
                </w:p>
              </w:tc>
              <w:tc>
                <w:tcPr>
                  <w:tcW w:w="1226" w:type="pct"/>
                </w:tcPr>
                <w:p w14:paraId="7430ECD5">
                  <w:pPr>
                    <w:pStyle w:val="29"/>
                  </w:pPr>
                  <w:r>
                    <w:drawing>
                      <wp:inline distT="0" distB="0" distL="114300" distR="114300">
                        <wp:extent cx="1443990" cy="1115695"/>
                        <wp:effectExtent l="0" t="0" r="3810" b="8255"/>
                        <wp:docPr id="63" name="图片 63" descr="3eee4798b85c9613581c810c146489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3" name="图片 63" descr="3eee4798b85c9613581c810c1464892"/>
                                <pic:cNvPicPr>
                                  <a:picLocks noChangeAspect="1"/>
                                </pic:cNvPicPr>
                              </pic:nvPicPr>
                              <pic:blipFill>
                                <a:blip r:embed="rId22"/>
                                <a:srcRect l="10979" t="27865" b="34038"/>
                                <a:stretch>
                                  <a:fillRect/>
                                </a:stretch>
                              </pic:blipFill>
                              <pic:spPr>
                                <a:xfrm>
                                  <a:off x="0" y="0"/>
                                  <a:ext cx="1453879" cy="1123035"/>
                                </a:xfrm>
                                <a:prstGeom prst="rect">
                                  <a:avLst/>
                                </a:prstGeom>
                                <a:ln>
                                  <a:noFill/>
                                </a:ln>
                              </pic:spPr>
                            </pic:pic>
                          </a:graphicData>
                        </a:graphic>
                      </wp:inline>
                    </w:drawing>
                  </w:r>
                </w:p>
              </w:tc>
              <w:tc>
                <w:tcPr>
                  <w:tcW w:w="1326" w:type="pct"/>
                </w:tcPr>
                <w:p w14:paraId="4295EED1">
                  <w:pPr>
                    <w:pStyle w:val="29"/>
                  </w:pPr>
                  <w:r>
                    <w:drawing>
                      <wp:inline distT="0" distB="0" distL="0" distR="0">
                        <wp:extent cx="1009650" cy="1137920"/>
                        <wp:effectExtent l="0" t="0" r="0" b="5080"/>
                        <wp:docPr id="473251930"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73251930" name="图片 1"/>
                                <pic:cNvPicPr>
                                  <a:picLocks noChangeAspect="1"/>
                                </pic:cNvPicPr>
                              </pic:nvPicPr>
                              <pic:blipFill>
                                <a:blip r:embed="rId23"/>
                                <a:srcRect l="22507" t="10690" r="15026" b="9581"/>
                                <a:stretch>
                                  <a:fillRect/>
                                </a:stretch>
                              </pic:blipFill>
                              <pic:spPr>
                                <a:xfrm>
                                  <a:off x="0" y="0"/>
                                  <a:ext cx="1021323" cy="1151348"/>
                                </a:xfrm>
                                <a:prstGeom prst="rect">
                                  <a:avLst/>
                                </a:prstGeom>
                                <a:ln>
                                  <a:noFill/>
                                </a:ln>
                              </pic:spPr>
                            </pic:pic>
                          </a:graphicData>
                        </a:graphic>
                      </wp:inline>
                    </w:drawing>
                  </w:r>
                </w:p>
              </w:tc>
              <w:tc>
                <w:tcPr>
                  <w:tcW w:w="1297" w:type="pct"/>
                </w:tcPr>
                <w:p w14:paraId="13FAA017">
                  <w:pPr>
                    <w:pStyle w:val="29"/>
                    <w:rPr>
                      <w:kern w:val="2"/>
                    </w:rPr>
                  </w:pPr>
                  <w:r>
                    <w:drawing>
                      <wp:inline distT="0" distB="0" distL="0" distR="0">
                        <wp:extent cx="1274445" cy="1115695"/>
                        <wp:effectExtent l="0" t="0" r="1905" b="8255"/>
                        <wp:docPr id="1349065869"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49065869" name="图片 1"/>
                                <pic:cNvPicPr>
                                  <a:picLocks noChangeAspect="1"/>
                                </pic:cNvPicPr>
                              </pic:nvPicPr>
                              <pic:blipFill>
                                <a:blip r:embed="rId24"/>
                                <a:srcRect l="9654" t="10549" r="8631" b="11352"/>
                                <a:stretch>
                                  <a:fillRect/>
                                </a:stretch>
                              </pic:blipFill>
                              <pic:spPr>
                                <a:xfrm>
                                  <a:off x="0" y="0"/>
                                  <a:ext cx="1282904" cy="1122923"/>
                                </a:xfrm>
                                <a:prstGeom prst="rect">
                                  <a:avLst/>
                                </a:prstGeom>
                                <a:ln>
                                  <a:noFill/>
                                </a:ln>
                              </pic:spPr>
                            </pic:pic>
                          </a:graphicData>
                        </a:graphic>
                      </wp:inline>
                    </w:drawing>
                  </w:r>
                </w:p>
              </w:tc>
            </w:tr>
            <w:tr w14:paraId="4D44FF20">
              <w:tblPrEx>
                <w:tblCellMar>
                  <w:top w:w="0" w:type="dxa"/>
                  <w:left w:w="108" w:type="dxa"/>
                  <w:bottom w:w="0" w:type="dxa"/>
                  <w:right w:w="108" w:type="dxa"/>
                </w:tblCellMar>
              </w:tblPrEx>
              <w:trPr>
                <w:trHeight w:val="340" w:hRule="atLeast"/>
              </w:trPr>
              <w:tc>
                <w:tcPr>
                  <w:tcW w:w="5000" w:type="pct"/>
                  <w:gridSpan w:val="4"/>
                </w:tcPr>
                <w:p w14:paraId="7107A4AA">
                  <w:pPr>
                    <w:pStyle w:val="29"/>
                  </w:pPr>
                  <w:r>
                    <w:t>塑胶零件</w:t>
                  </w:r>
                </w:p>
              </w:tc>
            </w:tr>
          </w:tbl>
          <w:p w14:paraId="791D0E80">
            <w:pPr>
              <w:pStyle w:val="11"/>
              <w:rPr>
                <w:bCs w:val="0"/>
              </w:rPr>
            </w:pPr>
            <w:r>
              <w:rPr>
                <w:bCs w:val="0"/>
              </w:rPr>
              <w:t>图2-1 项目产品图示</w:t>
            </w:r>
          </w:p>
          <w:p w14:paraId="6AFC41B8">
            <w:pPr>
              <w:ind w:firstLine="482"/>
              <w:rPr>
                <w:rFonts w:asciiTheme="majorBidi" w:hAnsiTheme="majorBidi" w:eastAsiaTheme="minorEastAsia" w:cstheme="majorBidi"/>
                <w:b/>
                <w:bCs/>
                <w:color w:val="000000" w:themeColor="text1"/>
                <w:kern w:val="2"/>
                <w:szCs w:val="21"/>
                <w14:textFill>
                  <w14:solidFill>
                    <w14:schemeClr w14:val="tx1"/>
                  </w14:solidFill>
                </w14:textFill>
              </w:rPr>
            </w:pPr>
            <w:r>
              <w:rPr>
                <w:rFonts w:asciiTheme="majorBidi" w:hAnsiTheme="majorBidi" w:eastAsiaTheme="minorEastAsia" w:cstheme="majorBidi"/>
                <w:b/>
                <w:bCs/>
                <w:color w:val="000000" w:themeColor="text1"/>
                <w:kern w:val="2"/>
                <w:szCs w:val="21"/>
                <w14:textFill>
                  <w14:solidFill>
                    <w14:schemeClr w14:val="tx1"/>
                  </w14:solidFill>
                </w14:textFill>
              </w:rPr>
              <w:t>3.主要原辅材料及其年用量</w:t>
            </w:r>
          </w:p>
          <w:p w14:paraId="6A721A8A">
            <w:pPr>
              <w:pStyle w:val="11"/>
              <w:rPr>
                <w:bCs w:val="0"/>
              </w:rPr>
            </w:pPr>
            <w:r>
              <w:rPr>
                <w:bCs w:val="0"/>
              </w:rPr>
              <w:t>表2-3 原辅材料用量一览表</w:t>
            </w:r>
          </w:p>
          <w:tbl>
            <w:tblPr>
              <w:tblStyle w:val="43"/>
              <w:tblW w:w="4994" w:type="pct"/>
              <w:tblInd w:w="0" w:type="dxa"/>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Layout w:type="fixed"/>
              <w:tblCellMar>
                <w:top w:w="0" w:type="dxa"/>
                <w:left w:w="108" w:type="dxa"/>
                <w:bottom w:w="0" w:type="dxa"/>
                <w:right w:w="108" w:type="dxa"/>
              </w:tblCellMar>
            </w:tblPr>
            <w:tblGrid>
              <w:gridCol w:w="1453"/>
              <w:gridCol w:w="1217"/>
              <w:gridCol w:w="1069"/>
              <w:gridCol w:w="1364"/>
              <w:gridCol w:w="1217"/>
              <w:gridCol w:w="1217"/>
              <w:gridCol w:w="1520"/>
            </w:tblGrid>
            <w:tr w14:paraId="106B7BFF">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340" w:hRule="atLeast"/>
              </w:trPr>
              <w:tc>
                <w:tcPr>
                  <w:tcW w:w="802" w:type="pct"/>
                  <w:vAlign w:val="center"/>
                </w:tcPr>
                <w:p w14:paraId="36711326">
                  <w:pPr>
                    <w:pStyle w:val="29"/>
                    <w:rPr>
                      <w:b/>
                      <w:bCs/>
                    </w:rPr>
                  </w:pPr>
                  <w:bookmarkStart w:id="4" w:name="_Hlk186793225"/>
                  <w:r>
                    <w:rPr>
                      <w:b/>
                      <w:bCs/>
                    </w:rPr>
                    <w:t>辅料名称</w:t>
                  </w:r>
                </w:p>
              </w:tc>
              <w:tc>
                <w:tcPr>
                  <w:tcW w:w="672" w:type="pct"/>
                  <w:vAlign w:val="center"/>
                </w:tcPr>
                <w:p w14:paraId="2AF86BAD">
                  <w:pPr>
                    <w:pStyle w:val="29"/>
                    <w:rPr>
                      <w:b/>
                      <w:bCs/>
                    </w:rPr>
                  </w:pPr>
                  <w:r>
                    <w:rPr>
                      <w:b/>
                      <w:bCs/>
                    </w:rPr>
                    <w:t>年用量</w:t>
                  </w:r>
                </w:p>
              </w:tc>
              <w:tc>
                <w:tcPr>
                  <w:tcW w:w="590" w:type="pct"/>
                  <w:vAlign w:val="center"/>
                </w:tcPr>
                <w:p w14:paraId="1747A1A5">
                  <w:pPr>
                    <w:pStyle w:val="29"/>
                    <w:rPr>
                      <w:b/>
                      <w:bCs/>
                    </w:rPr>
                  </w:pPr>
                  <w:r>
                    <w:rPr>
                      <w:b/>
                      <w:bCs/>
                    </w:rPr>
                    <w:t>最大储存量</w:t>
                  </w:r>
                </w:p>
              </w:tc>
              <w:tc>
                <w:tcPr>
                  <w:tcW w:w="753" w:type="pct"/>
                  <w:vAlign w:val="center"/>
                </w:tcPr>
                <w:p w14:paraId="3210E998">
                  <w:pPr>
                    <w:pStyle w:val="29"/>
                    <w:rPr>
                      <w:b/>
                      <w:bCs/>
                    </w:rPr>
                  </w:pPr>
                  <w:r>
                    <w:rPr>
                      <w:b/>
                      <w:bCs/>
                    </w:rPr>
                    <w:t>存放位置</w:t>
                  </w:r>
                </w:p>
              </w:tc>
              <w:tc>
                <w:tcPr>
                  <w:tcW w:w="672" w:type="pct"/>
                  <w:vAlign w:val="center"/>
                </w:tcPr>
                <w:p w14:paraId="4DDE3DF7">
                  <w:pPr>
                    <w:pStyle w:val="29"/>
                    <w:rPr>
                      <w:b/>
                      <w:bCs/>
                    </w:rPr>
                  </w:pPr>
                  <w:r>
                    <w:rPr>
                      <w:b/>
                      <w:bCs/>
                    </w:rPr>
                    <w:t>物理状态</w:t>
                  </w:r>
                </w:p>
              </w:tc>
              <w:tc>
                <w:tcPr>
                  <w:tcW w:w="672" w:type="pct"/>
                  <w:vAlign w:val="center"/>
                </w:tcPr>
                <w:p w14:paraId="61FC0D16">
                  <w:pPr>
                    <w:pStyle w:val="29"/>
                    <w:rPr>
                      <w:b/>
                      <w:bCs/>
                    </w:rPr>
                  </w:pPr>
                  <w:r>
                    <w:rPr>
                      <w:b/>
                      <w:bCs/>
                    </w:rPr>
                    <w:t>包装规格</w:t>
                  </w:r>
                </w:p>
              </w:tc>
              <w:tc>
                <w:tcPr>
                  <w:tcW w:w="839" w:type="pct"/>
                  <w:vAlign w:val="center"/>
                </w:tcPr>
                <w:p w14:paraId="1D8EF576">
                  <w:pPr>
                    <w:pStyle w:val="29"/>
                    <w:rPr>
                      <w:b/>
                      <w:bCs/>
                    </w:rPr>
                  </w:pPr>
                  <w:r>
                    <w:rPr>
                      <w:b/>
                      <w:bCs/>
                    </w:rPr>
                    <w:t>使用工序</w:t>
                  </w:r>
                </w:p>
              </w:tc>
            </w:tr>
            <w:tr w14:paraId="5E61D254">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340" w:hRule="atLeast"/>
              </w:trPr>
              <w:tc>
                <w:tcPr>
                  <w:tcW w:w="802" w:type="pct"/>
                  <w:vAlign w:val="center"/>
                </w:tcPr>
                <w:p w14:paraId="0680AE19">
                  <w:pPr>
                    <w:pStyle w:val="29"/>
                  </w:pPr>
                  <w:r>
                    <w:t>ABS塑胶粒</w:t>
                  </w:r>
                </w:p>
              </w:tc>
              <w:tc>
                <w:tcPr>
                  <w:tcW w:w="672" w:type="pct"/>
                  <w:vAlign w:val="center"/>
                </w:tcPr>
                <w:p w14:paraId="11A39B00">
                  <w:pPr>
                    <w:pStyle w:val="29"/>
                  </w:pPr>
                  <w:r>
                    <w:t>100t</w:t>
                  </w:r>
                </w:p>
              </w:tc>
              <w:tc>
                <w:tcPr>
                  <w:tcW w:w="590" w:type="pct"/>
                  <w:vAlign w:val="center"/>
                </w:tcPr>
                <w:p w14:paraId="4C7DFF07">
                  <w:pPr>
                    <w:pStyle w:val="29"/>
                  </w:pPr>
                  <w:r>
                    <w:t>10t</w:t>
                  </w:r>
                </w:p>
              </w:tc>
              <w:tc>
                <w:tcPr>
                  <w:tcW w:w="753" w:type="pct"/>
                  <w:vAlign w:val="center"/>
                </w:tcPr>
                <w:p w14:paraId="18AD99F2">
                  <w:pPr>
                    <w:pStyle w:val="29"/>
                  </w:pPr>
                  <w:r>
                    <w:t>一楼原料区</w:t>
                  </w:r>
                </w:p>
              </w:tc>
              <w:tc>
                <w:tcPr>
                  <w:tcW w:w="672" w:type="pct"/>
                  <w:vAlign w:val="center"/>
                </w:tcPr>
                <w:p w14:paraId="56F789B1">
                  <w:pPr>
                    <w:pStyle w:val="29"/>
                  </w:pPr>
                  <w:r>
                    <w:t>固态</w:t>
                  </w:r>
                </w:p>
              </w:tc>
              <w:tc>
                <w:tcPr>
                  <w:tcW w:w="672" w:type="pct"/>
                  <w:vAlign w:val="center"/>
                </w:tcPr>
                <w:p w14:paraId="716A2EA7">
                  <w:pPr>
                    <w:pStyle w:val="29"/>
                  </w:pPr>
                  <w:r>
                    <w:t>25kg/桶</w:t>
                  </w:r>
                </w:p>
              </w:tc>
              <w:tc>
                <w:tcPr>
                  <w:tcW w:w="839" w:type="pct"/>
                  <w:vAlign w:val="center"/>
                </w:tcPr>
                <w:p w14:paraId="118CB754">
                  <w:pPr>
                    <w:pStyle w:val="29"/>
                  </w:pPr>
                  <w:r>
                    <w:t>混料/注塑</w:t>
                  </w:r>
                </w:p>
              </w:tc>
            </w:tr>
            <w:tr w14:paraId="57561B8A">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340" w:hRule="atLeast"/>
              </w:trPr>
              <w:tc>
                <w:tcPr>
                  <w:tcW w:w="802" w:type="pct"/>
                  <w:vAlign w:val="center"/>
                </w:tcPr>
                <w:p w14:paraId="2068D7C7">
                  <w:pPr>
                    <w:pStyle w:val="29"/>
                  </w:pPr>
                  <w:r>
                    <w:t>PS塑胶粒</w:t>
                  </w:r>
                </w:p>
              </w:tc>
              <w:tc>
                <w:tcPr>
                  <w:tcW w:w="672" w:type="pct"/>
                  <w:vAlign w:val="center"/>
                </w:tcPr>
                <w:p w14:paraId="712ABC44">
                  <w:pPr>
                    <w:pStyle w:val="29"/>
                  </w:pPr>
                  <w:r>
                    <w:t>50t</w:t>
                  </w:r>
                </w:p>
              </w:tc>
              <w:tc>
                <w:tcPr>
                  <w:tcW w:w="590" w:type="pct"/>
                  <w:vAlign w:val="center"/>
                </w:tcPr>
                <w:p w14:paraId="0F8567C7">
                  <w:pPr>
                    <w:pStyle w:val="29"/>
                  </w:pPr>
                  <w:r>
                    <w:t>5t</w:t>
                  </w:r>
                </w:p>
              </w:tc>
              <w:tc>
                <w:tcPr>
                  <w:tcW w:w="753" w:type="pct"/>
                  <w:vAlign w:val="center"/>
                </w:tcPr>
                <w:p w14:paraId="0BEB0680">
                  <w:pPr>
                    <w:pStyle w:val="29"/>
                  </w:pPr>
                  <w:r>
                    <w:t>一楼原料区</w:t>
                  </w:r>
                </w:p>
              </w:tc>
              <w:tc>
                <w:tcPr>
                  <w:tcW w:w="672" w:type="pct"/>
                  <w:vAlign w:val="center"/>
                </w:tcPr>
                <w:p w14:paraId="526521BC">
                  <w:pPr>
                    <w:pStyle w:val="29"/>
                  </w:pPr>
                  <w:r>
                    <w:t>固态</w:t>
                  </w:r>
                </w:p>
              </w:tc>
              <w:tc>
                <w:tcPr>
                  <w:tcW w:w="672" w:type="pct"/>
                  <w:vAlign w:val="center"/>
                </w:tcPr>
                <w:p w14:paraId="0CCBFCD8">
                  <w:pPr>
                    <w:pStyle w:val="29"/>
                  </w:pPr>
                  <w:r>
                    <w:t>25kg/桶</w:t>
                  </w:r>
                </w:p>
              </w:tc>
              <w:tc>
                <w:tcPr>
                  <w:tcW w:w="839" w:type="pct"/>
                  <w:vAlign w:val="center"/>
                </w:tcPr>
                <w:p w14:paraId="08AFB241">
                  <w:pPr>
                    <w:pStyle w:val="29"/>
                  </w:pPr>
                  <w:r>
                    <w:t>混料/注塑</w:t>
                  </w:r>
                </w:p>
              </w:tc>
            </w:tr>
            <w:tr w14:paraId="76A3C02D">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340" w:hRule="atLeast"/>
              </w:trPr>
              <w:tc>
                <w:tcPr>
                  <w:tcW w:w="802" w:type="pct"/>
                  <w:vAlign w:val="center"/>
                </w:tcPr>
                <w:p w14:paraId="69CEBEEC">
                  <w:pPr>
                    <w:pStyle w:val="29"/>
                  </w:pPr>
                  <w:r>
                    <w:t>色粉</w:t>
                  </w:r>
                </w:p>
              </w:tc>
              <w:tc>
                <w:tcPr>
                  <w:tcW w:w="672" w:type="pct"/>
                  <w:vAlign w:val="center"/>
                </w:tcPr>
                <w:p w14:paraId="3B7F5ED8">
                  <w:pPr>
                    <w:pStyle w:val="29"/>
                  </w:pPr>
                  <w:r>
                    <w:t>0.1t</w:t>
                  </w:r>
                </w:p>
              </w:tc>
              <w:tc>
                <w:tcPr>
                  <w:tcW w:w="590" w:type="pct"/>
                  <w:vAlign w:val="center"/>
                </w:tcPr>
                <w:p w14:paraId="206648A8">
                  <w:pPr>
                    <w:pStyle w:val="29"/>
                  </w:pPr>
                  <w:r>
                    <w:t>10kg</w:t>
                  </w:r>
                </w:p>
              </w:tc>
              <w:tc>
                <w:tcPr>
                  <w:tcW w:w="753" w:type="pct"/>
                  <w:vAlign w:val="center"/>
                </w:tcPr>
                <w:p w14:paraId="0EFE13C0">
                  <w:pPr>
                    <w:pStyle w:val="29"/>
                  </w:pPr>
                  <w:r>
                    <w:t>一楼原料区</w:t>
                  </w:r>
                </w:p>
              </w:tc>
              <w:tc>
                <w:tcPr>
                  <w:tcW w:w="672" w:type="pct"/>
                  <w:vAlign w:val="center"/>
                </w:tcPr>
                <w:p w14:paraId="44486180">
                  <w:pPr>
                    <w:pStyle w:val="29"/>
                  </w:pPr>
                  <w:r>
                    <w:t>固态</w:t>
                  </w:r>
                </w:p>
              </w:tc>
              <w:tc>
                <w:tcPr>
                  <w:tcW w:w="672" w:type="pct"/>
                  <w:vAlign w:val="center"/>
                </w:tcPr>
                <w:p w14:paraId="27D1408C">
                  <w:pPr>
                    <w:pStyle w:val="29"/>
                  </w:pPr>
                  <w:r>
                    <w:t>0.2kg/袋</w:t>
                  </w:r>
                </w:p>
              </w:tc>
              <w:tc>
                <w:tcPr>
                  <w:tcW w:w="839" w:type="pct"/>
                  <w:vAlign w:val="center"/>
                </w:tcPr>
                <w:p w14:paraId="21A5F48E">
                  <w:pPr>
                    <w:pStyle w:val="29"/>
                  </w:pPr>
                  <w:r>
                    <w:t>混料/注塑</w:t>
                  </w:r>
                </w:p>
              </w:tc>
            </w:tr>
            <w:tr w14:paraId="58FE5668">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340" w:hRule="atLeast"/>
              </w:trPr>
              <w:tc>
                <w:tcPr>
                  <w:tcW w:w="802" w:type="pct"/>
                  <w:vAlign w:val="center"/>
                </w:tcPr>
                <w:p w14:paraId="03108154">
                  <w:pPr>
                    <w:pStyle w:val="29"/>
                  </w:pPr>
                  <w:r>
                    <w:t>色母粒</w:t>
                  </w:r>
                </w:p>
              </w:tc>
              <w:tc>
                <w:tcPr>
                  <w:tcW w:w="672" w:type="pct"/>
                  <w:vAlign w:val="center"/>
                </w:tcPr>
                <w:p w14:paraId="2B3E141C">
                  <w:pPr>
                    <w:pStyle w:val="29"/>
                  </w:pPr>
                  <w:r>
                    <w:t>0.12t</w:t>
                  </w:r>
                </w:p>
              </w:tc>
              <w:tc>
                <w:tcPr>
                  <w:tcW w:w="590" w:type="pct"/>
                  <w:vAlign w:val="center"/>
                </w:tcPr>
                <w:p w14:paraId="0796508B">
                  <w:pPr>
                    <w:pStyle w:val="29"/>
                  </w:pPr>
                  <w:r>
                    <w:t>50kg</w:t>
                  </w:r>
                </w:p>
              </w:tc>
              <w:tc>
                <w:tcPr>
                  <w:tcW w:w="753" w:type="pct"/>
                  <w:vAlign w:val="center"/>
                </w:tcPr>
                <w:p w14:paraId="2C9C8ADC">
                  <w:pPr>
                    <w:pStyle w:val="29"/>
                  </w:pPr>
                  <w:r>
                    <w:t>一楼原料区</w:t>
                  </w:r>
                </w:p>
              </w:tc>
              <w:tc>
                <w:tcPr>
                  <w:tcW w:w="672" w:type="pct"/>
                  <w:vAlign w:val="center"/>
                </w:tcPr>
                <w:p w14:paraId="0C87F3C4">
                  <w:pPr>
                    <w:pStyle w:val="29"/>
                  </w:pPr>
                  <w:r>
                    <w:t>固态</w:t>
                  </w:r>
                </w:p>
              </w:tc>
              <w:tc>
                <w:tcPr>
                  <w:tcW w:w="672" w:type="pct"/>
                  <w:vAlign w:val="center"/>
                </w:tcPr>
                <w:p w14:paraId="569F5183">
                  <w:pPr>
                    <w:pStyle w:val="29"/>
                  </w:pPr>
                  <w:r>
                    <w:t>25kg/袋</w:t>
                  </w:r>
                </w:p>
              </w:tc>
              <w:tc>
                <w:tcPr>
                  <w:tcW w:w="839" w:type="pct"/>
                  <w:vAlign w:val="center"/>
                </w:tcPr>
                <w:p w14:paraId="3906E7FB">
                  <w:pPr>
                    <w:pStyle w:val="29"/>
                  </w:pPr>
                  <w:r>
                    <w:t>混料/注塑</w:t>
                  </w:r>
                </w:p>
              </w:tc>
            </w:tr>
            <w:tr w14:paraId="1D332EE8">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340" w:hRule="atLeast"/>
              </w:trPr>
              <w:tc>
                <w:tcPr>
                  <w:tcW w:w="802" w:type="pct"/>
                  <w:vAlign w:val="center"/>
                </w:tcPr>
                <w:p w14:paraId="3045C5E6">
                  <w:pPr>
                    <w:pStyle w:val="29"/>
                  </w:pPr>
                  <w:r>
                    <w:t>水性油墨</w:t>
                  </w:r>
                </w:p>
              </w:tc>
              <w:tc>
                <w:tcPr>
                  <w:tcW w:w="672" w:type="pct"/>
                  <w:vAlign w:val="center"/>
                </w:tcPr>
                <w:p w14:paraId="7FC5D487">
                  <w:pPr>
                    <w:pStyle w:val="29"/>
                  </w:pPr>
                  <w:r>
                    <w:t>0.1t</w:t>
                  </w:r>
                </w:p>
              </w:tc>
              <w:tc>
                <w:tcPr>
                  <w:tcW w:w="590" w:type="pct"/>
                  <w:vAlign w:val="center"/>
                </w:tcPr>
                <w:p w14:paraId="63774649">
                  <w:pPr>
                    <w:pStyle w:val="29"/>
                  </w:pPr>
                  <w:r>
                    <w:t>30kg</w:t>
                  </w:r>
                </w:p>
              </w:tc>
              <w:tc>
                <w:tcPr>
                  <w:tcW w:w="753" w:type="pct"/>
                  <w:vAlign w:val="center"/>
                </w:tcPr>
                <w:p w14:paraId="71D05979">
                  <w:pPr>
                    <w:pStyle w:val="29"/>
                  </w:pPr>
                  <w:r>
                    <w:t>三楼仓库2</w:t>
                  </w:r>
                </w:p>
              </w:tc>
              <w:tc>
                <w:tcPr>
                  <w:tcW w:w="672" w:type="pct"/>
                  <w:vAlign w:val="center"/>
                </w:tcPr>
                <w:p w14:paraId="610579EE">
                  <w:pPr>
                    <w:pStyle w:val="29"/>
                  </w:pPr>
                  <w:r>
                    <w:t>液态</w:t>
                  </w:r>
                </w:p>
              </w:tc>
              <w:tc>
                <w:tcPr>
                  <w:tcW w:w="672" w:type="pct"/>
                  <w:vAlign w:val="center"/>
                </w:tcPr>
                <w:p w14:paraId="2A238CC8">
                  <w:pPr>
                    <w:pStyle w:val="29"/>
                  </w:pPr>
                  <w:r>
                    <w:t>18L/桶</w:t>
                  </w:r>
                </w:p>
              </w:tc>
              <w:tc>
                <w:tcPr>
                  <w:tcW w:w="839" w:type="pct"/>
                  <w:vAlign w:val="center"/>
                </w:tcPr>
                <w:p w14:paraId="30DCAF05">
                  <w:pPr>
                    <w:pStyle w:val="29"/>
                  </w:pPr>
                  <w:r>
                    <w:rPr>
                      <w:color w:val="0000FF"/>
                    </w:rPr>
                    <w:t>印刷</w:t>
                  </w:r>
                </w:p>
              </w:tc>
            </w:tr>
            <w:tr w14:paraId="23C821FB">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340" w:hRule="atLeast"/>
              </w:trPr>
              <w:tc>
                <w:tcPr>
                  <w:tcW w:w="802" w:type="pct"/>
                  <w:vAlign w:val="center"/>
                </w:tcPr>
                <w:p w14:paraId="4F9B36D3">
                  <w:pPr>
                    <w:pStyle w:val="29"/>
                  </w:pPr>
                  <w:r>
                    <w:t>水性面漆</w:t>
                  </w:r>
                </w:p>
              </w:tc>
              <w:tc>
                <w:tcPr>
                  <w:tcW w:w="672" w:type="pct"/>
                  <w:vAlign w:val="center"/>
                </w:tcPr>
                <w:p w14:paraId="10930D81">
                  <w:pPr>
                    <w:pStyle w:val="29"/>
                  </w:pPr>
                  <w:r>
                    <w:t>3t</w:t>
                  </w:r>
                </w:p>
              </w:tc>
              <w:tc>
                <w:tcPr>
                  <w:tcW w:w="590" w:type="pct"/>
                  <w:vAlign w:val="center"/>
                </w:tcPr>
                <w:p w14:paraId="7479C0F6">
                  <w:pPr>
                    <w:pStyle w:val="29"/>
                  </w:pPr>
                  <w:r>
                    <w:t>0.5t</w:t>
                  </w:r>
                </w:p>
              </w:tc>
              <w:tc>
                <w:tcPr>
                  <w:tcW w:w="753" w:type="pct"/>
                  <w:vAlign w:val="center"/>
                </w:tcPr>
                <w:p w14:paraId="7DEC98EC">
                  <w:pPr>
                    <w:pStyle w:val="29"/>
                  </w:pPr>
                  <w:r>
                    <w:t>三楼仓库2</w:t>
                  </w:r>
                </w:p>
              </w:tc>
              <w:tc>
                <w:tcPr>
                  <w:tcW w:w="672" w:type="pct"/>
                  <w:vAlign w:val="center"/>
                </w:tcPr>
                <w:p w14:paraId="78B383CD">
                  <w:pPr>
                    <w:pStyle w:val="29"/>
                  </w:pPr>
                  <w:r>
                    <w:t>液态</w:t>
                  </w:r>
                </w:p>
              </w:tc>
              <w:tc>
                <w:tcPr>
                  <w:tcW w:w="672" w:type="pct"/>
                  <w:vAlign w:val="center"/>
                </w:tcPr>
                <w:p w14:paraId="19D4493C">
                  <w:pPr>
                    <w:pStyle w:val="29"/>
                  </w:pPr>
                  <w:r>
                    <w:t>18L/桶</w:t>
                  </w:r>
                </w:p>
              </w:tc>
              <w:tc>
                <w:tcPr>
                  <w:tcW w:w="839" w:type="pct"/>
                  <w:vAlign w:val="center"/>
                </w:tcPr>
                <w:p w14:paraId="000A3CB8">
                  <w:pPr>
                    <w:pStyle w:val="29"/>
                  </w:pPr>
                  <w:r>
                    <w:t>喷漆</w:t>
                  </w:r>
                </w:p>
              </w:tc>
            </w:tr>
            <w:tr w14:paraId="0D448E26">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340" w:hRule="atLeast"/>
              </w:trPr>
              <w:tc>
                <w:tcPr>
                  <w:tcW w:w="802" w:type="pct"/>
                  <w:vAlign w:val="center"/>
                </w:tcPr>
                <w:p w14:paraId="17013A6C">
                  <w:pPr>
                    <w:pStyle w:val="29"/>
                    <w:rPr>
                      <w:color w:val="EE0000"/>
                    </w:rPr>
                  </w:pPr>
                  <w:r>
                    <w:rPr>
                      <w:rFonts w:hint="eastAsia"/>
                      <w:color w:val="EE0000"/>
                    </w:rPr>
                    <w:t>清洗剂</w:t>
                  </w:r>
                </w:p>
              </w:tc>
              <w:tc>
                <w:tcPr>
                  <w:tcW w:w="672" w:type="pct"/>
                  <w:vAlign w:val="center"/>
                </w:tcPr>
                <w:p w14:paraId="252AFF6D">
                  <w:pPr>
                    <w:pStyle w:val="29"/>
                    <w:rPr>
                      <w:color w:val="EE0000"/>
                    </w:rPr>
                  </w:pPr>
                  <w:r>
                    <w:rPr>
                      <w:rFonts w:hint="eastAsia"/>
                      <w:color w:val="EE0000"/>
                    </w:rPr>
                    <w:t>0.01</w:t>
                  </w:r>
                </w:p>
              </w:tc>
              <w:tc>
                <w:tcPr>
                  <w:tcW w:w="590" w:type="pct"/>
                  <w:vAlign w:val="center"/>
                </w:tcPr>
                <w:p w14:paraId="7D95C94B">
                  <w:pPr>
                    <w:pStyle w:val="29"/>
                    <w:rPr>
                      <w:color w:val="EE0000"/>
                    </w:rPr>
                  </w:pPr>
                  <w:r>
                    <w:rPr>
                      <w:rFonts w:hint="eastAsia"/>
                      <w:color w:val="EE0000"/>
                    </w:rPr>
                    <w:t>0.01</w:t>
                  </w:r>
                </w:p>
              </w:tc>
              <w:tc>
                <w:tcPr>
                  <w:tcW w:w="753" w:type="pct"/>
                  <w:vAlign w:val="center"/>
                </w:tcPr>
                <w:p w14:paraId="76583422">
                  <w:pPr>
                    <w:pStyle w:val="29"/>
                    <w:rPr>
                      <w:color w:val="EE0000"/>
                    </w:rPr>
                  </w:pPr>
                  <w:r>
                    <w:rPr>
                      <w:rFonts w:hint="eastAsia"/>
                      <w:color w:val="EE0000"/>
                    </w:rPr>
                    <w:t>三楼仓库2</w:t>
                  </w:r>
                </w:p>
              </w:tc>
              <w:tc>
                <w:tcPr>
                  <w:tcW w:w="672" w:type="pct"/>
                  <w:vAlign w:val="center"/>
                </w:tcPr>
                <w:p w14:paraId="30D50027">
                  <w:pPr>
                    <w:pStyle w:val="29"/>
                    <w:rPr>
                      <w:color w:val="EE0000"/>
                    </w:rPr>
                  </w:pPr>
                  <w:r>
                    <w:rPr>
                      <w:rFonts w:hint="eastAsia"/>
                      <w:color w:val="EE0000"/>
                    </w:rPr>
                    <w:t>液态</w:t>
                  </w:r>
                </w:p>
              </w:tc>
              <w:tc>
                <w:tcPr>
                  <w:tcW w:w="672" w:type="pct"/>
                  <w:vAlign w:val="center"/>
                </w:tcPr>
                <w:p w14:paraId="76739F1F">
                  <w:pPr>
                    <w:pStyle w:val="29"/>
                    <w:rPr>
                      <w:color w:val="EE0000"/>
                    </w:rPr>
                  </w:pPr>
                  <w:r>
                    <w:rPr>
                      <w:rFonts w:hint="eastAsia"/>
                      <w:color w:val="EE0000"/>
                    </w:rPr>
                    <w:t>10kg/桶</w:t>
                  </w:r>
                </w:p>
              </w:tc>
              <w:tc>
                <w:tcPr>
                  <w:tcW w:w="839" w:type="pct"/>
                  <w:vAlign w:val="center"/>
                </w:tcPr>
                <w:p w14:paraId="4CAC68FD">
                  <w:pPr>
                    <w:pStyle w:val="29"/>
                    <w:rPr>
                      <w:color w:val="EE0000"/>
                    </w:rPr>
                  </w:pPr>
                  <w:r>
                    <w:rPr>
                      <w:rFonts w:hint="eastAsia"/>
                      <w:color w:val="0000FF"/>
                    </w:rPr>
                    <w:t>印刷</w:t>
                  </w:r>
                  <w:r>
                    <w:rPr>
                      <w:rFonts w:hint="eastAsia"/>
                      <w:color w:val="EE0000"/>
                    </w:rPr>
                    <w:t>设备清洗</w:t>
                  </w:r>
                </w:p>
              </w:tc>
            </w:tr>
            <w:tr w14:paraId="795AD96C">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340" w:hRule="atLeast"/>
              </w:trPr>
              <w:tc>
                <w:tcPr>
                  <w:tcW w:w="802" w:type="pct"/>
                  <w:vAlign w:val="center"/>
                </w:tcPr>
                <w:p w14:paraId="4FCC6A6F">
                  <w:pPr>
                    <w:pStyle w:val="29"/>
                  </w:pPr>
                  <w:r>
                    <w:t>机油</w:t>
                  </w:r>
                </w:p>
              </w:tc>
              <w:tc>
                <w:tcPr>
                  <w:tcW w:w="672" w:type="pct"/>
                  <w:vAlign w:val="center"/>
                </w:tcPr>
                <w:p w14:paraId="701BFA0A">
                  <w:pPr>
                    <w:pStyle w:val="29"/>
                  </w:pPr>
                  <w:r>
                    <w:t>0.2t</w:t>
                  </w:r>
                </w:p>
              </w:tc>
              <w:tc>
                <w:tcPr>
                  <w:tcW w:w="590" w:type="pct"/>
                  <w:vAlign w:val="center"/>
                </w:tcPr>
                <w:p w14:paraId="7C544A0A">
                  <w:pPr>
                    <w:pStyle w:val="29"/>
                  </w:pPr>
                  <w:r>
                    <w:t>40kg</w:t>
                  </w:r>
                </w:p>
              </w:tc>
              <w:tc>
                <w:tcPr>
                  <w:tcW w:w="753" w:type="pct"/>
                  <w:vAlign w:val="center"/>
                </w:tcPr>
                <w:p w14:paraId="48A95DF0">
                  <w:pPr>
                    <w:pStyle w:val="29"/>
                  </w:pPr>
                  <w:r>
                    <w:t>三楼仓库2</w:t>
                  </w:r>
                </w:p>
              </w:tc>
              <w:tc>
                <w:tcPr>
                  <w:tcW w:w="672" w:type="pct"/>
                  <w:vAlign w:val="center"/>
                </w:tcPr>
                <w:p w14:paraId="2485A737">
                  <w:pPr>
                    <w:pStyle w:val="29"/>
                  </w:pPr>
                  <w:r>
                    <w:t>液态</w:t>
                  </w:r>
                </w:p>
              </w:tc>
              <w:tc>
                <w:tcPr>
                  <w:tcW w:w="672" w:type="pct"/>
                  <w:vAlign w:val="center"/>
                </w:tcPr>
                <w:p w14:paraId="366CB974">
                  <w:pPr>
                    <w:pStyle w:val="29"/>
                  </w:pPr>
                  <w:r>
                    <w:t>20kg/桶</w:t>
                  </w:r>
                </w:p>
              </w:tc>
              <w:tc>
                <w:tcPr>
                  <w:tcW w:w="839" w:type="pct"/>
                  <w:vAlign w:val="center"/>
                </w:tcPr>
                <w:p w14:paraId="04137421">
                  <w:pPr>
                    <w:pStyle w:val="29"/>
                  </w:pPr>
                  <w:r>
                    <w:t>设备维修保养</w:t>
                  </w:r>
                </w:p>
              </w:tc>
            </w:tr>
            <w:tr w14:paraId="4C4FCFCA">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340" w:hRule="atLeast"/>
              </w:trPr>
              <w:tc>
                <w:tcPr>
                  <w:tcW w:w="802" w:type="pct"/>
                  <w:vAlign w:val="center"/>
                </w:tcPr>
                <w:p w14:paraId="2D53F05B">
                  <w:pPr>
                    <w:pStyle w:val="29"/>
                  </w:pPr>
                  <w:r>
                    <w:t>线路板</w:t>
                  </w:r>
                </w:p>
              </w:tc>
              <w:tc>
                <w:tcPr>
                  <w:tcW w:w="672" w:type="pct"/>
                  <w:vAlign w:val="center"/>
                </w:tcPr>
                <w:p w14:paraId="0838B119">
                  <w:pPr>
                    <w:pStyle w:val="29"/>
                  </w:pPr>
                  <w:r>
                    <w:t>0.5t</w:t>
                  </w:r>
                </w:p>
              </w:tc>
              <w:tc>
                <w:tcPr>
                  <w:tcW w:w="590" w:type="pct"/>
                  <w:vAlign w:val="center"/>
                </w:tcPr>
                <w:p w14:paraId="01EEBDFD">
                  <w:pPr>
                    <w:pStyle w:val="29"/>
                  </w:pPr>
                  <w:r>
                    <w:t>80kg</w:t>
                  </w:r>
                </w:p>
              </w:tc>
              <w:tc>
                <w:tcPr>
                  <w:tcW w:w="753" w:type="pct"/>
                  <w:vAlign w:val="center"/>
                </w:tcPr>
                <w:p w14:paraId="3EFB4556">
                  <w:pPr>
                    <w:pStyle w:val="29"/>
                  </w:pPr>
                  <w:r>
                    <w:t>二楼仓库1</w:t>
                  </w:r>
                </w:p>
              </w:tc>
              <w:tc>
                <w:tcPr>
                  <w:tcW w:w="672" w:type="pct"/>
                  <w:vAlign w:val="center"/>
                </w:tcPr>
                <w:p w14:paraId="489FD773">
                  <w:pPr>
                    <w:pStyle w:val="29"/>
                  </w:pPr>
                  <w:r>
                    <w:t>固态</w:t>
                  </w:r>
                </w:p>
              </w:tc>
              <w:tc>
                <w:tcPr>
                  <w:tcW w:w="672" w:type="pct"/>
                  <w:vAlign w:val="center"/>
                </w:tcPr>
                <w:p w14:paraId="37193424">
                  <w:pPr>
                    <w:pStyle w:val="29"/>
                  </w:pPr>
                  <w:r>
                    <w:t>/</w:t>
                  </w:r>
                </w:p>
              </w:tc>
              <w:tc>
                <w:tcPr>
                  <w:tcW w:w="839" w:type="pct"/>
                  <w:vAlign w:val="center"/>
                </w:tcPr>
                <w:p w14:paraId="5CF208FE">
                  <w:pPr>
                    <w:pStyle w:val="29"/>
                  </w:pPr>
                  <w:r>
                    <w:t>组装</w:t>
                  </w:r>
                </w:p>
              </w:tc>
            </w:tr>
            <w:tr w14:paraId="42F4E237">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340" w:hRule="atLeast"/>
              </w:trPr>
              <w:tc>
                <w:tcPr>
                  <w:tcW w:w="802" w:type="pct"/>
                  <w:vAlign w:val="center"/>
                </w:tcPr>
                <w:p w14:paraId="2504EAD8">
                  <w:pPr>
                    <w:pStyle w:val="29"/>
                  </w:pPr>
                  <w:r>
                    <w:t>钢材</w:t>
                  </w:r>
                </w:p>
              </w:tc>
              <w:tc>
                <w:tcPr>
                  <w:tcW w:w="672" w:type="pct"/>
                  <w:vAlign w:val="center"/>
                </w:tcPr>
                <w:p w14:paraId="48B21777">
                  <w:pPr>
                    <w:pStyle w:val="29"/>
                  </w:pPr>
                  <w:r>
                    <w:t>5t</w:t>
                  </w:r>
                </w:p>
              </w:tc>
              <w:tc>
                <w:tcPr>
                  <w:tcW w:w="590" w:type="pct"/>
                  <w:vAlign w:val="center"/>
                </w:tcPr>
                <w:p w14:paraId="733B1681">
                  <w:pPr>
                    <w:pStyle w:val="29"/>
                  </w:pPr>
                  <w:r>
                    <w:t>0.1t</w:t>
                  </w:r>
                </w:p>
              </w:tc>
              <w:tc>
                <w:tcPr>
                  <w:tcW w:w="753" w:type="pct"/>
                  <w:vAlign w:val="center"/>
                </w:tcPr>
                <w:p w14:paraId="3CDB50BE">
                  <w:pPr>
                    <w:pStyle w:val="29"/>
                  </w:pPr>
                  <w:r>
                    <w:t>二楼仓库1</w:t>
                  </w:r>
                </w:p>
              </w:tc>
              <w:tc>
                <w:tcPr>
                  <w:tcW w:w="672" w:type="pct"/>
                  <w:vAlign w:val="center"/>
                </w:tcPr>
                <w:p w14:paraId="44B568DB">
                  <w:pPr>
                    <w:pStyle w:val="29"/>
                  </w:pPr>
                  <w:r>
                    <w:t>固态</w:t>
                  </w:r>
                </w:p>
              </w:tc>
              <w:tc>
                <w:tcPr>
                  <w:tcW w:w="672" w:type="pct"/>
                  <w:vAlign w:val="center"/>
                </w:tcPr>
                <w:p w14:paraId="7E847F9C">
                  <w:pPr>
                    <w:pStyle w:val="29"/>
                  </w:pPr>
                  <w:r>
                    <w:t>/</w:t>
                  </w:r>
                </w:p>
              </w:tc>
              <w:tc>
                <w:tcPr>
                  <w:tcW w:w="839" w:type="pct"/>
                  <w:vAlign w:val="center"/>
                </w:tcPr>
                <w:p w14:paraId="3C206CA6">
                  <w:pPr>
                    <w:pStyle w:val="29"/>
                  </w:pPr>
                  <w:r>
                    <w:rPr>
                      <w:rFonts w:hint="eastAsia"/>
                    </w:rPr>
                    <w:t>机加工、</w:t>
                  </w:r>
                  <w:r>
                    <w:rPr>
                      <w:color w:val="0000FF"/>
                    </w:rPr>
                    <w:t>电火花机</w:t>
                  </w:r>
                  <w:r>
                    <w:t>加工</w:t>
                  </w:r>
                </w:p>
              </w:tc>
            </w:tr>
            <w:tr w14:paraId="261E2145">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340" w:hRule="atLeast"/>
              </w:trPr>
              <w:tc>
                <w:tcPr>
                  <w:tcW w:w="802" w:type="pct"/>
                  <w:vAlign w:val="center"/>
                </w:tcPr>
                <w:p w14:paraId="3464BCDC">
                  <w:pPr>
                    <w:pStyle w:val="29"/>
                  </w:pPr>
                  <w:r>
                    <w:rPr>
                      <w:color w:val="0000FF"/>
                    </w:rPr>
                    <w:t>电火花机</w:t>
                  </w:r>
                  <w:r>
                    <w:t>油</w:t>
                  </w:r>
                </w:p>
              </w:tc>
              <w:tc>
                <w:tcPr>
                  <w:tcW w:w="672" w:type="pct"/>
                  <w:vAlign w:val="center"/>
                </w:tcPr>
                <w:p w14:paraId="17AE0EC7">
                  <w:pPr>
                    <w:pStyle w:val="29"/>
                  </w:pPr>
                  <w:r>
                    <w:t>0.01t</w:t>
                  </w:r>
                </w:p>
              </w:tc>
              <w:tc>
                <w:tcPr>
                  <w:tcW w:w="590" w:type="pct"/>
                  <w:vAlign w:val="center"/>
                </w:tcPr>
                <w:p w14:paraId="0B79AD61">
                  <w:pPr>
                    <w:pStyle w:val="29"/>
                  </w:pPr>
                  <w:r>
                    <w:t>0.01t</w:t>
                  </w:r>
                </w:p>
              </w:tc>
              <w:tc>
                <w:tcPr>
                  <w:tcW w:w="753" w:type="pct"/>
                  <w:vAlign w:val="center"/>
                </w:tcPr>
                <w:p w14:paraId="55FD27D8">
                  <w:pPr>
                    <w:pStyle w:val="29"/>
                  </w:pPr>
                  <w:r>
                    <w:t>三楼仓库2</w:t>
                  </w:r>
                </w:p>
              </w:tc>
              <w:tc>
                <w:tcPr>
                  <w:tcW w:w="672" w:type="pct"/>
                  <w:vAlign w:val="center"/>
                </w:tcPr>
                <w:p w14:paraId="6BEE7FDA">
                  <w:pPr>
                    <w:pStyle w:val="29"/>
                  </w:pPr>
                  <w:r>
                    <w:t>液态</w:t>
                  </w:r>
                </w:p>
              </w:tc>
              <w:tc>
                <w:tcPr>
                  <w:tcW w:w="672" w:type="pct"/>
                  <w:vAlign w:val="center"/>
                </w:tcPr>
                <w:p w14:paraId="37ABCE19">
                  <w:pPr>
                    <w:pStyle w:val="29"/>
                  </w:pPr>
                  <w:r>
                    <w:t>10kg/桶</w:t>
                  </w:r>
                </w:p>
              </w:tc>
              <w:tc>
                <w:tcPr>
                  <w:tcW w:w="839" w:type="pct"/>
                  <w:vAlign w:val="center"/>
                </w:tcPr>
                <w:p w14:paraId="550E7151">
                  <w:pPr>
                    <w:pStyle w:val="29"/>
                  </w:pPr>
                  <w:r>
                    <w:rPr>
                      <w:color w:val="0000FF"/>
                    </w:rPr>
                    <w:t>电火花机</w:t>
                  </w:r>
                  <w:r>
                    <w:t>加工</w:t>
                  </w:r>
                </w:p>
              </w:tc>
            </w:tr>
            <w:tr w14:paraId="040E7C9F">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340" w:hRule="atLeast"/>
              </w:trPr>
              <w:tc>
                <w:tcPr>
                  <w:tcW w:w="802" w:type="pct"/>
                  <w:vAlign w:val="center"/>
                </w:tcPr>
                <w:p w14:paraId="27540243">
                  <w:pPr>
                    <w:pStyle w:val="29"/>
                  </w:pPr>
                  <w:r>
                    <w:t>无铅焊丝（不含锡）</w:t>
                  </w:r>
                </w:p>
              </w:tc>
              <w:tc>
                <w:tcPr>
                  <w:tcW w:w="672" w:type="pct"/>
                  <w:vAlign w:val="center"/>
                </w:tcPr>
                <w:p w14:paraId="5CE78F91">
                  <w:pPr>
                    <w:pStyle w:val="29"/>
                  </w:pPr>
                  <w:r>
                    <w:t>0.02</w:t>
                  </w:r>
                </w:p>
              </w:tc>
              <w:tc>
                <w:tcPr>
                  <w:tcW w:w="590" w:type="pct"/>
                  <w:vAlign w:val="center"/>
                </w:tcPr>
                <w:p w14:paraId="3A7B959A">
                  <w:pPr>
                    <w:pStyle w:val="29"/>
                  </w:pPr>
                  <w:r>
                    <w:t>0.02</w:t>
                  </w:r>
                </w:p>
              </w:tc>
              <w:tc>
                <w:tcPr>
                  <w:tcW w:w="753" w:type="pct"/>
                  <w:vAlign w:val="center"/>
                </w:tcPr>
                <w:p w14:paraId="32270C50">
                  <w:pPr>
                    <w:pStyle w:val="29"/>
                  </w:pPr>
                  <w:r>
                    <w:t>三楼仓库2</w:t>
                  </w:r>
                </w:p>
              </w:tc>
              <w:tc>
                <w:tcPr>
                  <w:tcW w:w="672" w:type="pct"/>
                  <w:vAlign w:val="center"/>
                </w:tcPr>
                <w:p w14:paraId="1F102AF6">
                  <w:pPr>
                    <w:pStyle w:val="29"/>
                  </w:pPr>
                  <w:r>
                    <w:t>固态</w:t>
                  </w:r>
                </w:p>
              </w:tc>
              <w:tc>
                <w:tcPr>
                  <w:tcW w:w="672" w:type="pct"/>
                  <w:vAlign w:val="center"/>
                </w:tcPr>
                <w:p w14:paraId="4A4CE74C">
                  <w:pPr>
                    <w:pStyle w:val="29"/>
                  </w:pPr>
                  <w:r>
                    <w:t>20kg/包</w:t>
                  </w:r>
                </w:p>
              </w:tc>
              <w:tc>
                <w:tcPr>
                  <w:tcW w:w="839" w:type="pct"/>
                  <w:vMerge w:val="restart"/>
                  <w:vAlign w:val="center"/>
                </w:tcPr>
                <w:p w14:paraId="035236D7">
                  <w:pPr>
                    <w:pStyle w:val="29"/>
                  </w:pPr>
                  <w:r>
                    <w:t>自用模具焊接</w:t>
                  </w:r>
                </w:p>
              </w:tc>
            </w:tr>
            <w:tr w14:paraId="4F12B22F">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340" w:hRule="atLeast"/>
              </w:trPr>
              <w:tc>
                <w:tcPr>
                  <w:tcW w:w="802" w:type="pct"/>
                  <w:vAlign w:val="center"/>
                </w:tcPr>
                <w:p w14:paraId="2D50C219">
                  <w:pPr>
                    <w:pStyle w:val="29"/>
                  </w:pPr>
                  <w:r>
                    <w:t>CO</w:t>
                  </w:r>
                  <w:r>
                    <w:rPr>
                      <w:vertAlign w:val="subscript"/>
                    </w:rPr>
                    <w:t>2</w:t>
                  </w:r>
                </w:p>
              </w:tc>
              <w:tc>
                <w:tcPr>
                  <w:tcW w:w="672" w:type="pct"/>
                  <w:vAlign w:val="center"/>
                </w:tcPr>
                <w:p w14:paraId="0E32FC12">
                  <w:pPr>
                    <w:pStyle w:val="29"/>
                  </w:pPr>
                  <w:r>
                    <w:t>40L</w:t>
                  </w:r>
                </w:p>
              </w:tc>
              <w:tc>
                <w:tcPr>
                  <w:tcW w:w="590" w:type="pct"/>
                  <w:vAlign w:val="center"/>
                </w:tcPr>
                <w:p w14:paraId="54FD00DA">
                  <w:pPr>
                    <w:pStyle w:val="29"/>
                  </w:pPr>
                  <w:r>
                    <w:t>40L</w:t>
                  </w:r>
                </w:p>
              </w:tc>
              <w:tc>
                <w:tcPr>
                  <w:tcW w:w="753" w:type="pct"/>
                  <w:vAlign w:val="center"/>
                </w:tcPr>
                <w:p w14:paraId="09167B86">
                  <w:pPr>
                    <w:pStyle w:val="29"/>
                  </w:pPr>
                  <w:r>
                    <w:t>三楼仓库2</w:t>
                  </w:r>
                </w:p>
              </w:tc>
              <w:tc>
                <w:tcPr>
                  <w:tcW w:w="672" w:type="pct"/>
                  <w:vAlign w:val="center"/>
                </w:tcPr>
                <w:p w14:paraId="3E8D6C5E">
                  <w:pPr>
                    <w:pStyle w:val="29"/>
                  </w:pPr>
                  <w:r>
                    <w:t>液态</w:t>
                  </w:r>
                </w:p>
              </w:tc>
              <w:tc>
                <w:tcPr>
                  <w:tcW w:w="672" w:type="pct"/>
                  <w:vAlign w:val="center"/>
                </w:tcPr>
                <w:p w14:paraId="52831DD3">
                  <w:pPr>
                    <w:pStyle w:val="29"/>
                  </w:pPr>
                  <w:r>
                    <w:t>40L/瓶</w:t>
                  </w:r>
                </w:p>
              </w:tc>
              <w:tc>
                <w:tcPr>
                  <w:tcW w:w="839" w:type="pct"/>
                  <w:vMerge w:val="continue"/>
                  <w:vAlign w:val="center"/>
                </w:tcPr>
                <w:p w14:paraId="0B1C1307">
                  <w:pPr>
                    <w:pStyle w:val="29"/>
                  </w:pPr>
                </w:p>
              </w:tc>
            </w:tr>
            <w:bookmarkEnd w:id="4"/>
          </w:tbl>
          <w:p w14:paraId="7557F80F">
            <w:pPr>
              <w:ind w:firstLine="480"/>
              <w:rPr>
                <w:rFonts w:asciiTheme="majorBidi" w:hAnsiTheme="majorBidi" w:eastAsiaTheme="minorEastAsia" w:cstheme="majorBidi"/>
                <w:bCs/>
                <w:color w:val="000000" w:themeColor="text1"/>
                <w:kern w:val="2"/>
                <w14:textFill>
                  <w14:solidFill>
                    <w14:schemeClr w14:val="tx1"/>
                  </w14:solidFill>
                </w14:textFill>
              </w:rPr>
            </w:pPr>
            <w:r>
              <w:rPr>
                <w:rFonts w:asciiTheme="majorBidi" w:hAnsiTheme="majorBidi" w:eastAsiaTheme="minorEastAsia" w:cstheme="majorBidi"/>
                <w:bCs/>
                <w:color w:val="000000" w:themeColor="text1"/>
                <w:kern w:val="2"/>
                <w14:textFill>
                  <w14:solidFill>
                    <w14:schemeClr w14:val="tx1"/>
                  </w14:solidFill>
                </w14:textFill>
              </w:rPr>
              <w:t>PS：聚苯乙烯，无色透明的热塑性塑料，成型性能好，在使用温度范围内，成品收缩变形性小，尺寸稳定；耐水性好，化学稳定性随温度的升高而降低；对一定浓度的无机酸、有机酸、盐类溶液及碱类、醇类、植物油类等都有较好的抵抗性，在日光下长期放置会逐渐变黄，失透并发生裂纹现象。PS属于无定形树脂，没有明显的熔点，熔融温度范围比较宽，可以在120~180℃之间熔融成为熔体。热稳定性较好，分解温度在300℃以上。</w:t>
            </w:r>
          </w:p>
          <w:p w14:paraId="742DA635">
            <w:pPr>
              <w:ind w:firstLine="480"/>
              <w:rPr>
                <w:rFonts w:asciiTheme="majorBidi" w:hAnsiTheme="majorBidi" w:eastAsiaTheme="minorEastAsia" w:cstheme="majorBidi"/>
                <w:bCs/>
                <w:color w:val="000000" w:themeColor="text1"/>
                <w:kern w:val="2"/>
                <w14:textFill>
                  <w14:solidFill>
                    <w14:schemeClr w14:val="tx1"/>
                  </w14:solidFill>
                </w14:textFill>
              </w:rPr>
            </w:pPr>
            <w:r>
              <w:rPr>
                <w:rFonts w:asciiTheme="majorBidi" w:hAnsiTheme="majorBidi" w:eastAsiaTheme="minorEastAsia" w:cstheme="majorBidi"/>
                <w:bCs/>
                <w:color w:val="000000" w:themeColor="text1"/>
                <w:kern w:val="2"/>
                <w14:textFill>
                  <w14:solidFill>
                    <w14:schemeClr w14:val="tx1"/>
                  </w14:solidFill>
                </w14:textFill>
              </w:rPr>
              <w:t>ABS：是由丙烯腈、丁二烯和苯乙烯三种化学单体合成。每种单体都具有不同特性：丙烯腈有高强度、热稳定性及化学稳定性；丁二烯具有坚韧性、抗冲击特性；苯乙烯具有易加工、高光洁度及高强度。ABS树脂是微黄色固体，有一定的韧性，密度约为1.05g/mL。熔化温度221~245℃，分解温度270℃以上。</w:t>
            </w:r>
          </w:p>
          <w:p w14:paraId="3DAAE5F0">
            <w:pPr>
              <w:ind w:firstLine="480"/>
              <w:rPr>
                <w:rFonts w:asciiTheme="majorBidi" w:hAnsiTheme="majorBidi" w:eastAsiaTheme="minorEastAsia" w:cstheme="majorBidi"/>
                <w:bCs/>
                <w:color w:val="000000" w:themeColor="text1"/>
                <w:kern w:val="2"/>
                <w14:textFill>
                  <w14:solidFill>
                    <w14:schemeClr w14:val="tx1"/>
                  </w14:solidFill>
                </w14:textFill>
              </w:rPr>
            </w:pPr>
            <w:r>
              <w:rPr>
                <w:rFonts w:asciiTheme="majorBidi" w:hAnsiTheme="majorBidi" w:eastAsiaTheme="minorEastAsia" w:cstheme="majorBidi"/>
                <w:bCs/>
                <w:color w:val="000000" w:themeColor="text1"/>
                <w:kern w:val="2"/>
                <w14:textFill>
                  <w14:solidFill>
                    <w14:schemeClr w14:val="tx1"/>
                  </w14:solidFill>
                </w14:textFill>
              </w:rPr>
              <w:t>机油：机油一般由基础油和添加剂两部分组成。基础油是机油的主要成分，决定着机油的基本性质，添加剂则可弥补和改善基础油性能方面的不足，赋予某些新的性能，是机油的重要组成部分。是用在各种类型机械设备上以减少摩擦，保护机械及加工件的液体或半固体润滑剂，主要起润滑、辅助冷却、防锈、清洁、密封和缓冲等作用。</w:t>
            </w:r>
          </w:p>
          <w:p w14:paraId="2AC6E6F6">
            <w:pPr>
              <w:ind w:firstLine="480"/>
              <w:rPr>
                <w:rFonts w:asciiTheme="majorBidi" w:hAnsiTheme="majorBidi" w:eastAsiaTheme="minorEastAsia" w:cstheme="majorBidi"/>
                <w:bCs/>
                <w:color w:val="000000" w:themeColor="text1"/>
                <w:kern w:val="2"/>
                <w14:textFill>
                  <w14:solidFill>
                    <w14:schemeClr w14:val="tx1"/>
                  </w14:solidFill>
                </w14:textFill>
              </w:rPr>
            </w:pPr>
            <w:r>
              <w:rPr>
                <w:rFonts w:asciiTheme="majorBidi" w:hAnsiTheme="majorBidi" w:eastAsiaTheme="minorEastAsia" w:cstheme="majorBidi"/>
                <w:bCs/>
                <w:kern w:val="2"/>
              </w:rPr>
              <w:t>火花机油：又称火花油，是一种电火花机加工不可缺少的放电介质液体，电火花机润滑油能够绝缘消电离、冷却电火花机加</w:t>
            </w:r>
            <w:r>
              <w:rPr>
                <w:rFonts w:asciiTheme="majorBidi" w:hAnsiTheme="majorBidi" w:eastAsiaTheme="minorEastAsia" w:cstheme="majorBidi"/>
                <w:bCs/>
                <w:color w:val="000000" w:themeColor="text1"/>
                <w:kern w:val="2"/>
                <w14:textFill>
                  <w14:solidFill>
                    <w14:schemeClr w14:val="tx1"/>
                  </w14:solidFill>
                </w14:textFill>
              </w:rPr>
              <w:t>工时的高温、排除碳渣。主要成分为矿物油≥95%、复合剂≤5%，无色透明液体，不溶于水。</w:t>
            </w:r>
          </w:p>
          <w:p w14:paraId="07E590F1">
            <w:pPr>
              <w:ind w:firstLine="480"/>
              <w:rPr>
                <w:rFonts w:asciiTheme="majorBidi" w:hAnsiTheme="majorBidi" w:eastAsiaTheme="minorEastAsia" w:cstheme="majorBidi"/>
                <w:bCs/>
                <w:color w:val="000000" w:themeColor="text1"/>
                <w:kern w:val="2"/>
                <w14:textFill>
                  <w14:solidFill>
                    <w14:schemeClr w14:val="tx1"/>
                  </w14:solidFill>
                </w14:textFill>
              </w:rPr>
            </w:pPr>
            <w:r>
              <w:rPr>
                <w:rFonts w:asciiTheme="majorBidi" w:hAnsiTheme="majorBidi" w:eastAsiaTheme="minorEastAsia" w:cstheme="majorBidi"/>
                <w:bCs/>
                <w:color w:val="000000" w:themeColor="text1"/>
                <w:kern w:val="2"/>
                <w14:textFill>
                  <w14:solidFill>
                    <w14:schemeClr w14:val="tx1"/>
                  </w14:solidFill>
                </w14:textFill>
              </w:rPr>
              <w:t>无铅焊丝：焊丝是作为填充金属或同时作为导电用的金属丝焊接材料。焊丝的表面不涂防氧化作用的焊剂。项目使用的焊丝为碳钢实芯半径1.6mm，主要成分为Si、Mn、Cu等，为无铅和无锡焊丝。</w:t>
            </w:r>
          </w:p>
          <w:p w14:paraId="23DE7047">
            <w:pPr>
              <w:ind w:firstLine="480"/>
              <w:rPr>
                <w:b/>
                <w:bCs/>
              </w:rPr>
            </w:pPr>
            <w:r>
              <w:rPr>
                <w:rFonts w:asciiTheme="majorBidi" w:hAnsiTheme="majorBidi" w:eastAsiaTheme="minorEastAsia" w:cstheme="majorBidi"/>
                <w:bCs/>
                <w:color w:val="000000" w:themeColor="text1"/>
                <w:kern w:val="2"/>
                <w14:textFill>
                  <w14:solidFill>
                    <w14:schemeClr w14:val="tx1"/>
                  </w14:solidFill>
                </w14:textFill>
              </w:rPr>
              <w:t>水性面漆：项目水性面漆简称水性漆，根据项目水性面漆</w:t>
            </w:r>
            <w:r>
              <w:rPr>
                <w:rFonts w:hint="eastAsia"/>
              </w:rPr>
              <w:t>MSDS（附件7）</w:t>
            </w:r>
            <w:r>
              <w:rPr>
                <w:rFonts w:asciiTheme="majorBidi" w:hAnsiTheme="majorBidi" w:eastAsiaTheme="minorEastAsia" w:cstheme="majorBidi"/>
                <w:bCs/>
                <w:color w:val="000000" w:themeColor="text1"/>
                <w:kern w:val="2"/>
                <w14:textFill>
                  <w14:solidFill>
                    <w14:schemeClr w14:val="tx1"/>
                  </w14:solidFill>
                </w14:textFill>
              </w:rPr>
              <w:t>，其主要成分：</w:t>
            </w:r>
            <w:r>
              <w:rPr>
                <w:rFonts w:hint="eastAsia" w:asciiTheme="majorBidi" w:hAnsiTheme="majorBidi" w:eastAsiaTheme="minorEastAsia" w:cstheme="majorBidi"/>
                <w:bCs/>
                <w:color w:val="0000FF"/>
                <w:kern w:val="2"/>
              </w:rPr>
              <w:t>水性</w:t>
            </w:r>
            <w:r>
              <w:rPr>
                <w:rFonts w:asciiTheme="majorBidi" w:hAnsiTheme="majorBidi" w:eastAsiaTheme="minorEastAsia" w:cstheme="majorBidi"/>
                <w:bCs/>
                <w:color w:val="0000FF"/>
                <w:kern w:val="2"/>
              </w:rPr>
              <w:t>丙烯酸</w:t>
            </w:r>
            <w:r>
              <w:rPr>
                <w:rFonts w:hint="eastAsia" w:asciiTheme="majorBidi" w:hAnsiTheme="majorBidi" w:eastAsiaTheme="minorEastAsia" w:cstheme="majorBidi"/>
                <w:bCs/>
                <w:color w:val="0000FF"/>
                <w:kern w:val="2"/>
              </w:rPr>
              <w:t>树脂50</w:t>
            </w:r>
            <w:r>
              <w:rPr>
                <w:rFonts w:asciiTheme="majorBidi" w:hAnsiTheme="majorBidi" w:eastAsiaTheme="minorEastAsia" w:cstheme="majorBidi"/>
                <w:bCs/>
                <w:color w:val="0000FF"/>
                <w:kern w:val="2"/>
              </w:rPr>
              <w:t>%，</w:t>
            </w:r>
            <w:r>
              <w:rPr>
                <w:rFonts w:hint="eastAsia" w:asciiTheme="majorBidi" w:hAnsiTheme="majorBidi" w:eastAsiaTheme="minorEastAsia" w:cstheme="majorBidi"/>
                <w:bCs/>
                <w:color w:val="0000FF"/>
                <w:kern w:val="2"/>
              </w:rPr>
              <w:t>纯净</w:t>
            </w:r>
            <w:r>
              <w:rPr>
                <w:rFonts w:asciiTheme="majorBidi" w:hAnsiTheme="majorBidi" w:eastAsiaTheme="minorEastAsia" w:cstheme="majorBidi"/>
                <w:bCs/>
                <w:color w:val="0000FF"/>
                <w:kern w:val="2"/>
              </w:rPr>
              <w:t>水</w:t>
            </w:r>
            <w:r>
              <w:rPr>
                <w:rFonts w:hint="eastAsia" w:asciiTheme="majorBidi" w:hAnsiTheme="majorBidi" w:eastAsiaTheme="minorEastAsia" w:cstheme="majorBidi"/>
                <w:bCs/>
                <w:color w:val="0000FF"/>
                <w:kern w:val="2"/>
              </w:rPr>
              <w:t>36</w:t>
            </w:r>
            <w:r>
              <w:rPr>
                <w:rFonts w:asciiTheme="majorBidi" w:hAnsiTheme="majorBidi" w:eastAsiaTheme="minorEastAsia" w:cstheme="majorBidi"/>
                <w:bCs/>
                <w:color w:val="0000FF"/>
                <w:kern w:val="2"/>
              </w:rPr>
              <w:t>%，</w:t>
            </w:r>
            <w:r>
              <w:rPr>
                <w:rFonts w:hint="eastAsia" w:asciiTheme="majorBidi" w:hAnsiTheme="majorBidi" w:eastAsiaTheme="minorEastAsia" w:cstheme="majorBidi"/>
                <w:bCs/>
                <w:color w:val="0000FF"/>
                <w:kern w:val="2"/>
              </w:rPr>
              <w:t>色料10%，添加</w:t>
            </w:r>
            <w:r>
              <w:rPr>
                <w:rFonts w:asciiTheme="majorBidi" w:hAnsiTheme="majorBidi" w:eastAsiaTheme="minorEastAsia" w:cstheme="majorBidi"/>
                <w:bCs/>
                <w:color w:val="0000FF"/>
                <w:kern w:val="2"/>
              </w:rPr>
              <w:t>剂</w:t>
            </w:r>
            <w:r>
              <w:rPr>
                <w:rFonts w:hint="eastAsia" w:asciiTheme="majorBidi" w:hAnsiTheme="majorBidi" w:eastAsiaTheme="minorEastAsia" w:cstheme="majorBidi"/>
                <w:bCs/>
                <w:color w:val="0000FF"/>
                <w:kern w:val="2"/>
              </w:rPr>
              <w:t>4</w:t>
            </w:r>
            <w:r>
              <w:rPr>
                <w:rFonts w:asciiTheme="majorBidi" w:hAnsiTheme="majorBidi" w:eastAsiaTheme="minorEastAsia" w:cstheme="majorBidi"/>
                <w:bCs/>
                <w:color w:val="0000FF"/>
                <w:kern w:val="2"/>
              </w:rPr>
              <w:t>%，密度0.9-1.</w:t>
            </w:r>
            <w:r>
              <w:rPr>
                <w:rFonts w:hint="eastAsia" w:asciiTheme="majorBidi" w:hAnsiTheme="majorBidi" w:eastAsiaTheme="minorEastAsia" w:cstheme="majorBidi"/>
                <w:bCs/>
                <w:color w:val="0000FF"/>
                <w:kern w:val="2"/>
              </w:rPr>
              <w:t>2</w:t>
            </w:r>
            <w:r>
              <w:rPr>
                <w:rFonts w:asciiTheme="majorBidi" w:hAnsiTheme="majorBidi" w:eastAsiaTheme="minorEastAsia" w:cstheme="majorBidi"/>
                <w:bCs/>
                <w:color w:val="0000FF"/>
                <w:kern w:val="2"/>
              </w:rPr>
              <w:t>g/cm</w:t>
            </w:r>
            <w:r>
              <w:rPr>
                <w:rFonts w:asciiTheme="majorBidi" w:hAnsiTheme="majorBidi" w:eastAsiaTheme="minorEastAsia" w:cstheme="majorBidi"/>
                <w:bCs/>
                <w:color w:val="000000" w:themeColor="text1"/>
                <w:kern w:val="2"/>
                <w:vertAlign w:val="superscript"/>
                <w14:textFill>
                  <w14:solidFill>
                    <w14:schemeClr w14:val="tx1"/>
                  </w14:solidFill>
                </w14:textFill>
              </w:rPr>
              <w:t>3</w:t>
            </w:r>
            <w:r>
              <w:rPr>
                <w:rFonts w:asciiTheme="majorBidi" w:hAnsiTheme="majorBidi" w:eastAsiaTheme="minorEastAsia" w:cstheme="majorBidi"/>
                <w:bCs/>
                <w:color w:val="000000" w:themeColor="text1"/>
                <w:kern w:val="2"/>
                <w14:textFill>
                  <w14:solidFill>
                    <w14:schemeClr w14:val="tx1"/>
                  </w14:solidFill>
                </w14:textFill>
              </w:rPr>
              <w:t>，沸点</w:t>
            </w:r>
            <w:r>
              <w:rPr>
                <w:rFonts w:hint="eastAsia" w:asciiTheme="majorBidi" w:hAnsiTheme="majorBidi" w:eastAsiaTheme="minorEastAsia" w:cstheme="majorBidi"/>
                <w:bCs/>
                <w:color w:val="000000" w:themeColor="text1"/>
                <w:kern w:val="2"/>
                <w14:textFill>
                  <w14:solidFill>
                    <w14:schemeClr w14:val="tx1"/>
                  </w14:solidFill>
                </w14:textFill>
              </w:rPr>
              <w:t>＞</w:t>
            </w:r>
            <w:r>
              <w:rPr>
                <w:rFonts w:asciiTheme="majorBidi" w:hAnsiTheme="majorBidi" w:eastAsiaTheme="minorEastAsia" w:cstheme="majorBidi"/>
                <w:bCs/>
                <w:color w:val="000000" w:themeColor="text1"/>
                <w:kern w:val="2"/>
                <w14:textFill>
                  <w14:solidFill>
                    <w14:schemeClr w14:val="tx1"/>
                  </w14:solidFill>
                </w14:textFill>
              </w:rPr>
              <w:t>100℃。</w:t>
            </w:r>
            <w:r>
              <w:t>水性涂料密度0.9-1.45g/cm</w:t>
            </w:r>
            <w:r>
              <w:rPr>
                <w:vertAlign w:val="superscript"/>
              </w:rPr>
              <w:t>3</w:t>
            </w:r>
            <w:r>
              <w:t>，本项目取</w:t>
            </w:r>
            <w:r>
              <w:rPr>
                <w:rFonts w:hint="eastAsia"/>
              </w:rPr>
              <w:t>中值</w:t>
            </w:r>
            <w:r>
              <w:rPr>
                <w:color w:val="0000FF"/>
              </w:rPr>
              <w:t>1.1</w:t>
            </w:r>
            <w:r>
              <w:rPr>
                <w:rFonts w:hint="eastAsia"/>
                <w:color w:val="0000FF"/>
              </w:rPr>
              <w:t>5</w:t>
            </w:r>
            <w:r>
              <w:t>g/cm</w:t>
            </w:r>
            <w:r>
              <w:rPr>
                <w:vertAlign w:val="superscript"/>
              </w:rPr>
              <w:t>3</w:t>
            </w:r>
            <w:r>
              <w:t>；</w:t>
            </w:r>
            <w:r>
              <w:rPr>
                <w:rFonts w:hint="eastAsia"/>
              </w:rPr>
              <w:t>根据</w:t>
            </w:r>
            <w:r>
              <w:rPr>
                <w:rFonts w:asciiTheme="majorBidi" w:hAnsiTheme="majorBidi" w:eastAsiaTheme="minorEastAsia" w:cstheme="majorBidi"/>
                <w:bCs/>
                <w:color w:val="000000" w:themeColor="text1"/>
                <w:kern w:val="2"/>
                <w14:textFill>
                  <w14:solidFill>
                    <w14:schemeClr w14:val="tx1"/>
                  </w14:solidFill>
                </w14:textFill>
              </w:rPr>
              <w:t>项目水性面漆</w:t>
            </w:r>
            <w:r>
              <w:rPr>
                <w:color w:val="EE0000"/>
              </w:rPr>
              <w:t>VOCs检测报告</w:t>
            </w:r>
            <w:r>
              <w:rPr>
                <w:rFonts w:hint="eastAsia"/>
              </w:rPr>
              <w:t>（附件8）</w:t>
            </w:r>
            <w:r>
              <w:rPr>
                <w:rFonts w:asciiTheme="majorBidi" w:hAnsiTheme="majorBidi" w:eastAsiaTheme="minorEastAsia" w:cstheme="majorBidi"/>
                <w:bCs/>
                <w:color w:val="000000" w:themeColor="text1"/>
                <w:kern w:val="2"/>
                <w14:textFill>
                  <w14:solidFill>
                    <w14:schemeClr w14:val="tx1"/>
                  </w14:solidFill>
                </w14:textFill>
              </w:rPr>
              <w:t>，</w:t>
            </w:r>
            <w:r>
              <w:rPr>
                <w:rFonts w:asciiTheme="majorBidi" w:hAnsiTheme="majorBidi" w:eastAsiaTheme="minorEastAsia" w:cstheme="majorBidi"/>
                <w:bCs/>
                <w:color w:val="EE0000"/>
                <w:kern w:val="2"/>
              </w:rPr>
              <w:t>其VOCs含量为</w:t>
            </w:r>
            <w:r>
              <w:rPr>
                <w:rFonts w:hint="eastAsia" w:asciiTheme="majorBidi" w:hAnsiTheme="majorBidi" w:eastAsiaTheme="minorEastAsia" w:cstheme="majorBidi"/>
                <w:bCs/>
                <w:color w:val="0000FF"/>
                <w:kern w:val="2"/>
              </w:rPr>
              <w:t>33</w:t>
            </w:r>
            <w:r>
              <w:rPr>
                <w:rFonts w:hint="eastAsia" w:asciiTheme="majorBidi" w:hAnsiTheme="majorBidi" w:eastAsiaTheme="minorEastAsia" w:cstheme="majorBidi"/>
                <w:bCs/>
                <w:color w:val="EE0000"/>
                <w:kern w:val="2"/>
              </w:rPr>
              <w:t>g</w:t>
            </w:r>
            <w:r>
              <w:rPr>
                <w:color w:val="EE0000"/>
              </w:rPr>
              <w:t>/L</w:t>
            </w:r>
            <w:r>
              <w:rPr>
                <w:rFonts w:hint="eastAsia"/>
                <w:color w:val="EE0000"/>
              </w:rPr>
              <w:t>（</w:t>
            </w:r>
            <w:r>
              <w:rPr>
                <w:rFonts w:hint="eastAsia"/>
                <w:color w:val="0000FF"/>
              </w:rPr>
              <w:t>28.70</w:t>
            </w:r>
            <w:r>
              <w:rPr>
                <w:rFonts w:hint="eastAsia"/>
                <w:color w:val="EE0000"/>
              </w:rPr>
              <w:t>g/kg）</w:t>
            </w:r>
            <w:r>
              <w:t>，满足《低挥发性有机化合物含量涂料产品技术要求》（GB/T 38597-2020）表1水性涂料中VOC含量中工业防护涂料-包装涂料-面漆≤270g/L要求。</w:t>
            </w:r>
          </w:p>
          <w:p w14:paraId="0D7A4009">
            <w:pPr>
              <w:ind w:firstLine="480"/>
              <w:rPr>
                <w:rFonts w:asciiTheme="majorBidi" w:hAnsiTheme="majorBidi" w:eastAsiaTheme="minorEastAsia" w:cstheme="majorBidi"/>
                <w:bCs/>
                <w:color w:val="000000" w:themeColor="text1"/>
                <w:kern w:val="2"/>
                <w14:textFill>
                  <w14:solidFill>
                    <w14:schemeClr w14:val="tx1"/>
                  </w14:solidFill>
                </w14:textFill>
              </w:rPr>
            </w:pPr>
            <w:r>
              <w:rPr>
                <w:rFonts w:asciiTheme="majorBidi" w:hAnsiTheme="majorBidi" w:eastAsiaTheme="minorEastAsia" w:cstheme="majorBidi"/>
                <w:bCs/>
                <w:color w:val="000000" w:themeColor="text1"/>
                <w:kern w:val="2"/>
                <w14:textFill>
                  <w14:solidFill>
                    <w14:schemeClr w14:val="tx1"/>
                  </w14:solidFill>
                </w14:textFill>
              </w:rPr>
              <w:t>水性油墨：水性油墨简称为水墨，其主要成份：</w:t>
            </w:r>
            <w:r>
              <w:rPr>
                <w:rFonts w:asciiTheme="majorBidi" w:hAnsiTheme="majorBidi" w:eastAsiaTheme="minorEastAsia" w:cstheme="majorBidi"/>
                <w:bCs/>
                <w:color w:val="0000FF"/>
                <w:kern w:val="2"/>
              </w:rPr>
              <w:t>丙烯酸乳液</w:t>
            </w:r>
            <w:r>
              <w:rPr>
                <w:rFonts w:hint="eastAsia" w:asciiTheme="majorBidi" w:hAnsiTheme="majorBidi" w:eastAsiaTheme="minorEastAsia" w:cstheme="majorBidi"/>
                <w:bCs/>
                <w:color w:val="0000FF"/>
                <w:kern w:val="2"/>
              </w:rPr>
              <w:t>43.9</w:t>
            </w:r>
            <w:r>
              <w:rPr>
                <w:rFonts w:asciiTheme="majorBidi" w:hAnsiTheme="majorBidi" w:eastAsiaTheme="minorEastAsia" w:cstheme="majorBidi"/>
                <w:bCs/>
                <w:color w:val="0000FF"/>
                <w:kern w:val="2"/>
              </w:rPr>
              <w:t>%，</w:t>
            </w:r>
            <w:r>
              <w:rPr>
                <w:rFonts w:hint="eastAsia" w:asciiTheme="majorBidi" w:hAnsiTheme="majorBidi" w:eastAsiaTheme="minorEastAsia" w:cstheme="majorBidi"/>
                <w:bCs/>
                <w:color w:val="0000FF"/>
                <w:kern w:val="2"/>
              </w:rPr>
              <w:t>丙烯酸树脂液35%，水</w:t>
            </w:r>
            <w:r>
              <w:rPr>
                <w:rFonts w:asciiTheme="majorBidi" w:hAnsiTheme="majorBidi" w:eastAsiaTheme="minorEastAsia" w:cstheme="majorBidi"/>
                <w:bCs/>
                <w:color w:val="0000FF"/>
                <w:kern w:val="2"/>
              </w:rPr>
              <w:t>1</w:t>
            </w:r>
            <w:r>
              <w:rPr>
                <w:rFonts w:hint="eastAsia" w:asciiTheme="majorBidi" w:hAnsiTheme="majorBidi" w:eastAsiaTheme="minorEastAsia" w:cstheme="majorBidi"/>
                <w:bCs/>
                <w:color w:val="0000FF"/>
                <w:kern w:val="2"/>
              </w:rPr>
              <w:t>5</w:t>
            </w:r>
            <w:r>
              <w:rPr>
                <w:rFonts w:asciiTheme="majorBidi" w:hAnsiTheme="majorBidi" w:eastAsiaTheme="minorEastAsia" w:cstheme="majorBidi"/>
                <w:bCs/>
                <w:color w:val="0000FF"/>
                <w:kern w:val="2"/>
              </w:rPr>
              <w:t>%，</w:t>
            </w:r>
            <w:r>
              <w:rPr>
                <w:rFonts w:hint="eastAsia" w:asciiTheme="majorBidi" w:hAnsiTheme="majorBidi" w:eastAsiaTheme="minorEastAsia" w:cstheme="majorBidi"/>
                <w:bCs/>
                <w:color w:val="0000FF"/>
                <w:kern w:val="2"/>
              </w:rPr>
              <w:t>聚乙烯蜡6%，有机硅消泡剂0.1%</w:t>
            </w:r>
            <w:r>
              <w:rPr>
                <w:rFonts w:hint="eastAsia" w:asciiTheme="majorBidi" w:hAnsiTheme="majorBidi" w:eastAsiaTheme="minorEastAsia" w:cstheme="majorBidi"/>
                <w:bCs/>
                <w:color w:val="000000" w:themeColor="text1"/>
                <w:kern w:val="2"/>
                <w14:textFill>
                  <w14:solidFill>
                    <w14:schemeClr w14:val="tx1"/>
                  </w14:solidFill>
                </w14:textFill>
              </w:rPr>
              <w:t>，</w:t>
            </w:r>
            <w:r>
              <w:rPr>
                <w:rFonts w:asciiTheme="majorBidi" w:hAnsiTheme="majorBidi" w:eastAsiaTheme="minorEastAsia" w:cstheme="majorBidi"/>
                <w:bCs/>
                <w:color w:val="000000" w:themeColor="text1"/>
                <w:kern w:val="2"/>
                <w14:textFill>
                  <w14:solidFill>
                    <w14:schemeClr w14:val="tx1"/>
                  </w14:solidFill>
                </w14:textFill>
              </w:rPr>
              <w:t>密度：1.01-1.22g/cm</w:t>
            </w:r>
            <w:r>
              <w:rPr>
                <w:rFonts w:asciiTheme="majorBidi" w:hAnsiTheme="majorBidi" w:eastAsiaTheme="minorEastAsia" w:cstheme="majorBidi"/>
                <w:bCs/>
                <w:color w:val="000000" w:themeColor="text1"/>
                <w:kern w:val="2"/>
                <w:vertAlign w:val="superscript"/>
                <w14:textFill>
                  <w14:solidFill>
                    <w14:schemeClr w14:val="tx1"/>
                  </w14:solidFill>
                </w14:textFill>
              </w:rPr>
              <w:t>3</w:t>
            </w:r>
            <w:r>
              <w:rPr>
                <w:rFonts w:asciiTheme="majorBidi" w:hAnsiTheme="majorBidi" w:eastAsiaTheme="minorEastAsia" w:cstheme="majorBidi"/>
                <w:bCs/>
                <w:color w:val="000000" w:themeColor="text1"/>
                <w:kern w:val="2"/>
                <w14:textFill>
                  <w14:solidFill>
                    <w14:schemeClr w14:val="tx1"/>
                  </w14:solidFill>
                </w14:textFill>
              </w:rPr>
              <w:t>，沸点：100℃。根据项目水性油墨的</w:t>
            </w:r>
            <w:r>
              <w:rPr>
                <w:rFonts w:asciiTheme="majorBidi" w:hAnsiTheme="majorBidi" w:eastAsiaTheme="minorEastAsia" w:cstheme="majorBidi"/>
                <w:bCs/>
                <w:color w:val="EE0000"/>
                <w:kern w:val="2"/>
              </w:rPr>
              <w:t>VOCs检测报告</w:t>
            </w:r>
            <w:r>
              <w:rPr>
                <w:rFonts w:asciiTheme="majorBidi" w:hAnsiTheme="majorBidi" w:eastAsiaTheme="minorEastAsia" w:cstheme="majorBidi"/>
                <w:bCs/>
                <w:color w:val="000000" w:themeColor="text1"/>
                <w:kern w:val="2"/>
                <w14:textFill>
                  <w14:solidFill>
                    <w14:schemeClr w14:val="tx1"/>
                  </w14:solidFill>
                </w14:textFill>
              </w:rPr>
              <w:t>（</w:t>
            </w:r>
            <w:r>
              <w:rPr>
                <w:rFonts w:asciiTheme="majorBidi" w:hAnsiTheme="majorBidi" w:eastAsiaTheme="minorEastAsia" w:cstheme="majorBidi"/>
                <w:bCs/>
                <w:color w:val="EE0000"/>
                <w:kern w:val="2"/>
              </w:rPr>
              <w:t>附件10</w:t>
            </w:r>
            <w:r>
              <w:rPr>
                <w:rFonts w:asciiTheme="majorBidi" w:hAnsiTheme="majorBidi" w:eastAsiaTheme="minorEastAsia" w:cstheme="majorBidi"/>
                <w:bCs/>
                <w:color w:val="000000" w:themeColor="text1"/>
                <w:kern w:val="2"/>
                <w14:textFill>
                  <w14:solidFill>
                    <w14:schemeClr w14:val="tx1"/>
                  </w14:solidFill>
                </w14:textFill>
              </w:rPr>
              <w:t>），</w:t>
            </w:r>
            <w:r>
              <w:rPr>
                <w:rFonts w:asciiTheme="majorBidi" w:hAnsiTheme="majorBidi" w:eastAsiaTheme="minorEastAsia" w:cstheme="majorBidi"/>
                <w:bCs/>
                <w:color w:val="EE0000"/>
                <w:kern w:val="2"/>
              </w:rPr>
              <w:t>其VOCs含量为1.6%</w:t>
            </w:r>
            <w:r>
              <w:rPr>
                <w:rFonts w:asciiTheme="majorBidi" w:hAnsiTheme="majorBidi" w:eastAsiaTheme="minorEastAsia" w:cstheme="majorBidi"/>
                <w:bCs/>
                <w:color w:val="000000" w:themeColor="text1"/>
                <w:kern w:val="2"/>
                <w14:textFill>
                  <w14:solidFill>
                    <w14:schemeClr w14:val="tx1"/>
                  </w14:solidFill>
                </w14:textFill>
              </w:rPr>
              <w:t>，满足《油墨中可挥发性有机化合物(VOCs)含量的限值》(GB310807-2020)表1水性油墨中网印油墨挥发性有机化合物(VOCs)限值要求(&lt;30%)，为低VOCs含量材料。</w:t>
            </w:r>
          </w:p>
          <w:p w14:paraId="209F7E4E">
            <w:pPr>
              <w:ind w:firstLine="480"/>
              <w:rPr>
                <w:rFonts w:asciiTheme="majorBidi" w:hAnsiTheme="majorBidi" w:eastAsiaTheme="minorEastAsia" w:cstheme="majorBidi"/>
                <w:bCs/>
                <w:color w:val="0000FF"/>
                <w:kern w:val="2"/>
              </w:rPr>
            </w:pPr>
            <w:r>
              <w:rPr>
                <w:rFonts w:hint="eastAsia" w:asciiTheme="majorBidi" w:hAnsiTheme="majorBidi" w:eastAsiaTheme="minorEastAsia" w:cstheme="majorBidi"/>
                <w:bCs/>
                <w:color w:val="0000FF"/>
                <w:kern w:val="2"/>
              </w:rPr>
              <w:t>半水基清洗剂：二乙二醇丁醚</w:t>
            </w:r>
            <w:r>
              <w:rPr>
                <w:rFonts w:asciiTheme="majorBidi" w:hAnsiTheme="majorBidi" w:eastAsiaTheme="minorEastAsia" w:cstheme="majorBidi"/>
                <w:bCs/>
                <w:color w:val="0000FF"/>
                <w:kern w:val="2"/>
              </w:rPr>
              <w:t>1-5%，，</w:t>
            </w:r>
            <w:r>
              <w:rPr>
                <w:rFonts w:hint="eastAsia" w:asciiTheme="majorBidi" w:hAnsiTheme="majorBidi" w:eastAsiaTheme="minorEastAsia" w:cstheme="majorBidi"/>
                <w:bCs/>
                <w:color w:val="0000FF"/>
                <w:kern w:val="2"/>
              </w:rPr>
              <w:t>皂化剂</w:t>
            </w:r>
            <w:r>
              <w:rPr>
                <w:rFonts w:asciiTheme="majorBidi" w:hAnsiTheme="majorBidi" w:eastAsiaTheme="minorEastAsia" w:cstheme="majorBidi"/>
                <w:bCs/>
                <w:color w:val="0000FF"/>
                <w:kern w:val="2"/>
              </w:rPr>
              <w:t>1-5%，</w:t>
            </w:r>
            <w:r>
              <w:rPr>
                <w:rFonts w:hint="eastAsia" w:asciiTheme="majorBidi" w:hAnsiTheme="majorBidi" w:eastAsiaTheme="minorEastAsia" w:cstheme="majorBidi"/>
                <w:bCs/>
                <w:color w:val="0000FF"/>
                <w:kern w:val="2"/>
              </w:rPr>
              <w:t>去离子水</w:t>
            </w:r>
            <w:r>
              <w:rPr>
                <w:rFonts w:asciiTheme="majorBidi" w:hAnsiTheme="majorBidi" w:eastAsiaTheme="minorEastAsia" w:cstheme="majorBidi"/>
                <w:bCs/>
                <w:color w:val="0000FF"/>
                <w:kern w:val="2"/>
              </w:rPr>
              <w:t>85-97%</w:t>
            </w:r>
            <w:r>
              <w:rPr>
                <w:rFonts w:hint="eastAsia" w:asciiTheme="majorBidi" w:hAnsiTheme="majorBidi" w:eastAsiaTheme="minorEastAsia" w:cstheme="majorBidi"/>
                <w:bCs/>
                <w:color w:val="0000FF"/>
                <w:kern w:val="2"/>
              </w:rPr>
              <w:t>，醇类物质</w:t>
            </w:r>
            <w:r>
              <w:rPr>
                <w:rFonts w:asciiTheme="majorBidi" w:hAnsiTheme="majorBidi" w:eastAsiaTheme="minorEastAsia" w:cstheme="majorBidi"/>
                <w:bCs/>
                <w:color w:val="0000FF"/>
                <w:kern w:val="2"/>
              </w:rPr>
              <w:t>1-5%</w:t>
            </w:r>
            <w:r>
              <w:rPr>
                <w:rFonts w:hint="eastAsia" w:asciiTheme="majorBidi" w:hAnsiTheme="majorBidi" w:eastAsiaTheme="minorEastAsia" w:cstheme="majorBidi"/>
                <w:bCs/>
                <w:color w:val="0000FF"/>
                <w:kern w:val="2"/>
              </w:rPr>
              <w:t>，密度：0.995g/cm³，沸点：82℃。据项目清洗剂的VOCs检测报告（附件12），其VOCs含量为58g/L（58.29g/kg），满足《清洗剂挥发性有机化合物含量限值》(GB 38508-2020)表2低VOC含量半水基清洗剂限值要求(&lt;100g/L)，为低VOCs含量材料。</w:t>
            </w:r>
          </w:p>
          <w:p w14:paraId="4B9BF61A">
            <w:pPr>
              <w:ind w:firstLine="480"/>
              <w:rPr>
                <w:rFonts w:asciiTheme="majorBidi" w:hAnsiTheme="majorBidi" w:eastAsiaTheme="minorEastAsia" w:cstheme="majorBidi"/>
                <w:bCs/>
                <w:color w:val="000000" w:themeColor="text1"/>
                <w:kern w:val="2"/>
                <w14:textFill>
                  <w14:solidFill>
                    <w14:schemeClr w14:val="tx1"/>
                  </w14:solidFill>
                </w14:textFill>
              </w:rPr>
            </w:pPr>
            <w:r>
              <w:rPr>
                <w:rFonts w:asciiTheme="majorBidi" w:hAnsiTheme="majorBidi" w:eastAsiaTheme="minorEastAsia" w:cstheme="majorBidi"/>
                <w:bCs/>
                <w:color w:val="000000" w:themeColor="text1"/>
                <w:kern w:val="2"/>
                <w14:textFill>
                  <w14:solidFill>
                    <w14:schemeClr w14:val="tx1"/>
                  </w14:solidFill>
                </w14:textFill>
              </w:rPr>
              <w:t>低挥发性原料分析：</w:t>
            </w:r>
          </w:p>
          <w:p w14:paraId="75FC1AC4">
            <w:pPr>
              <w:ind w:firstLine="480"/>
              <w:rPr>
                <w:rFonts w:asciiTheme="majorBidi" w:hAnsiTheme="majorBidi" w:eastAsiaTheme="minorEastAsia" w:cstheme="majorBidi"/>
                <w:color w:val="000000" w:themeColor="text1"/>
                <w:kern w:val="2"/>
                <w:szCs w:val="21"/>
                <w14:textFill>
                  <w14:solidFill>
                    <w14:schemeClr w14:val="tx1"/>
                  </w14:solidFill>
                </w14:textFill>
              </w:rPr>
            </w:pPr>
            <w:r>
              <w:rPr>
                <w:rFonts w:ascii="Cambria Math" w:hAnsi="Cambria Math" w:cs="Cambria Math" w:eastAsiaTheme="minorEastAsia"/>
                <w:color w:val="000000" w:themeColor="text1"/>
                <w:kern w:val="2"/>
                <w:szCs w:val="21"/>
                <w14:textFill>
                  <w14:solidFill>
                    <w14:schemeClr w14:val="tx1"/>
                  </w14:solidFill>
                </w14:textFill>
              </w:rPr>
              <w:t>①</w:t>
            </w:r>
            <w:r>
              <w:rPr>
                <w:rFonts w:asciiTheme="majorBidi" w:hAnsiTheme="majorBidi" w:eastAsiaTheme="minorEastAsia" w:cstheme="majorBidi"/>
                <w:color w:val="000000" w:themeColor="text1"/>
                <w:kern w:val="2"/>
                <w:szCs w:val="21"/>
                <w14:textFill>
                  <w14:solidFill>
                    <w14:schemeClr w14:val="tx1"/>
                  </w14:solidFill>
                </w14:textFill>
              </w:rPr>
              <w:t>水性面漆用量核算</w:t>
            </w:r>
          </w:p>
          <w:p w14:paraId="25963277">
            <w:pPr>
              <w:ind w:firstLine="480"/>
              <w:rPr>
                <w:rFonts w:asciiTheme="majorBidi" w:hAnsiTheme="majorBidi" w:eastAsiaTheme="minorEastAsia" w:cstheme="majorBidi"/>
                <w:color w:val="000000" w:themeColor="text1"/>
                <w:kern w:val="2"/>
                <w:szCs w:val="21"/>
                <w14:textFill>
                  <w14:solidFill>
                    <w14:schemeClr w14:val="tx1"/>
                  </w14:solidFill>
                </w14:textFill>
              </w:rPr>
            </w:pPr>
            <w:r>
              <w:rPr>
                <w:rFonts w:asciiTheme="majorBidi" w:hAnsiTheme="majorBidi" w:eastAsiaTheme="minorEastAsia" w:cstheme="majorBidi"/>
                <w:color w:val="000000" w:themeColor="text1"/>
                <w:kern w:val="2"/>
                <w:szCs w:val="21"/>
                <w14:textFill>
                  <w14:solidFill>
                    <w14:schemeClr w14:val="tx1"/>
                  </w14:solidFill>
                </w14:textFill>
              </w:rPr>
              <w:t>根据建设单位提供资料，产品塑胶台灯（上下盖）需要进行喷漆，根据企业提供的资料，单个产品喷涂面积约为0.035m</w:t>
            </w:r>
            <w:r>
              <w:rPr>
                <w:rFonts w:asciiTheme="majorBidi" w:hAnsiTheme="majorBidi" w:eastAsiaTheme="minorEastAsia" w:cstheme="majorBidi"/>
                <w:color w:val="000000" w:themeColor="text1"/>
                <w:kern w:val="2"/>
                <w:szCs w:val="21"/>
                <w:vertAlign w:val="superscript"/>
                <w14:textFill>
                  <w14:solidFill>
                    <w14:schemeClr w14:val="tx1"/>
                  </w14:solidFill>
                </w14:textFill>
              </w:rPr>
              <w:t>2</w:t>
            </w:r>
            <w:r>
              <w:rPr>
                <w:rFonts w:asciiTheme="majorBidi" w:hAnsiTheme="majorBidi" w:eastAsiaTheme="minorEastAsia" w:cstheme="majorBidi"/>
                <w:color w:val="000000" w:themeColor="text1"/>
                <w:kern w:val="2"/>
                <w:szCs w:val="21"/>
                <w14:textFill>
                  <w14:solidFill>
                    <w14:schemeClr w14:val="tx1"/>
                  </w14:solidFill>
                </w14:textFill>
              </w:rPr>
              <w:t>，项目60万个产品总喷涂面积21000m</w:t>
            </w:r>
            <w:r>
              <w:rPr>
                <w:rFonts w:asciiTheme="majorBidi" w:hAnsiTheme="majorBidi" w:eastAsiaTheme="minorEastAsia" w:cstheme="majorBidi"/>
                <w:color w:val="000000" w:themeColor="text1"/>
                <w:kern w:val="2"/>
                <w:szCs w:val="21"/>
                <w:vertAlign w:val="superscript"/>
                <w14:textFill>
                  <w14:solidFill>
                    <w14:schemeClr w14:val="tx1"/>
                  </w14:solidFill>
                </w14:textFill>
              </w:rPr>
              <w:t>2</w:t>
            </w:r>
            <w:r>
              <w:rPr>
                <w:rFonts w:asciiTheme="majorBidi" w:hAnsiTheme="majorBidi" w:eastAsiaTheme="minorEastAsia" w:cstheme="majorBidi"/>
                <w:color w:val="000000" w:themeColor="text1"/>
                <w:kern w:val="2"/>
                <w:szCs w:val="21"/>
                <w14:textFill>
                  <w14:solidFill>
                    <w14:schemeClr w14:val="tx1"/>
                  </w14:solidFill>
                </w14:textFill>
              </w:rPr>
              <w:t>，面漆喷涂1次，项目水性漆用量如下：</w:t>
            </w:r>
          </w:p>
          <w:p w14:paraId="0E1AD22E">
            <w:pPr>
              <w:pStyle w:val="11"/>
              <w:rPr>
                <w:bCs w:val="0"/>
              </w:rPr>
            </w:pPr>
            <w:r>
              <w:rPr>
                <w:bCs w:val="0"/>
              </w:rPr>
              <w:t>表2-4 水性面漆用量核算</w:t>
            </w:r>
          </w:p>
          <w:tbl>
            <w:tblPr>
              <w:tblStyle w:val="21"/>
              <w:tblW w:w="5000" w:type="pct"/>
              <w:tblInd w:w="0" w:type="dxa"/>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28" w:type="dxa"/>
                <w:bottom w:w="0" w:type="dxa"/>
                <w:right w:w="28" w:type="dxa"/>
              </w:tblCellMar>
            </w:tblPr>
            <w:tblGrid>
              <w:gridCol w:w="1435"/>
              <w:gridCol w:w="1394"/>
              <w:gridCol w:w="1347"/>
              <w:gridCol w:w="1350"/>
              <w:gridCol w:w="809"/>
              <w:gridCol w:w="1367"/>
              <w:gridCol w:w="1367"/>
            </w:tblGrid>
            <w:tr w14:paraId="3480B720">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340" w:hRule="atLeast"/>
              </w:trPr>
              <w:tc>
                <w:tcPr>
                  <w:tcW w:w="791" w:type="pct"/>
                  <w:vAlign w:val="center"/>
                </w:tcPr>
                <w:p w14:paraId="35FDE51C">
                  <w:pPr>
                    <w:pStyle w:val="29"/>
                    <w:rPr>
                      <w:b/>
                      <w:bCs/>
                    </w:rPr>
                  </w:pPr>
                  <w:r>
                    <w:rPr>
                      <w:b/>
                      <w:bCs/>
                    </w:rPr>
                    <w:t>原料</w:t>
                  </w:r>
                </w:p>
              </w:tc>
              <w:tc>
                <w:tcPr>
                  <w:tcW w:w="768" w:type="pct"/>
                  <w:vAlign w:val="center"/>
                </w:tcPr>
                <w:p w14:paraId="684B3810">
                  <w:pPr>
                    <w:pStyle w:val="29"/>
                    <w:rPr>
                      <w:b/>
                      <w:bCs/>
                    </w:rPr>
                  </w:pPr>
                  <w:r>
                    <w:rPr>
                      <w:b/>
                      <w:bCs/>
                    </w:rPr>
                    <w:t>喷涂面积m</w:t>
                  </w:r>
                  <w:r>
                    <w:rPr>
                      <w:b/>
                      <w:bCs/>
                      <w:vertAlign w:val="superscript"/>
                    </w:rPr>
                    <w:t>2</w:t>
                  </w:r>
                </w:p>
              </w:tc>
              <w:tc>
                <w:tcPr>
                  <w:tcW w:w="742" w:type="pct"/>
                  <w:vAlign w:val="center"/>
                </w:tcPr>
                <w:p w14:paraId="28B2B64D">
                  <w:pPr>
                    <w:pStyle w:val="29"/>
                    <w:rPr>
                      <w:b/>
                      <w:bCs/>
                    </w:rPr>
                  </w:pPr>
                  <w:r>
                    <w:rPr>
                      <w:b/>
                      <w:bCs/>
                    </w:rPr>
                    <w:t>喷涂厚度µm</w:t>
                  </w:r>
                </w:p>
              </w:tc>
              <w:tc>
                <w:tcPr>
                  <w:tcW w:w="744" w:type="pct"/>
                  <w:vAlign w:val="center"/>
                </w:tcPr>
                <w:p w14:paraId="6B085E71">
                  <w:pPr>
                    <w:pStyle w:val="29"/>
                    <w:rPr>
                      <w:b/>
                      <w:bCs/>
                    </w:rPr>
                  </w:pPr>
                  <w:r>
                    <w:rPr>
                      <w:b/>
                      <w:bCs/>
                    </w:rPr>
                    <w:t>密度g/cm³</w:t>
                  </w:r>
                </w:p>
              </w:tc>
              <w:tc>
                <w:tcPr>
                  <w:tcW w:w="446" w:type="pct"/>
                  <w:vAlign w:val="center"/>
                </w:tcPr>
                <w:p w14:paraId="3B1C1747">
                  <w:pPr>
                    <w:pStyle w:val="29"/>
                    <w:rPr>
                      <w:b/>
                      <w:bCs/>
                    </w:rPr>
                  </w:pPr>
                  <w:r>
                    <w:rPr>
                      <w:b/>
                      <w:bCs/>
                    </w:rPr>
                    <w:t>次数</w:t>
                  </w:r>
                </w:p>
              </w:tc>
              <w:tc>
                <w:tcPr>
                  <w:tcW w:w="754" w:type="pct"/>
                  <w:vAlign w:val="center"/>
                </w:tcPr>
                <w:p w14:paraId="3FB5CCF2">
                  <w:pPr>
                    <w:pStyle w:val="29"/>
                    <w:rPr>
                      <w:b/>
                      <w:bCs/>
                    </w:rPr>
                  </w:pPr>
                  <w:r>
                    <w:rPr>
                      <w:b/>
                      <w:bCs/>
                    </w:rPr>
                    <w:t>附着率%</w:t>
                  </w:r>
                </w:p>
              </w:tc>
              <w:tc>
                <w:tcPr>
                  <w:tcW w:w="754" w:type="pct"/>
                  <w:vAlign w:val="center"/>
                </w:tcPr>
                <w:p w14:paraId="3C8424B3">
                  <w:pPr>
                    <w:pStyle w:val="29"/>
                    <w:rPr>
                      <w:b/>
                      <w:bCs/>
                    </w:rPr>
                  </w:pPr>
                  <w:r>
                    <w:rPr>
                      <w:b/>
                      <w:bCs/>
                    </w:rPr>
                    <w:t>年用量t/a</w:t>
                  </w:r>
                </w:p>
              </w:tc>
            </w:tr>
            <w:tr w14:paraId="25C0AE53">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340" w:hRule="atLeast"/>
              </w:trPr>
              <w:tc>
                <w:tcPr>
                  <w:tcW w:w="791" w:type="pct"/>
                  <w:vAlign w:val="center"/>
                </w:tcPr>
                <w:p w14:paraId="48FE2722">
                  <w:pPr>
                    <w:pStyle w:val="29"/>
                  </w:pPr>
                  <w:r>
                    <w:t>水性面漆</w:t>
                  </w:r>
                </w:p>
              </w:tc>
              <w:tc>
                <w:tcPr>
                  <w:tcW w:w="768" w:type="pct"/>
                  <w:vAlign w:val="center"/>
                </w:tcPr>
                <w:p w14:paraId="59301B64">
                  <w:pPr>
                    <w:pStyle w:val="29"/>
                  </w:pPr>
                  <w:r>
                    <w:t>21000</w:t>
                  </w:r>
                </w:p>
              </w:tc>
              <w:tc>
                <w:tcPr>
                  <w:tcW w:w="742" w:type="pct"/>
                  <w:vAlign w:val="center"/>
                </w:tcPr>
                <w:p w14:paraId="2597B594">
                  <w:pPr>
                    <w:pStyle w:val="29"/>
                  </w:pPr>
                  <w:r>
                    <w:t>60</w:t>
                  </w:r>
                </w:p>
              </w:tc>
              <w:tc>
                <w:tcPr>
                  <w:tcW w:w="744" w:type="pct"/>
                  <w:vAlign w:val="center"/>
                </w:tcPr>
                <w:p w14:paraId="481DB7F8">
                  <w:pPr>
                    <w:pStyle w:val="29"/>
                  </w:pPr>
                  <w:r>
                    <w:t>1.175</w:t>
                  </w:r>
                </w:p>
              </w:tc>
              <w:tc>
                <w:tcPr>
                  <w:tcW w:w="446" w:type="pct"/>
                  <w:vAlign w:val="center"/>
                </w:tcPr>
                <w:p w14:paraId="372790B1">
                  <w:pPr>
                    <w:pStyle w:val="29"/>
                  </w:pPr>
                  <w:r>
                    <w:t>1</w:t>
                  </w:r>
                </w:p>
              </w:tc>
              <w:tc>
                <w:tcPr>
                  <w:tcW w:w="754" w:type="pct"/>
                  <w:vAlign w:val="center"/>
                </w:tcPr>
                <w:p w14:paraId="03E6A9DA">
                  <w:pPr>
                    <w:pStyle w:val="29"/>
                  </w:pPr>
                  <w:r>
                    <w:t>50</w:t>
                  </w:r>
                </w:p>
              </w:tc>
              <w:tc>
                <w:tcPr>
                  <w:tcW w:w="754" w:type="pct"/>
                  <w:vAlign w:val="center"/>
                </w:tcPr>
                <w:p w14:paraId="430EB19D">
                  <w:pPr>
                    <w:pStyle w:val="29"/>
                  </w:pPr>
                  <w:r>
                    <w:t>3</w:t>
                  </w:r>
                </w:p>
              </w:tc>
            </w:tr>
          </w:tbl>
          <w:p w14:paraId="14DD0A93">
            <w:pPr>
              <w:ind w:firstLine="420"/>
              <w:rPr>
                <w:rFonts w:asciiTheme="majorBidi" w:hAnsiTheme="majorBidi" w:eastAsiaTheme="minorEastAsia" w:cstheme="majorBidi"/>
                <w:color w:val="000000" w:themeColor="text1"/>
                <w:kern w:val="2"/>
                <w:sz w:val="21"/>
                <w:szCs w:val="21"/>
                <w14:textFill>
                  <w14:solidFill>
                    <w14:schemeClr w14:val="tx1"/>
                  </w14:solidFill>
                </w14:textFill>
              </w:rPr>
            </w:pPr>
            <w:r>
              <w:rPr>
                <w:rFonts w:asciiTheme="majorBidi" w:hAnsiTheme="majorBidi" w:eastAsiaTheme="minorEastAsia" w:cstheme="majorBidi"/>
                <w:color w:val="000000" w:themeColor="text1"/>
                <w:kern w:val="2"/>
                <w:sz w:val="21"/>
                <w:szCs w:val="21"/>
                <w14:textFill>
                  <w14:solidFill>
                    <w14:schemeClr w14:val="tx1"/>
                  </w14:solidFill>
                </w14:textFill>
              </w:rPr>
              <w:t>注：1.根据项目水性漆的MSDS，水性面漆密度为0.9~1.45g/cm³，本项目取1.175g/cm³。项目水性面漆无需兑水调配，直接使用。</w:t>
            </w:r>
          </w:p>
          <w:p w14:paraId="02FF5E93">
            <w:pPr>
              <w:ind w:firstLine="420"/>
              <w:rPr>
                <w:rFonts w:asciiTheme="majorBidi" w:hAnsiTheme="majorBidi" w:eastAsiaTheme="minorEastAsia" w:cstheme="majorBidi"/>
                <w:color w:val="000000" w:themeColor="text1"/>
                <w:kern w:val="2"/>
                <w:sz w:val="21"/>
                <w:szCs w:val="21"/>
                <w14:textFill>
                  <w14:solidFill>
                    <w14:schemeClr w14:val="tx1"/>
                  </w14:solidFill>
                </w14:textFill>
              </w:rPr>
            </w:pPr>
            <w:r>
              <w:rPr>
                <w:rFonts w:asciiTheme="majorBidi" w:hAnsiTheme="majorBidi" w:eastAsiaTheme="minorEastAsia" w:cstheme="majorBidi"/>
                <w:color w:val="000000" w:themeColor="text1"/>
                <w:kern w:val="2"/>
                <w:sz w:val="21"/>
                <w:szCs w:val="21"/>
                <w14:textFill>
                  <w14:solidFill>
                    <w14:schemeClr w14:val="tx1"/>
                  </w14:solidFill>
                </w14:textFill>
              </w:rPr>
              <w:t>2.参考《谈喷涂涂着效率》（现代涂料与涂装，王春锡），高压无气喷涂-无气高压雾化的附着效率为50%-60%。项目采用高压无气喷涂方式，水性漆附着率保守取值50%。</w:t>
            </w:r>
          </w:p>
          <w:p w14:paraId="3DE82506">
            <w:pPr>
              <w:ind w:firstLine="420"/>
              <w:rPr>
                <w:rFonts w:asciiTheme="majorBidi" w:hAnsiTheme="majorBidi" w:eastAsiaTheme="minorEastAsia" w:cstheme="majorBidi"/>
                <w:color w:val="000000" w:themeColor="text1"/>
                <w:kern w:val="2"/>
                <w:sz w:val="21"/>
                <w:szCs w:val="21"/>
                <w14:textFill>
                  <w14:solidFill>
                    <w14:schemeClr w14:val="tx1"/>
                  </w14:solidFill>
                </w14:textFill>
              </w:rPr>
            </w:pPr>
            <w:r>
              <w:rPr>
                <w:rFonts w:asciiTheme="majorBidi" w:hAnsiTheme="majorBidi" w:eastAsiaTheme="minorEastAsia" w:cstheme="majorBidi"/>
                <w:color w:val="000000" w:themeColor="text1"/>
                <w:kern w:val="2"/>
                <w:sz w:val="21"/>
                <w:szCs w:val="21"/>
                <w14:textFill>
                  <w14:solidFill>
                    <w14:schemeClr w14:val="tx1"/>
                  </w14:solidFill>
                </w14:textFill>
              </w:rPr>
              <w:t>3.喷涂用量=涂料密度×喷涂面积×喷涂厚度×喷涂次数÷附着率，本项目计算值为2.961t/a，取值3t/a。</w:t>
            </w:r>
          </w:p>
          <w:p w14:paraId="7B090F20">
            <w:pPr>
              <w:ind w:firstLine="480"/>
              <w:rPr>
                <w:rFonts w:asciiTheme="majorBidi" w:hAnsiTheme="majorBidi" w:eastAsiaTheme="minorEastAsia" w:cstheme="majorBidi"/>
                <w:color w:val="000000" w:themeColor="text1"/>
                <w:kern w:val="2"/>
                <w:szCs w:val="21"/>
                <w14:textFill>
                  <w14:solidFill>
                    <w14:schemeClr w14:val="tx1"/>
                  </w14:solidFill>
                </w14:textFill>
              </w:rPr>
            </w:pPr>
            <w:r>
              <w:rPr>
                <w:rFonts w:ascii="Cambria Math" w:hAnsi="Cambria Math" w:cs="Cambria Math" w:eastAsiaTheme="minorEastAsia"/>
                <w:color w:val="000000" w:themeColor="text1"/>
                <w:kern w:val="2"/>
                <w:szCs w:val="21"/>
                <w14:textFill>
                  <w14:solidFill>
                    <w14:schemeClr w14:val="tx1"/>
                  </w14:solidFill>
                </w14:textFill>
              </w:rPr>
              <w:t>②</w:t>
            </w:r>
            <w:r>
              <w:rPr>
                <w:rFonts w:asciiTheme="majorBidi" w:hAnsiTheme="majorBidi" w:eastAsiaTheme="minorEastAsia" w:cstheme="majorBidi"/>
                <w:color w:val="000000" w:themeColor="text1"/>
                <w:kern w:val="2"/>
                <w:szCs w:val="21"/>
                <w14:textFill>
                  <w14:solidFill>
                    <w14:schemeClr w14:val="tx1"/>
                  </w14:solidFill>
                </w14:textFill>
              </w:rPr>
              <w:t>水性油墨用量核算</w:t>
            </w:r>
          </w:p>
          <w:p w14:paraId="2B05D183">
            <w:pPr>
              <w:ind w:firstLine="480"/>
              <w:rPr>
                <w:rFonts w:asciiTheme="majorBidi" w:hAnsiTheme="majorBidi" w:eastAsiaTheme="minorEastAsia" w:cstheme="majorBidi"/>
                <w:color w:val="000000" w:themeColor="text1"/>
                <w:kern w:val="2"/>
                <w:szCs w:val="21"/>
                <w14:textFill>
                  <w14:solidFill>
                    <w14:schemeClr w14:val="tx1"/>
                  </w14:solidFill>
                </w14:textFill>
              </w:rPr>
            </w:pPr>
            <w:r>
              <w:rPr>
                <w:rFonts w:asciiTheme="majorBidi" w:hAnsiTheme="majorBidi" w:eastAsiaTheme="minorEastAsia" w:cstheme="majorBidi"/>
                <w:color w:val="000000" w:themeColor="text1"/>
                <w:kern w:val="2"/>
                <w:szCs w:val="21"/>
                <w14:textFill>
                  <w14:solidFill>
                    <w14:schemeClr w14:val="tx1"/>
                  </w14:solidFill>
                </w14:textFill>
              </w:rPr>
              <w:t>根据建设单位提供的资料，部分产品（约占</w:t>
            </w:r>
            <w:r>
              <w:rPr>
                <w:rFonts w:hint="eastAsia" w:asciiTheme="majorBidi" w:hAnsiTheme="majorBidi" w:eastAsiaTheme="minorEastAsia" w:cstheme="majorBidi"/>
                <w:color w:val="000000" w:themeColor="text1"/>
                <w:kern w:val="2"/>
                <w:szCs w:val="21"/>
                <w14:textFill>
                  <w14:solidFill>
                    <w14:schemeClr w14:val="tx1"/>
                  </w14:solidFill>
                </w14:textFill>
              </w:rPr>
              <w:t>各类</w:t>
            </w:r>
            <w:r>
              <w:rPr>
                <w:rFonts w:asciiTheme="majorBidi" w:hAnsiTheme="majorBidi" w:eastAsiaTheme="minorEastAsia" w:cstheme="majorBidi"/>
                <w:color w:val="000000" w:themeColor="text1"/>
                <w:kern w:val="2"/>
                <w:szCs w:val="21"/>
                <w14:textFill>
                  <w14:solidFill>
                    <w14:schemeClr w14:val="tx1"/>
                  </w14:solidFill>
                </w14:textFill>
              </w:rPr>
              <w:t>产品产量</w:t>
            </w:r>
            <w:r>
              <w:rPr>
                <w:rFonts w:hint="eastAsia" w:asciiTheme="majorBidi" w:hAnsiTheme="majorBidi" w:eastAsiaTheme="minorEastAsia" w:cstheme="majorBidi"/>
                <w:color w:val="000000" w:themeColor="text1"/>
                <w:kern w:val="2"/>
                <w:szCs w:val="21"/>
                <w14:textFill>
                  <w14:solidFill>
                    <w14:schemeClr w14:val="tx1"/>
                  </w14:solidFill>
                </w14:textFill>
              </w:rPr>
              <w:t>的</w:t>
            </w:r>
            <w:r>
              <w:rPr>
                <w:rFonts w:asciiTheme="majorBidi" w:hAnsiTheme="majorBidi" w:eastAsiaTheme="minorEastAsia" w:cstheme="majorBidi"/>
                <w:color w:val="000000" w:themeColor="text1"/>
                <w:kern w:val="2"/>
                <w:szCs w:val="21"/>
                <w14:textFill>
                  <w14:solidFill>
                    <w14:schemeClr w14:val="tx1"/>
                  </w14:solidFill>
                </w14:textFill>
              </w:rPr>
              <w:t>10%）需要根据客户的需求进行商标或标志的印刷，根据企业提供的资料，单个产品印刷的面积为0.00582m</w:t>
            </w:r>
            <w:r>
              <w:rPr>
                <w:rFonts w:asciiTheme="majorBidi" w:hAnsiTheme="majorBidi" w:eastAsiaTheme="minorEastAsia" w:cstheme="majorBidi"/>
                <w:color w:val="000000" w:themeColor="text1"/>
                <w:kern w:val="2"/>
                <w:szCs w:val="21"/>
                <w:vertAlign w:val="superscript"/>
                <w14:textFill>
                  <w14:solidFill>
                    <w14:schemeClr w14:val="tx1"/>
                  </w14:solidFill>
                </w14:textFill>
              </w:rPr>
              <w:t>2</w:t>
            </w:r>
            <w:r>
              <w:rPr>
                <w:rFonts w:asciiTheme="majorBidi" w:hAnsiTheme="majorBidi" w:eastAsiaTheme="minorEastAsia" w:cstheme="majorBidi"/>
                <w:color w:val="000000" w:themeColor="text1"/>
                <w:kern w:val="2"/>
                <w:szCs w:val="21"/>
                <w14:textFill>
                  <w14:solidFill>
                    <w14:schemeClr w14:val="tx1"/>
                  </w14:solidFill>
                </w14:textFill>
              </w:rPr>
              <w:t>。项目14万个产品总需要印刷面积为814.8m</w:t>
            </w:r>
            <w:r>
              <w:rPr>
                <w:rFonts w:asciiTheme="majorBidi" w:hAnsiTheme="majorBidi" w:eastAsiaTheme="minorEastAsia" w:cstheme="majorBidi"/>
                <w:color w:val="000000" w:themeColor="text1"/>
                <w:kern w:val="2"/>
                <w:szCs w:val="21"/>
                <w:vertAlign w:val="superscript"/>
                <w14:textFill>
                  <w14:solidFill>
                    <w14:schemeClr w14:val="tx1"/>
                  </w14:solidFill>
                </w14:textFill>
              </w:rPr>
              <w:t>2</w:t>
            </w:r>
            <w:r>
              <w:rPr>
                <w:rFonts w:asciiTheme="majorBidi" w:hAnsiTheme="majorBidi" w:eastAsiaTheme="minorEastAsia" w:cstheme="majorBidi"/>
                <w:color w:val="000000" w:themeColor="text1"/>
                <w:kern w:val="2"/>
                <w:szCs w:val="21"/>
                <w14:textFill>
                  <w14:solidFill>
                    <w14:schemeClr w14:val="tx1"/>
                  </w14:solidFill>
                </w14:textFill>
              </w:rPr>
              <w:t>，项目水性油墨用量如下：</w:t>
            </w:r>
          </w:p>
          <w:p w14:paraId="219F73E2">
            <w:pPr>
              <w:pStyle w:val="11"/>
              <w:rPr>
                <w:bCs w:val="0"/>
              </w:rPr>
            </w:pPr>
            <w:r>
              <w:rPr>
                <w:bCs w:val="0"/>
              </w:rPr>
              <w:t>表2-5 水性油墨用量核算</w:t>
            </w:r>
          </w:p>
          <w:tbl>
            <w:tblPr>
              <w:tblStyle w:val="21"/>
              <w:tblW w:w="5000" w:type="pct"/>
              <w:tblInd w:w="0" w:type="dxa"/>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28" w:type="dxa"/>
                <w:bottom w:w="0" w:type="dxa"/>
                <w:right w:w="28" w:type="dxa"/>
              </w:tblCellMar>
            </w:tblPr>
            <w:tblGrid>
              <w:gridCol w:w="1296"/>
              <w:gridCol w:w="1296"/>
              <w:gridCol w:w="1297"/>
              <w:gridCol w:w="1295"/>
              <w:gridCol w:w="1297"/>
              <w:gridCol w:w="1295"/>
              <w:gridCol w:w="1295"/>
            </w:tblGrid>
            <w:tr w14:paraId="34BD5612">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340" w:hRule="atLeast"/>
              </w:trPr>
              <w:tc>
                <w:tcPr>
                  <w:tcW w:w="714" w:type="pct"/>
                  <w:vAlign w:val="center"/>
                </w:tcPr>
                <w:p w14:paraId="7D2D5DE5">
                  <w:pPr>
                    <w:pStyle w:val="29"/>
                    <w:rPr>
                      <w:b/>
                      <w:bCs/>
                    </w:rPr>
                  </w:pPr>
                  <w:r>
                    <w:rPr>
                      <w:b/>
                      <w:bCs/>
                    </w:rPr>
                    <w:t>原料</w:t>
                  </w:r>
                </w:p>
              </w:tc>
              <w:tc>
                <w:tcPr>
                  <w:tcW w:w="714" w:type="pct"/>
                  <w:vAlign w:val="center"/>
                </w:tcPr>
                <w:p w14:paraId="50780E41">
                  <w:pPr>
                    <w:pStyle w:val="29"/>
                    <w:rPr>
                      <w:b/>
                      <w:bCs/>
                    </w:rPr>
                  </w:pPr>
                  <w:r>
                    <w:rPr>
                      <w:b/>
                      <w:bCs/>
                    </w:rPr>
                    <w:t>印刷面积m</w:t>
                  </w:r>
                  <w:r>
                    <w:rPr>
                      <w:b/>
                      <w:bCs/>
                      <w:vertAlign w:val="superscript"/>
                    </w:rPr>
                    <w:t>2</w:t>
                  </w:r>
                </w:p>
              </w:tc>
              <w:tc>
                <w:tcPr>
                  <w:tcW w:w="715" w:type="pct"/>
                  <w:vAlign w:val="center"/>
                </w:tcPr>
                <w:p w14:paraId="28C7BB64">
                  <w:pPr>
                    <w:pStyle w:val="29"/>
                    <w:rPr>
                      <w:b/>
                      <w:bCs/>
                    </w:rPr>
                  </w:pPr>
                  <w:r>
                    <w:rPr>
                      <w:b/>
                      <w:bCs/>
                    </w:rPr>
                    <w:t>印刷油墨厚度mm</w:t>
                  </w:r>
                </w:p>
              </w:tc>
              <w:tc>
                <w:tcPr>
                  <w:tcW w:w="714" w:type="pct"/>
                  <w:vAlign w:val="center"/>
                </w:tcPr>
                <w:p w14:paraId="116CB4C3">
                  <w:pPr>
                    <w:pStyle w:val="29"/>
                    <w:rPr>
                      <w:b/>
                      <w:bCs/>
                    </w:rPr>
                  </w:pPr>
                  <w:r>
                    <w:rPr>
                      <w:b/>
                      <w:bCs/>
                    </w:rPr>
                    <w:t>密度g/cm³</w:t>
                  </w:r>
                </w:p>
              </w:tc>
              <w:tc>
                <w:tcPr>
                  <w:tcW w:w="715" w:type="pct"/>
                  <w:vAlign w:val="center"/>
                </w:tcPr>
                <w:p w14:paraId="125F509E">
                  <w:pPr>
                    <w:pStyle w:val="29"/>
                    <w:rPr>
                      <w:b/>
                      <w:bCs/>
                    </w:rPr>
                  </w:pPr>
                  <w:r>
                    <w:rPr>
                      <w:b/>
                      <w:bCs/>
                    </w:rPr>
                    <w:t>次数</w:t>
                  </w:r>
                </w:p>
              </w:tc>
              <w:tc>
                <w:tcPr>
                  <w:tcW w:w="714" w:type="pct"/>
                  <w:vAlign w:val="center"/>
                </w:tcPr>
                <w:p w14:paraId="6DA48494">
                  <w:pPr>
                    <w:pStyle w:val="29"/>
                    <w:rPr>
                      <w:b/>
                      <w:bCs/>
                    </w:rPr>
                  </w:pPr>
                  <w:r>
                    <w:rPr>
                      <w:b/>
                      <w:bCs/>
                    </w:rPr>
                    <w:t>利用率%</w:t>
                  </w:r>
                </w:p>
              </w:tc>
              <w:tc>
                <w:tcPr>
                  <w:tcW w:w="715" w:type="pct"/>
                  <w:vAlign w:val="center"/>
                </w:tcPr>
                <w:p w14:paraId="5B7F1108">
                  <w:pPr>
                    <w:pStyle w:val="29"/>
                    <w:rPr>
                      <w:b/>
                      <w:bCs/>
                    </w:rPr>
                  </w:pPr>
                  <w:r>
                    <w:rPr>
                      <w:b/>
                      <w:bCs/>
                    </w:rPr>
                    <w:t>年用量t/a</w:t>
                  </w:r>
                </w:p>
              </w:tc>
            </w:tr>
            <w:tr w14:paraId="6F578D20">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340" w:hRule="atLeast"/>
              </w:trPr>
              <w:tc>
                <w:tcPr>
                  <w:tcW w:w="714" w:type="pct"/>
                  <w:vAlign w:val="center"/>
                </w:tcPr>
                <w:p w14:paraId="5E9BB52C">
                  <w:pPr>
                    <w:pStyle w:val="29"/>
                  </w:pPr>
                  <w:r>
                    <w:t>水性油墨</w:t>
                  </w:r>
                </w:p>
              </w:tc>
              <w:tc>
                <w:tcPr>
                  <w:tcW w:w="714" w:type="pct"/>
                  <w:vAlign w:val="center"/>
                </w:tcPr>
                <w:p w14:paraId="16824183">
                  <w:pPr>
                    <w:pStyle w:val="29"/>
                  </w:pPr>
                  <w:r>
                    <w:t>814.8</w:t>
                  </w:r>
                </w:p>
              </w:tc>
              <w:tc>
                <w:tcPr>
                  <w:tcW w:w="715" w:type="pct"/>
                  <w:vAlign w:val="center"/>
                </w:tcPr>
                <w:p w14:paraId="1E1800FB">
                  <w:pPr>
                    <w:pStyle w:val="29"/>
                  </w:pPr>
                  <w:r>
                    <w:t>0.075</w:t>
                  </w:r>
                </w:p>
              </w:tc>
              <w:tc>
                <w:tcPr>
                  <w:tcW w:w="714" w:type="pct"/>
                  <w:vAlign w:val="center"/>
                </w:tcPr>
                <w:p w14:paraId="19EA4E1D">
                  <w:pPr>
                    <w:pStyle w:val="29"/>
                  </w:pPr>
                  <w:r>
                    <w:t>1.115</w:t>
                  </w:r>
                </w:p>
              </w:tc>
              <w:tc>
                <w:tcPr>
                  <w:tcW w:w="715" w:type="pct"/>
                  <w:vAlign w:val="center"/>
                </w:tcPr>
                <w:p w14:paraId="4CC37977">
                  <w:pPr>
                    <w:pStyle w:val="29"/>
                  </w:pPr>
                  <w:r>
                    <w:t>1</w:t>
                  </w:r>
                </w:p>
              </w:tc>
              <w:tc>
                <w:tcPr>
                  <w:tcW w:w="714" w:type="pct"/>
                  <w:vAlign w:val="center"/>
                </w:tcPr>
                <w:p w14:paraId="02179649">
                  <w:pPr>
                    <w:pStyle w:val="29"/>
                  </w:pPr>
                  <w:r>
                    <w:t>70%</w:t>
                  </w:r>
                </w:p>
              </w:tc>
              <w:tc>
                <w:tcPr>
                  <w:tcW w:w="715" w:type="pct"/>
                  <w:vAlign w:val="center"/>
                </w:tcPr>
                <w:p w14:paraId="5DED3001">
                  <w:pPr>
                    <w:pStyle w:val="29"/>
                  </w:pPr>
                  <w:r>
                    <w:t>0.1</w:t>
                  </w:r>
                </w:p>
              </w:tc>
            </w:tr>
          </w:tbl>
          <w:p w14:paraId="501D6A65">
            <w:pPr>
              <w:ind w:firstLine="420"/>
              <w:rPr>
                <w:rFonts w:asciiTheme="majorBidi" w:hAnsiTheme="majorBidi" w:eastAsiaTheme="minorEastAsia" w:cstheme="majorBidi"/>
                <w:color w:val="000000" w:themeColor="text1"/>
                <w:kern w:val="2"/>
                <w:sz w:val="21"/>
                <w:szCs w:val="21"/>
                <w14:textFill>
                  <w14:solidFill>
                    <w14:schemeClr w14:val="tx1"/>
                  </w14:solidFill>
                </w14:textFill>
              </w:rPr>
            </w:pPr>
            <w:r>
              <w:rPr>
                <w:rFonts w:asciiTheme="majorBidi" w:hAnsiTheme="majorBidi" w:eastAsiaTheme="minorEastAsia" w:cstheme="majorBidi"/>
                <w:color w:val="000000" w:themeColor="text1"/>
                <w:kern w:val="2"/>
                <w:sz w:val="21"/>
                <w:szCs w:val="21"/>
                <w14:textFill>
                  <w14:solidFill>
                    <w14:schemeClr w14:val="tx1"/>
                  </w14:solidFill>
                </w14:textFill>
              </w:rPr>
              <w:t>注：</w:t>
            </w:r>
          </w:p>
          <w:p w14:paraId="13877C96">
            <w:pPr>
              <w:ind w:firstLine="420"/>
              <w:rPr>
                <w:rFonts w:asciiTheme="majorBidi" w:hAnsiTheme="majorBidi" w:eastAsiaTheme="minorEastAsia" w:cstheme="majorBidi"/>
                <w:color w:val="000000" w:themeColor="text1"/>
                <w:kern w:val="2"/>
                <w:sz w:val="21"/>
                <w:szCs w:val="21"/>
                <w14:textFill>
                  <w14:solidFill>
                    <w14:schemeClr w14:val="tx1"/>
                  </w14:solidFill>
                </w14:textFill>
              </w:rPr>
            </w:pPr>
            <w:r>
              <w:rPr>
                <w:rFonts w:asciiTheme="majorBidi" w:hAnsiTheme="majorBidi" w:eastAsiaTheme="minorEastAsia" w:cstheme="majorBidi"/>
                <w:color w:val="000000" w:themeColor="text1"/>
                <w:kern w:val="2"/>
                <w:sz w:val="21"/>
                <w:szCs w:val="21"/>
                <w14:textFill>
                  <w14:solidFill>
                    <w14:schemeClr w14:val="tx1"/>
                  </w14:solidFill>
                </w14:textFill>
              </w:rPr>
              <w:t>1.根据项目水性油墨的MSDS，水性油墨的密度为1.01-1.22g/cm³，本项目取1.115g/cm³。</w:t>
            </w:r>
          </w:p>
          <w:p w14:paraId="338F759A">
            <w:pPr>
              <w:ind w:firstLine="420"/>
              <w:rPr>
                <w:rFonts w:asciiTheme="majorBidi" w:hAnsiTheme="majorBidi" w:eastAsiaTheme="minorEastAsia" w:cstheme="majorBidi"/>
                <w:color w:val="000000" w:themeColor="text1"/>
                <w:kern w:val="2"/>
                <w:sz w:val="21"/>
                <w:szCs w:val="21"/>
                <w14:textFill>
                  <w14:solidFill>
                    <w14:schemeClr w14:val="tx1"/>
                  </w14:solidFill>
                </w14:textFill>
              </w:rPr>
            </w:pPr>
            <w:r>
              <w:rPr>
                <w:rFonts w:asciiTheme="majorBidi" w:hAnsiTheme="majorBidi" w:eastAsiaTheme="minorEastAsia" w:cstheme="majorBidi"/>
                <w:color w:val="000000" w:themeColor="text1"/>
                <w:kern w:val="2"/>
                <w:sz w:val="21"/>
                <w:szCs w:val="21"/>
                <w14:textFill>
                  <w14:solidFill>
                    <w14:schemeClr w14:val="tx1"/>
                  </w14:solidFill>
                </w14:textFill>
              </w:rPr>
              <w:t>2.根据企业提供资料，水性油墨的附着率极高，而在丝印和移印过程中，会有油墨残留在丝网板、移印机以及原料包装容器内，造成油墨的损耗，本项目按损耗率为30%计算，则油墨利用率为70%。</w:t>
            </w:r>
          </w:p>
          <w:p w14:paraId="04E7BC2D">
            <w:pPr>
              <w:ind w:firstLine="420"/>
              <w:rPr>
                <w:rFonts w:asciiTheme="majorBidi" w:hAnsiTheme="majorBidi" w:eastAsiaTheme="minorEastAsia" w:cstheme="majorBidi"/>
                <w:color w:val="000000" w:themeColor="text1"/>
                <w:kern w:val="2"/>
                <w:sz w:val="21"/>
                <w:szCs w:val="21"/>
                <w14:textFill>
                  <w14:solidFill>
                    <w14:schemeClr w14:val="tx1"/>
                  </w14:solidFill>
                </w14:textFill>
              </w:rPr>
            </w:pPr>
            <w:r>
              <w:rPr>
                <w:rFonts w:asciiTheme="majorBidi" w:hAnsiTheme="majorBidi" w:eastAsiaTheme="minorEastAsia" w:cstheme="majorBidi"/>
                <w:color w:val="000000" w:themeColor="text1"/>
                <w:kern w:val="2"/>
                <w:sz w:val="21"/>
                <w:szCs w:val="21"/>
                <w14:textFill>
                  <w14:solidFill>
                    <w14:schemeClr w14:val="tx1"/>
                  </w14:solidFill>
                </w14:textFill>
              </w:rPr>
              <w:t>3.油墨用量=印刷面积×印刷厚度×水性油墨密度÷油墨利用率，本项目计算值为0.097t/a，取值0.1t/a。</w:t>
            </w:r>
          </w:p>
          <w:p w14:paraId="6860337E">
            <w:pPr>
              <w:spacing w:before="120" w:beforeLines="50"/>
              <w:ind w:firstLine="482"/>
              <w:rPr>
                <w:rFonts w:asciiTheme="majorBidi" w:hAnsiTheme="majorBidi" w:eastAsiaTheme="minorEastAsia" w:cstheme="majorBidi"/>
                <w:b/>
                <w:bCs/>
                <w:color w:val="000000" w:themeColor="text1"/>
                <w:kern w:val="2"/>
                <w:szCs w:val="21"/>
                <w14:textFill>
                  <w14:solidFill>
                    <w14:schemeClr w14:val="tx1"/>
                  </w14:solidFill>
                </w14:textFill>
              </w:rPr>
            </w:pPr>
            <w:r>
              <w:rPr>
                <w:rFonts w:asciiTheme="majorBidi" w:hAnsiTheme="majorBidi" w:eastAsiaTheme="minorEastAsia" w:cstheme="majorBidi"/>
                <w:b/>
                <w:bCs/>
                <w:color w:val="000000" w:themeColor="text1"/>
                <w:kern w:val="2"/>
                <w:szCs w:val="21"/>
                <w14:textFill>
                  <w14:solidFill>
                    <w14:schemeClr w14:val="tx1"/>
                  </w14:solidFill>
                </w14:textFill>
              </w:rPr>
              <w:t>4.主要生产设备及其参数</w:t>
            </w:r>
          </w:p>
          <w:p w14:paraId="70A77AE9">
            <w:pPr>
              <w:pStyle w:val="11"/>
              <w:rPr>
                <w:bCs w:val="0"/>
              </w:rPr>
            </w:pPr>
            <w:r>
              <w:rPr>
                <w:bCs w:val="0"/>
              </w:rPr>
              <w:t>表2-6</w:t>
            </w:r>
            <w:r>
              <w:rPr>
                <w:rFonts w:hint="eastAsia"/>
                <w:bCs w:val="0"/>
              </w:rPr>
              <w:t xml:space="preserve"> </w:t>
            </w:r>
            <w:r>
              <w:rPr>
                <w:bCs w:val="0"/>
              </w:rPr>
              <w:t>本项目主要生产单元、主要工艺及生产设施名称、设施参数表</w:t>
            </w:r>
          </w:p>
          <w:tbl>
            <w:tblPr>
              <w:tblStyle w:val="21"/>
              <w:tblW w:w="8817" w:type="dxa"/>
              <w:tblInd w:w="28" w:type="dxa"/>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28" w:type="dxa"/>
                <w:bottom w:w="0" w:type="dxa"/>
                <w:right w:w="28" w:type="dxa"/>
              </w:tblCellMar>
            </w:tblPr>
            <w:tblGrid>
              <w:gridCol w:w="877"/>
              <w:gridCol w:w="936"/>
              <w:gridCol w:w="1404"/>
              <w:gridCol w:w="1040"/>
              <w:gridCol w:w="1912"/>
              <w:gridCol w:w="868"/>
              <w:gridCol w:w="868"/>
              <w:gridCol w:w="912"/>
            </w:tblGrid>
            <w:tr w14:paraId="23471012">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340" w:hRule="atLeast"/>
              </w:trPr>
              <w:tc>
                <w:tcPr>
                  <w:tcW w:w="497" w:type="pct"/>
                  <w:vAlign w:val="center"/>
                </w:tcPr>
                <w:p w14:paraId="3639BD8E">
                  <w:pPr>
                    <w:pStyle w:val="29"/>
                    <w:rPr>
                      <w:b/>
                      <w:bCs/>
                    </w:rPr>
                  </w:pPr>
                  <w:r>
                    <w:rPr>
                      <w:b/>
                      <w:bCs/>
                    </w:rPr>
                    <w:t>主要生产单元</w:t>
                  </w:r>
                </w:p>
              </w:tc>
              <w:tc>
                <w:tcPr>
                  <w:tcW w:w="531" w:type="pct"/>
                  <w:vAlign w:val="center"/>
                </w:tcPr>
                <w:p w14:paraId="6029C434">
                  <w:pPr>
                    <w:pStyle w:val="29"/>
                    <w:rPr>
                      <w:b/>
                      <w:bCs/>
                    </w:rPr>
                  </w:pPr>
                  <w:r>
                    <w:rPr>
                      <w:b/>
                      <w:bCs/>
                    </w:rPr>
                    <w:t>主要工艺</w:t>
                  </w:r>
                </w:p>
              </w:tc>
              <w:tc>
                <w:tcPr>
                  <w:tcW w:w="796" w:type="pct"/>
                  <w:vAlign w:val="center"/>
                </w:tcPr>
                <w:p w14:paraId="3D58F401">
                  <w:pPr>
                    <w:pStyle w:val="29"/>
                    <w:rPr>
                      <w:b/>
                      <w:bCs/>
                    </w:rPr>
                  </w:pPr>
                  <w:r>
                    <w:rPr>
                      <w:b/>
                      <w:bCs/>
                    </w:rPr>
                    <w:t>生产设施名称</w:t>
                  </w:r>
                </w:p>
              </w:tc>
              <w:tc>
                <w:tcPr>
                  <w:tcW w:w="590" w:type="pct"/>
                  <w:vAlign w:val="center"/>
                </w:tcPr>
                <w:p w14:paraId="1895A089">
                  <w:pPr>
                    <w:pStyle w:val="29"/>
                    <w:rPr>
                      <w:b/>
                      <w:bCs/>
                    </w:rPr>
                  </w:pPr>
                  <w:r>
                    <w:rPr>
                      <w:b/>
                      <w:bCs/>
                    </w:rPr>
                    <w:t>设施参数</w:t>
                  </w:r>
                </w:p>
              </w:tc>
              <w:tc>
                <w:tcPr>
                  <w:tcW w:w="1084" w:type="pct"/>
                  <w:vAlign w:val="center"/>
                </w:tcPr>
                <w:p w14:paraId="3F3C56E6">
                  <w:pPr>
                    <w:pStyle w:val="29"/>
                    <w:rPr>
                      <w:b/>
                      <w:bCs/>
                    </w:rPr>
                  </w:pPr>
                  <w:r>
                    <w:rPr>
                      <w:b/>
                      <w:bCs/>
                    </w:rPr>
                    <w:t>参数指标</w:t>
                  </w:r>
                </w:p>
              </w:tc>
              <w:tc>
                <w:tcPr>
                  <w:tcW w:w="492" w:type="pct"/>
                  <w:vAlign w:val="center"/>
                </w:tcPr>
                <w:p w14:paraId="57CEE6C3">
                  <w:pPr>
                    <w:pStyle w:val="29"/>
                    <w:rPr>
                      <w:b/>
                      <w:bCs/>
                    </w:rPr>
                  </w:pPr>
                  <w:r>
                    <w:rPr>
                      <w:rFonts w:hint="eastAsia"/>
                      <w:b/>
                      <w:bCs/>
                    </w:rPr>
                    <w:t>单位</w:t>
                  </w:r>
                </w:p>
              </w:tc>
              <w:tc>
                <w:tcPr>
                  <w:tcW w:w="492" w:type="pct"/>
                  <w:vAlign w:val="center"/>
                </w:tcPr>
                <w:p w14:paraId="08DE9910">
                  <w:pPr>
                    <w:pStyle w:val="29"/>
                    <w:rPr>
                      <w:b/>
                      <w:bCs/>
                    </w:rPr>
                  </w:pPr>
                  <w:r>
                    <w:rPr>
                      <w:b/>
                      <w:bCs/>
                    </w:rPr>
                    <w:t>数量</w:t>
                  </w:r>
                </w:p>
              </w:tc>
              <w:tc>
                <w:tcPr>
                  <w:tcW w:w="517" w:type="pct"/>
                  <w:vAlign w:val="center"/>
                </w:tcPr>
                <w:p w14:paraId="5EA2B6AE">
                  <w:pPr>
                    <w:pStyle w:val="29"/>
                    <w:rPr>
                      <w:b/>
                      <w:bCs/>
                    </w:rPr>
                  </w:pPr>
                  <w:r>
                    <w:rPr>
                      <w:b/>
                      <w:bCs/>
                    </w:rPr>
                    <w:t>备注</w:t>
                  </w:r>
                </w:p>
              </w:tc>
            </w:tr>
            <w:tr w14:paraId="59E0D40E">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340" w:hRule="atLeast"/>
              </w:trPr>
              <w:tc>
                <w:tcPr>
                  <w:tcW w:w="497" w:type="pct"/>
                  <w:vMerge w:val="restart"/>
                  <w:vAlign w:val="center"/>
                </w:tcPr>
                <w:p w14:paraId="78405ABA">
                  <w:pPr>
                    <w:pStyle w:val="29"/>
                  </w:pPr>
                  <w:r>
                    <w:t>注塑件生产单元</w:t>
                  </w:r>
                </w:p>
              </w:tc>
              <w:tc>
                <w:tcPr>
                  <w:tcW w:w="531" w:type="pct"/>
                  <w:vAlign w:val="center"/>
                </w:tcPr>
                <w:p w14:paraId="57E589C1">
                  <w:pPr>
                    <w:pStyle w:val="29"/>
                  </w:pPr>
                  <w:r>
                    <w:t>注塑</w:t>
                  </w:r>
                </w:p>
              </w:tc>
              <w:tc>
                <w:tcPr>
                  <w:tcW w:w="796" w:type="pct"/>
                  <w:vAlign w:val="center"/>
                </w:tcPr>
                <w:p w14:paraId="1BE29871">
                  <w:pPr>
                    <w:pStyle w:val="29"/>
                  </w:pPr>
                  <w:r>
                    <w:t>注塑机</w:t>
                  </w:r>
                </w:p>
              </w:tc>
              <w:tc>
                <w:tcPr>
                  <w:tcW w:w="590" w:type="pct"/>
                  <w:vAlign w:val="center"/>
                </w:tcPr>
                <w:p w14:paraId="5EFEED08">
                  <w:pPr>
                    <w:pStyle w:val="29"/>
                  </w:pPr>
                  <w:r>
                    <w:t>处理能力</w:t>
                  </w:r>
                </w:p>
              </w:tc>
              <w:tc>
                <w:tcPr>
                  <w:tcW w:w="1084" w:type="pct"/>
                  <w:vAlign w:val="center"/>
                </w:tcPr>
                <w:p w14:paraId="74D83EC5">
                  <w:pPr>
                    <w:pStyle w:val="29"/>
                  </w:pPr>
                  <w:r>
                    <w:rPr>
                      <w:rFonts w:hint="eastAsia" w:asciiTheme="majorBidi" w:hAnsiTheme="majorBidi" w:eastAsiaTheme="minorEastAsia" w:cstheme="majorBidi"/>
                      <w:color w:val="EE0000"/>
                      <w:kern w:val="2"/>
                    </w:rPr>
                    <w:t>40</w:t>
                  </w:r>
                </w:p>
              </w:tc>
              <w:tc>
                <w:tcPr>
                  <w:tcW w:w="492" w:type="pct"/>
                  <w:vAlign w:val="center"/>
                </w:tcPr>
                <w:p w14:paraId="02E62A30">
                  <w:pPr>
                    <w:pStyle w:val="29"/>
                  </w:pPr>
                  <w:r>
                    <w:rPr>
                      <w:rFonts w:hint="eastAsia" w:asciiTheme="majorBidi" w:hAnsiTheme="majorBidi" w:eastAsiaTheme="minorEastAsia" w:cstheme="majorBidi"/>
                      <w:color w:val="EE0000"/>
                      <w:kern w:val="2"/>
                    </w:rPr>
                    <w:t>件/h</w:t>
                  </w:r>
                  <w:r>
                    <w:rPr>
                      <w:rFonts w:eastAsiaTheme="minorEastAsia"/>
                      <w:color w:val="EE0000"/>
                      <w:kern w:val="2"/>
                    </w:rPr>
                    <w:t>·</w:t>
                  </w:r>
                  <w:r>
                    <w:rPr>
                      <w:rFonts w:hint="eastAsia" w:asciiTheme="majorBidi" w:hAnsiTheme="majorBidi" w:eastAsiaTheme="minorEastAsia" w:cstheme="majorBidi"/>
                      <w:color w:val="EE0000"/>
                      <w:kern w:val="2"/>
                    </w:rPr>
                    <w:t>台</w:t>
                  </w:r>
                </w:p>
              </w:tc>
              <w:tc>
                <w:tcPr>
                  <w:tcW w:w="492" w:type="pct"/>
                  <w:vAlign w:val="center"/>
                </w:tcPr>
                <w:p w14:paraId="26ECF6DE">
                  <w:pPr>
                    <w:pStyle w:val="29"/>
                  </w:pPr>
                  <w:r>
                    <w:t>20台</w:t>
                  </w:r>
                </w:p>
              </w:tc>
              <w:tc>
                <w:tcPr>
                  <w:tcW w:w="517" w:type="pct"/>
                  <w:vMerge w:val="restart"/>
                  <w:vAlign w:val="center"/>
                </w:tcPr>
                <w:p w14:paraId="6BC75A51">
                  <w:pPr>
                    <w:pStyle w:val="29"/>
                  </w:pPr>
                  <w:r>
                    <w:t>1楼生产车间</w:t>
                  </w:r>
                </w:p>
              </w:tc>
            </w:tr>
            <w:tr w14:paraId="032A76C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340" w:hRule="atLeast"/>
              </w:trPr>
              <w:tc>
                <w:tcPr>
                  <w:tcW w:w="497" w:type="pct"/>
                  <w:vMerge w:val="continue"/>
                  <w:vAlign w:val="center"/>
                </w:tcPr>
                <w:p w14:paraId="2133F607">
                  <w:pPr>
                    <w:pStyle w:val="29"/>
                  </w:pPr>
                </w:p>
              </w:tc>
              <w:tc>
                <w:tcPr>
                  <w:tcW w:w="531" w:type="pct"/>
                  <w:vAlign w:val="center"/>
                </w:tcPr>
                <w:p w14:paraId="61723552">
                  <w:pPr>
                    <w:pStyle w:val="29"/>
                  </w:pPr>
                  <w:r>
                    <w:t>混料</w:t>
                  </w:r>
                </w:p>
              </w:tc>
              <w:tc>
                <w:tcPr>
                  <w:tcW w:w="796" w:type="pct"/>
                  <w:vAlign w:val="center"/>
                </w:tcPr>
                <w:p w14:paraId="75746F44">
                  <w:pPr>
                    <w:pStyle w:val="29"/>
                  </w:pPr>
                  <w:r>
                    <w:t>混料机</w:t>
                  </w:r>
                </w:p>
              </w:tc>
              <w:tc>
                <w:tcPr>
                  <w:tcW w:w="590" w:type="pct"/>
                </w:tcPr>
                <w:p w14:paraId="0EDD73CD">
                  <w:pPr>
                    <w:pStyle w:val="29"/>
                  </w:pPr>
                  <w:r>
                    <w:t>处理能力</w:t>
                  </w:r>
                </w:p>
              </w:tc>
              <w:tc>
                <w:tcPr>
                  <w:tcW w:w="1084" w:type="pct"/>
                  <w:vAlign w:val="center"/>
                </w:tcPr>
                <w:p w14:paraId="60B028C2">
                  <w:pPr>
                    <w:pStyle w:val="29"/>
                    <w:rPr>
                      <w:color w:val="EE0000"/>
                    </w:rPr>
                  </w:pPr>
                  <w:r>
                    <w:rPr>
                      <w:rFonts w:hint="eastAsia"/>
                      <w:color w:val="EE0000"/>
                    </w:rPr>
                    <w:t>0.1</w:t>
                  </w:r>
                </w:p>
              </w:tc>
              <w:tc>
                <w:tcPr>
                  <w:tcW w:w="492" w:type="pct"/>
                  <w:vAlign w:val="center"/>
                </w:tcPr>
                <w:p w14:paraId="713C76AF">
                  <w:pPr>
                    <w:pStyle w:val="29"/>
                    <w:rPr>
                      <w:color w:val="EE0000"/>
                    </w:rPr>
                  </w:pPr>
                  <w:r>
                    <w:rPr>
                      <w:color w:val="EE0000"/>
                    </w:rPr>
                    <w:t>t/h</w:t>
                  </w:r>
                </w:p>
              </w:tc>
              <w:tc>
                <w:tcPr>
                  <w:tcW w:w="492" w:type="pct"/>
                  <w:vAlign w:val="center"/>
                </w:tcPr>
                <w:p w14:paraId="61187789">
                  <w:pPr>
                    <w:pStyle w:val="29"/>
                  </w:pPr>
                  <w:r>
                    <w:t>5台</w:t>
                  </w:r>
                </w:p>
              </w:tc>
              <w:tc>
                <w:tcPr>
                  <w:tcW w:w="517" w:type="pct"/>
                  <w:vMerge w:val="continue"/>
                  <w:vAlign w:val="center"/>
                </w:tcPr>
                <w:p w14:paraId="02AEB38A">
                  <w:pPr>
                    <w:pStyle w:val="29"/>
                  </w:pPr>
                </w:p>
              </w:tc>
            </w:tr>
            <w:tr w14:paraId="364C2482">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340" w:hRule="atLeast"/>
              </w:trPr>
              <w:tc>
                <w:tcPr>
                  <w:tcW w:w="497" w:type="pct"/>
                  <w:vMerge w:val="continue"/>
                  <w:vAlign w:val="center"/>
                </w:tcPr>
                <w:p w14:paraId="0F1B41E8">
                  <w:pPr>
                    <w:pStyle w:val="29"/>
                  </w:pPr>
                </w:p>
              </w:tc>
              <w:tc>
                <w:tcPr>
                  <w:tcW w:w="531" w:type="pct"/>
                  <w:vAlign w:val="center"/>
                </w:tcPr>
                <w:p w14:paraId="23BC1FB2">
                  <w:pPr>
                    <w:pStyle w:val="29"/>
                  </w:pPr>
                  <w:r>
                    <w:t>碎料</w:t>
                  </w:r>
                </w:p>
              </w:tc>
              <w:tc>
                <w:tcPr>
                  <w:tcW w:w="796" w:type="pct"/>
                  <w:vAlign w:val="center"/>
                </w:tcPr>
                <w:p w14:paraId="0318A749">
                  <w:pPr>
                    <w:pStyle w:val="29"/>
                  </w:pPr>
                  <w:r>
                    <w:t>碎料机</w:t>
                  </w:r>
                </w:p>
              </w:tc>
              <w:tc>
                <w:tcPr>
                  <w:tcW w:w="590" w:type="pct"/>
                </w:tcPr>
                <w:p w14:paraId="63D63E96">
                  <w:pPr>
                    <w:pStyle w:val="29"/>
                  </w:pPr>
                  <w:r>
                    <w:t>处理能力</w:t>
                  </w:r>
                </w:p>
              </w:tc>
              <w:tc>
                <w:tcPr>
                  <w:tcW w:w="1084" w:type="pct"/>
                  <w:vAlign w:val="center"/>
                </w:tcPr>
                <w:p w14:paraId="2D2BDAA2">
                  <w:pPr>
                    <w:pStyle w:val="29"/>
                    <w:rPr>
                      <w:color w:val="EE0000"/>
                    </w:rPr>
                  </w:pPr>
                  <w:r>
                    <w:rPr>
                      <w:rFonts w:hint="eastAsia"/>
                      <w:color w:val="EE0000"/>
                    </w:rPr>
                    <w:t>10</w:t>
                  </w:r>
                </w:p>
              </w:tc>
              <w:tc>
                <w:tcPr>
                  <w:tcW w:w="492" w:type="pct"/>
                  <w:vAlign w:val="center"/>
                </w:tcPr>
                <w:p w14:paraId="60713F4C">
                  <w:pPr>
                    <w:pStyle w:val="29"/>
                    <w:rPr>
                      <w:color w:val="EE0000"/>
                    </w:rPr>
                  </w:pPr>
                  <w:r>
                    <w:rPr>
                      <w:rFonts w:hint="eastAsia"/>
                      <w:color w:val="EE0000"/>
                    </w:rPr>
                    <w:t>kg</w:t>
                  </w:r>
                  <w:r>
                    <w:rPr>
                      <w:color w:val="EE0000"/>
                    </w:rPr>
                    <w:t>/h</w:t>
                  </w:r>
                </w:p>
              </w:tc>
              <w:tc>
                <w:tcPr>
                  <w:tcW w:w="492" w:type="pct"/>
                  <w:vAlign w:val="center"/>
                </w:tcPr>
                <w:p w14:paraId="066F570A">
                  <w:pPr>
                    <w:pStyle w:val="29"/>
                  </w:pPr>
                  <w:r>
                    <w:t>10台</w:t>
                  </w:r>
                </w:p>
              </w:tc>
              <w:tc>
                <w:tcPr>
                  <w:tcW w:w="517" w:type="pct"/>
                  <w:vMerge w:val="continue"/>
                  <w:vAlign w:val="center"/>
                </w:tcPr>
                <w:p w14:paraId="786ADA78">
                  <w:pPr>
                    <w:pStyle w:val="29"/>
                  </w:pPr>
                </w:p>
              </w:tc>
            </w:tr>
            <w:tr w14:paraId="42BDE6CF">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340" w:hRule="atLeast"/>
              </w:trPr>
              <w:tc>
                <w:tcPr>
                  <w:tcW w:w="497" w:type="pct"/>
                  <w:vMerge w:val="continue"/>
                  <w:vAlign w:val="center"/>
                </w:tcPr>
                <w:p w14:paraId="146C28DF">
                  <w:pPr>
                    <w:pStyle w:val="29"/>
                  </w:pPr>
                </w:p>
              </w:tc>
              <w:tc>
                <w:tcPr>
                  <w:tcW w:w="531" w:type="pct"/>
                  <w:vAlign w:val="center"/>
                </w:tcPr>
                <w:p w14:paraId="1468AC7C">
                  <w:pPr>
                    <w:pStyle w:val="29"/>
                  </w:pPr>
                  <w:r>
                    <w:t>胶合</w:t>
                  </w:r>
                </w:p>
              </w:tc>
              <w:tc>
                <w:tcPr>
                  <w:tcW w:w="796" w:type="pct"/>
                  <w:vAlign w:val="center"/>
                </w:tcPr>
                <w:p w14:paraId="0EADD0BD">
                  <w:pPr>
                    <w:pStyle w:val="29"/>
                  </w:pPr>
                  <w:r>
                    <w:t>小超音波</w:t>
                  </w:r>
                  <w:r>
                    <w:rPr>
                      <w:color w:val="EE0000"/>
                    </w:rPr>
                    <w:t>塑料胶合机</w:t>
                  </w:r>
                </w:p>
              </w:tc>
              <w:tc>
                <w:tcPr>
                  <w:tcW w:w="590" w:type="pct"/>
                  <w:vAlign w:val="center"/>
                </w:tcPr>
                <w:p w14:paraId="3D2DA546">
                  <w:pPr>
                    <w:pStyle w:val="29"/>
                  </w:pPr>
                  <w:r>
                    <w:t>功率</w:t>
                  </w:r>
                </w:p>
              </w:tc>
              <w:tc>
                <w:tcPr>
                  <w:tcW w:w="1084" w:type="pct"/>
                  <w:vAlign w:val="center"/>
                </w:tcPr>
                <w:p w14:paraId="1B2A3444">
                  <w:pPr>
                    <w:pStyle w:val="29"/>
                  </w:pPr>
                  <w:r>
                    <w:t>1kw</w:t>
                  </w:r>
                </w:p>
              </w:tc>
              <w:tc>
                <w:tcPr>
                  <w:tcW w:w="492" w:type="pct"/>
                  <w:vAlign w:val="center"/>
                </w:tcPr>
                <w:p w14:paraId="639DF3F8">
                  <w:pPr>
                    <w:pStyle w:val="29"/>
                  </w:pPr>
                  <w:r>
                    <w:t>kw</w:t>
                  </w:r>
                  <w:r>
                    <w:rPr>
                      <w:rFonts w:hint="eastAsia"/>
                    </w:rPr>
                    <w:t>h</w:t>
                  </w:r>
                </w:p>
              </w:tc>
              <w:tc>
                <w:tcPr>
                  <w:tcW w:w="492" w:type="pct"/>
                  <w:vAlign w:val="center"/>
                </w:tcPr>
                <w:p w14:paraId="3D23D345">
                  <w:pPr>
                    <w:pStyle w:val="29"/>
                  </w:pPr>
                  <w:r>
                    <w:t>2台</w:t>
                  </w:r>
                </w:p>
              </w:tc>
              <w:tc>
                <w:tcPr>
                  <w:tcW w:w="517" w:type="pct"/>
                  <w:vMerge w:val="continue"/>
                  <w:vAlign w:val="center"/>
                </w:tcPr>
                <w:p w14:paraId="226CCB3F">
                  <w:pPr>
                    <w:pStyle w:val="29"/>
                  </w:pPr>
                </w:p>
              </w:tc>
            </w:tr>
            <w:tr w14:paraId="7F37C6F3">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340" w:hRule="atLeast"/>
              </w:trPr>
              <w:tc>
                <w:tcPr>
                  <w:tcW w:w="497" w:type="pct"/>
                  <w:vMerge w:val="restart"/>
                  <w:vAlign w:val="center"/>
                </w:tcPr>
                <w:p w14:paraId="22214CE5">
                  <w:pPr>
                    <w:pStyle w:val="29"/>
                  </w:pPr>
                  <w:r>
                    <w:t>模具生产单元</w:t>
                  </w:r>
                </w:p>
              </w:tc>
              <w:tc>
                <w:tcPr>
                  <w:tcW w:w="531" w:type="pct"/>
                  <w:vMerge w:val="restart"/>
                  <w:vAlign w:val="center"/>
                </w:tcPr>
                <w:p w14:paraId="728FB379">
                  <w:pPr>
                    <w:pStyle w:val="29"/>
                  </w:pPr>
                  <w:r>
                    <w:t>机加工</w:t>
                  </w:r>
                </w:p>
              </w:tc>
              <w:tc>
                <w:tcPr>
                  <w:tcW w:w="796" w:type="pct"/>
                  <w:vAlign w:val="center"/>
                </w:tcPr>
                <w:p w14:paraId="0DE51156">
                  <w:pPr>
                    <w:pStyle w:val="29"/>
                  </w:pPr>
                  <w:r>
                    <w:t>磨刀机</w:t>
                  </w:r>
                </w:p>
              </w:tc>
              <w:tc>
                <w:tcPr>
                  <w:tcW w:w="590" w:type="pct"/>
                  <w:vAlign w:val="center"/>
                </w:tcPr>
                <w:p w14:paraId="27D6C4C5">
                  <w:pPr>
                    <w:pStyle w:val="29"/>
                  </w:pPr>
                  <w:r>
                    <w:t>功率</w:t>
                  </w:r>
                </w:p>
              </w:tc>
              <w:tc>
                <w:tcPr>
                  <w:tcW w:w="1084" w:type="pct"/>
                  <w:vAlign w:val="center"/>
                </w:tcPr>
                <w:p w14:paraId="754779B4">
                  <w:pPr>
                    <w:pStyle w:val="29"/>
                  </w:pPr>
                  <w:r>
                    <w:rPr>
                      <w:rFonts w:hint="eastAsia"/>
                    </w:rPr>
                    <w:t>0.</w:t>
                  </w:r>
                  <w:r>
                    <w:t>5</w:t>
                  </w:r>
                </w:p>
              </w:tc>
              <w:tc>
                <w:tcPr>
                  <w:tcW w:w="492" w:type="pct"/>
                  <w:vAlign w:val="center"/>
                </w:tcPr>
                <w:p w14:paraId="0DFB4DAA">
                  <w:pPr>
                    <w:pStyle w:val="29"/>
                  </w:pPr>
                  <w:r>
                    <w:t>kw</w:t>
                  </w:r>
                  <w:r>
                    <w:rPr>
                      <w:rFonts w:hint="eastAsia"/>
                    </w:rPr>
                    <w:t>h</w:t>
                  </w:r>
                </w:p>
              </w:tc>
              <w:tc>
                <w:tcPr>
                  <w:tcW w:w="492" w:type="pct"/>
                  <w:vAlign w:val="center"/>
                </w:tcPr>
                <w:p w14:paraId="5214DAD0">
                  <w:pPr>
                    <w:pStyle w:val="29"/>
                  </w:pPr>
                  <w:r>
                    <w:t>2台</w:t>
                  </w:r>
                </w:p>
              </w:tc>
              <w:tc>
                <w:tcPr>
                  <w:tcW w:w="517" w:type="pct"/>
                  <w:vMerge w:val="restart"/>
                  <w:vAlign w:val="center"/>
                </w:tcPr>
                <w:p w14:paraId="051B311D">
                  <w:pPr>
                    <w:pStyle w:val="29"/>
                  </w:pPr>
                  <w:r>
                    <w:t>2楼生产车间（模具生产）</w:t>
                  </w:r>
                </w:p>
              </w:tc>
            </w:tr>
            <w:tr w14:paraId="69F03230">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340" w:hRule="atLeast"/>
              </w:trPr>
              <w:tc>
                <w:tcPr>
                  <w:tcW w:w="497" w:type="pct"/>
                  <w:vMerge w:val="continue"/>
                  <w:vAlign w:val="center"/>
                </w:tcPr>
                <w:p w14:paraId="19D858EF">
                  <w:pPr>
                    <w:pStyle w:val="29"/>
                  </w:pPr>
                </w:p>
              </w:tc>
              <w:tc>
                <w:tcPr>
                  <w:tcW w:w="531" w:type="pct"/>
                  <w:vMerge w:val="continue"/>
                  <w:vAlign w:val="center"/>
                </w:tcPr>
                <w:p w14:paraId="1BD877A8">
                  <w:pPr>
                    <w:pStyle w:val="29"/>
                  </w:pPr>
                </w:p>
              </w:tc>
              <w:tc>
                <w:tcPr>
                  <w:tcW w:w="796" w:type="pct"/>
                  <w:vAlign w:val="center"/>
                </w:tcPr>
                <w:p w14:paraId="5A732FA9">
                  <w:pPr>
                    <w:pStyle w:val="29"/>
                  </w:pPr>
                  <w:r>
                    <w:t>磨床</w:t>
                  </w:r>
                </w:p>
              </w:tc>
              <w:tc>
                <w:tcPr>
                  <w:tcW w:w="590" w:type="pct"/>
                  <w:vAlign w:val="center"/>
                </w:tcPr>
                <w:p w14:paraId="0FF8591D">
                  <w:pPr>
                    <w:pStyle w:val="29"/>
                  </w:pPr>
                  <w:r>
                    <w:t>功率</w:t>
                  </w:r>
                </w:p>
              </w:tc>
              <w:tc>
                <w:tcPr>
                  <w:tcW w:w="1084" w:type="pct"/>
                  <w:vAlign w:val="center"/>
                </w:tcPr>
                <w:p w14:paraId="457F6488">
                  <w:pPr>
                    <w:pStyle w:val="29"/>
                  </w:pPr>
                  <w:r>
                    <w:t>2</w:t>
                  </w:r>
                </w:p>
              </w:tc>
              <w:tc>
                <w:tcPr>
                  <w:tcW w:w="492" w:type="pct"/>
                  <w:vAlign w:val="center"/>
                </w:tcPr>
                <w:p w14:paraId="1A54403E">
                  <w:pPr>
                    <w:pStyle w:val="29"/>
                  </w:pPr>
                  <w:r>
                    <w:t>kw</w:t>
                  </w:r>
                  <w:r>
                    <w:rPr>
                      <w:rFonts w:hint="eastAsia"/>
                    </w:rPr>
                    <w:t>h</w:t>
                  </w:r>
                </w:p>
              </w:tc>
              <w:tc>
                <w:tcPr>
                  <w:tcW w:w="492" w:type="pct"/>
                  <w:vAlign w:val="center"/>
                </w:tcPr>
                <w:p w14:paraId="43409BAF">
                  <w:pPr>
                    <w:pStyle w:val="29"/>
                  </w:pPr>
                  <w:r>
                    <w:t>2台</w:t>
                  </w:r>
                </w:p>
              </w:tc>
              <w:tc>
                <w:tcPr>
                  <w:tcW w:w="517" w:type="pct"/>
                  <w:vMerge w:val="continue"/>
                  <w:vAlign w:val="center"/>
                </w:tcPr>
                <w:p w14:paraId="20A16018">
                  <w:pPr>
                    <w:pStyle w:val="29"/>
                  </w:pPr>
                </w:p>
              </w:tc>
            </w:tr>
            <w:tr w14:paraId="3BCA8FB2">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340" w:hRule="atLeast"/>
              </w:trPr>
              <w:tc>
                <w:tcPr>
                  <w:tcW w:w="497" w:type="pct"/>
                  <w:vMerge w:val="continue"/>
                  <w:vAlign w:val="center"/>
                </w:tcPr>
                <w:p w14:paraId="3EC2417D">
                  <w:pPr>
                    <w:pStyle w:val="29"/>
                  </w:pPr>
                </w:p>
              </w:tc>
              <w:tc>
                <w:tcPr>
                  <w:tcW w:w="531" w:type="pct"/>
                  <w:vMerge w:val="continue"/>
                  <w:vAlign w:val="center"/>
                </w:tcPr>
                <w:p w14:paraId="3D574163">
                  <w:pPr>
                    <w:pStyle w:val="29"/>
                  </w:pPr>
                </w:p>
              </w:tc>
              <w:tc>
                <w:tcPr>
                  <w:tcW w:w="796" w:type="pct"/>
                  <w:vAlign w:val="center"/>
                </w:tcPr>
                <w:p w14:paraId="577438CC">
                  <w:pPr>
                    <w:pStyle w:val="29"/>
                  </w:pPr>
                  <w:r>
                    <w:t>锣床（铣床）</w:t>
                  </w:r>
                </w:p>
              </w:tc>
              <w:tc>
                <w:tcPr>
                  <w:tcW w:w="590" w:type="pct"/>
                  <w:vAlign w:val="center"/>
                </w:tcPr>
                <w:p w14:paraId="20B3CF0A">
                  <w:pPr>
                    <w:pStyle w:val="29"/>
                  </w:pPr>
                  <w:r>
                    <w:t>功率</w:t>
                  </w:r>
                </w:p>
              </w:tc>
              <w:tc>
                <w:tcPr>
                  <w:tcW w:w="1084" w:type="pct"/>
                  <w:vAlign w:val="center"/>
                </w:tcPr>
                <w:p w14:paraId="2D1A7FCF">
                  <w:pPr>
                    <w:pStyle w:val="29"/>
                  </w:pPr>
                  <w:r>
                    <w:t>3</w:t>
                  </w:r>
                </w:p>
              </w:tc>
              <w:tc>
                <w:tcPr>
                  <w:tcW w:w="492" w:type="pct"/>
                  <w:vAlign w:val="center"/>
                </w:tcPr>
                <w:p w14:paraId="593AA899">
                  <w:pPr>
                    <w:pStyle w:val="29"/>
                  </w:pPr>
                  <w:r>
                    <w:t>kw</w:t>
                  </w:r>
                  <w:r>
                    <w:rPr>
                      <w:rFonts w:hint="eastAsia"/>
                    </w:rPr>
                    <w:t>h</w:t>
                  </w:r>
                </w:p>
              </w:tc>
              <w:tc>
                <w:tcPr>
                  <w:tcW w:w="492" w:type="pct"/>
                  <w:vAlign w:val="center"/>
                </w:tcPr>
                <w:p w14:paraId="6CA6057C">
                  <w:pPr>
                    <w:pStyle w:val="29"/>
                  </w:pPr>
                  <w:r>
                    <w:t>4台</w:t>
                  </w:r>
                </w:p>
              </w:tc>
              <w:tc>
                <w:tcPr>
                  <w:tcW w:w="517" w:type="pct"/>
                  <w:vMerge w:val="continue"/>
                  <w:vAlign w:val="center"/>
                </w:tcPr>
                <w:p w14:paraId="382D455B">
                  <w:pPr>
                    <w:pStyle w:val="29"/>
                  </w:pPr>
                </w:p>
              </w:tc>
            </w:tr>
            <w:tr w14:paraId="67D39D38">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340" w:hRule="atLeast"/>
              </w:trPr>
              <w:tc>
                <w:tcPr>
                  <w:tcW w:w="497" w:type="pct"/>
                  <w:vMerge w:val="continue"/>
                  <w:vAlign w:val="center"/>
                </w:tcPr>
                <w:p w14:paraId="64F77F1F">
                  <w:pPr>
                    <w:pStyle w:val="29"/>
                  </w:pPr>
                </w:p>
              </w:tc>
              <w:tc>
                <w:tcPr>
                  <w:tcW w:w="531" w:type="pct"/>
                  <w:vMerge w:val="continue"/>
                  <w:vAlign w:val="center"/>
                </w:tcPr>
                <w:p w14:paraId="05D4B1D7">
                  <w:pPr>
                    <w:pStyle w:val="29"/>
                  </w:pPr>
                </w:p>
              </w:tc>
              <w:tc>
                <w:tcPr>
                  <w:tcW w:w="796" w:type="pct"/>
                  <w:vAlign w:val="center"/>
                </w:tcPr>
                <w:p w14:paraId="4BB735F5">
                  <w:pPr>
                    <w:pStyle w:val="29"/>
                  </w:pPr>
                  <w:r>
                    <w:rPr>
                      <w:color w:val="0000FF"/>
                    </w:rPr>
                    <w:t>电火花机</w:t>
                  </w:r>
                </w:p>
              </w:tc>
              <w:tc>
                <w:tcPr>
                  <w:tcW w:w="590" w:type="pct"/>
                  <w:vAlign w:val="center"/>
                </w:tcPr>
                <w:p w14:paraId="4E9DE254">
                  <w:pPr>
                    <w:pStyle w:val="29"/>
                  </w:pPr>
                  <w:r>
                    <w:t>功率</w:t>
                  </w:r>
                </w:p>
              </w:tc>
              <w:tc>
                <w:tcPr>
                  <w:tcW w:w="1084" w:type="pct"/>
                  <w:vAlign w:val="center"/>
                </w:tcPr>
                <w:p w14:paraId="1A0080B1">
                  <w:pPr>
                    <w:pStyle w:val="29"/>
                  </w:pPr>
                  <w:r>
                    <w:t>1.5</w:t>
                  </w:r>
                </w:p>
              </w:tc>
              <w:tc>
                <w:tcPr>
                  <w:tcW w:w="492" w:type="pct"/>
                  <w:vAlign w:val="center"/>
                </w:tcPr>
                <w:p w14:paraId="7B157B67">
                  <w:pPr>
                    <w:pStyle w:val="29"/>
                  </w:pPr>
                  <w:r>
                    <w:t>kw</w:t>
                  </w:r>
                  <w:r>
                    <w:rPr>
                      <w:rFonts w:hint="eastAsia"/>
                    </w:rPr>
                    <w:t>h</w:t>
                  </w:r>
                </w:p>
              </w:tc>
              <w:tc>
                <w:tcPr>
                  <w:tcW w:w="492" w:type="pct"/>
                  <w:vAlign w:val="center"/>
                </w:tcPr>
                <w:p w14:paraId="2055C76A">
                  <w:pPr>
                    <w:pStyle w:val="29"/>
                  </w:pPr>
                  <w:r>
                    <w:t>4台</w:t>
                  </w:r>
                </w:p>
              </w:tc>
              <w:tc>
                <w:tcPr>
                  <w:tcW w:w="517" w:type="pct"/>
                  <w:vMerge w:val="continue"/>
                  <w:vAlign w:val="center"/>
                </w:tcPr>
                <w:p w14:paraId="15D0016E">
                  <w:pPr>
                    <w:pStyle w:val="29"/>
                  </w:pPr>
                </w:p>
              </w:tc>
            </w:tr>
            <w:tr w14:paraId="7F7D2A53">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340" w:hRule="atLeast"/>
              </w:trPr>
              <w:tc>
                <w:tcPr>
                  <w:tcW w:w="497" w:type="pct"/>
                  <w:vMerge w:val="continue"/>
                  <w:vAlign w:val="center"/>
                </w:tcPr>
                <w:p w14:paraId="3148634A">
                  <w:pPr>
                    <w:pStyle w:val="29"/>
                  </w:pPr>
                </w:p>
              </w:tc>
              <w:tc>
                <w:tcPr>
                  <w:tcW w:w="531" w:type="pct"/>
                  <w:vMerge w:val="continue"/>
                  <w:vAlign w:val="center"/>
                </w:tcPr>
                <w:p w14:paraId="4115E074">
                  <w:pPr>
                    <w:pStyle w:val="29"/>
                  </w:pPr>
                </w:p>
              </w:tc>
              <w:tc>
                <w:tcPr>
                  <w:tcW w:w="796" w:type="pct"/>
                  <w:vAlign w:val="center"/>
                </w:tcPr>
                <w:p w14:paraId="7F50A26C">
                  <w:pPr>
                    <w:pStyle w:val="29"/>
                  </w:pPr>
                  <w:r>
                    <w:t>焊接机</w:t>
                  </w:r>
                </w:p>
              </w:tc>
              <w:tc>
                <w:tcPr>
                  <w:tcW w:w="590" w:type="pct"/>
                  <w:vAlign w:val="center"/>
                </w:tcPr>
                <w:p w14:paraId="5373F2BC">
                  <w:pPr>
                    <w:pStyle w:val="29"/>
                  </w:pPr>
                  <w:r>
                    <w:t>功率</w:t>
                  </w:r>
                </w:p>
              </w:tc>
              <w:tc>
                <w:tcPr>
                  <w:tcW w:w="1084" w:type="pct"/>
                  <w:vAlign w:val="center"/>
                </w:tcPr>
                <w:p w14:paraId="2233E68C">
                  <w:pPr>
                    <w:pStyle w:val="29"/>
                  </w:pPr>
                  <w:r>
                    <w:rPr>
                      <w:rFonts w:hint="eastAsia"/>
                    </w:rPr>
                    <w:t>0.</w:t>
                  </w:r>
                  <w:r>
                    <w:t>5</w:t>
                  </w:r>
                </w:p>
              </w:tc>
              <w:tc>
                <w:tcPr>
                  <w:tcW w:w="492" w:type="pct"/>
                  <w:vAlign w:val="center"/>
                </w:tcPr>
                <w:p w14:paraId="72E17D05">
                  <w:pPr>
                    <w:pStyle w:val="29"/>
                  </w:pPr>
                  <w:r>
                    <w:t>kw</w:t>
                  </w:r>
                  <w:r>
                    <w:rPr>
                      <w:rFonts w:hint="eastAsia"/>
                    </w:rPr>
                    <w:t>h</w:t>
                  </w:r>
                </w:p>
              </w:tc>
              <w:tc>
                <w:tcPr>
                  <w:tcW w:w="492" w:type="pct"/>
                  <w:vAlign w:val="center"/>
                </w:tcPr>
                <w:p w14:paraId="3C2050F1">
                  <w:pPr>
                    <w:pStyle w:val="29"/>
                  </w:pPr>
                  <w:r>
                    <w:t>4台</w:t>
                  </w:r>
                </w:p>
              </w:tc>
              <w:tc>
                <w:tcPr>
                  <w:tcW w:w="517" w:type="pct"/>
                  <w:vMerge w:val="continue"/>
                  <w:vAlign w:val="center"/>
                </w:tcPr>
                <w:p w14:paraId="3ECDFD5A">
                  <w:pPr>
                    <w:pStyle w:val="29"/>
                  </w:pPr>
                </w:p>
              </w:tc>
            </w:tr>
            <w:tr w14:paraId="4E68A9C9">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340" w:hRule="atLeast"/>
              </w:trPr>
              <w:tc>
                <w:tcPr>
                  <w:tcW w:w="497" w:type="pct"/>
                  <w:vMerge w:val="restart"/>
                  <w:vAlign w:val="center"/>
                </w:tcPr>
                <w:p w14:paraId="28EF51EF">
                  <w:pPr>
                    <w:pStyle w:val="29"/>
                  </w:pPr>
                  <w:r>
                    <w:t>喷涂印刷单元</w:t>
                  </w:r>
                </w:p>
              </w:tc>
              <w:tc>
                <w:tcPr>
                  <w:tcW w:w="531" w:type="pct"/>
                  <w:vMerge w:val="restart"/>
                  <w:vAlign w:val="center"/>
                </w:tcPr>
                <w:p w14:paraId="0026F619">
                  <w:pPr>
                    <w:pStyle w:val="29"/>
                  </w:pPr>
                  <w:r>
                    <w:t>喷漆</w:t>
                  </w:r>
                </w:p>
              </w:tc>
              <w:tc>
                <w:tcPr>
                  <w:tcW w:w="796" w:type="pct"/>
                  <w:vAlign w:val="center"/>
                </w:tcPr>
                <w:p w14:paraId="71BBE05D">
                  <w:pPr>
                    <w:pStyle w:val="29"/>
                  </w:pPr>
                  <w:r>
                    <w:t>水帘柜</w:t>
                  </w:r>
                </w:p>
              </w:tc>
              <w:tc>
                <w:tcPr>
                  <w:tcW w:w="590" w:type="pct"/>
                  <w:vAlign w:val="center"/>
                </w:tcPr>
                <w:p w14:paraId="4F9B5456">
                  <w:pPr>
                    <w:pStyle w:val="29"/>
                  </w:pPr>
                  <w:r>
                    <w:t>尺寸</w:t>
                  </w:r>
                </w:p>
              </w:tc>
              <w:tc>
                <w:tcPr>
                  <w:tcW w:w="1084" w:type="pct"/>
                  <w:vAlign w:val="center"/>
                </w:tcPr>
                <w:p w14:paraId="7B910686">
                  <w:pPr>
                    <w:pStyle w:val="29"/>
                  </w:pPr>
                  <w:r>
                    <w:t>4m×2m×1.8m；</w:t>
                  </w:r>
                </w:p>
                <w:p w14:paraId="14FF358C">
                  <w:pPr>
                    <w:pStyle w:val="29"/>
                  </w:pPr>
                  <w:r>
                    <w:t>有效水深：0.25m</w:t>
                  </w:r>
                </w:p>
              </w:tc>
              <w:tc>
                <w:tcPr>
                  <w:tcW w:w="492" w:type="pct"/>
                  <w:vAlign w:val="center"/>
                </w:tcPr>
                <w:p w14:paraId="69ACA462">
                  <w:pPr>
                    <w:pStyle w:val="29"/>
                  </w:pPr>
                  <w:r>
                    <w:rPr>
                      <w:rFonts w:hint="eastAsia"/>
                    </w:rPr>
                    <w:t>/</w:t>
                  </w:r>
                </w:p>
              </w:tc>
              <w:tc>
                <w:tcPr>
                  <w:tcW w:w="492" w:type="pct"/>
                  <w:vAlign w:val="center"/>
                </w:tcPr>
                <w:p w14:paraId="1DB5E838">
                  <w:pPr>
                    <w:pStyle w:val="29"/>
                  </w:pPr>
                  <w:r>
                    <w:t>4个</w:t>
                  </w:r>
                </w:p>
              </w:tc>
              <w:tc>
                <w:tcPr>
                  <w:tcW w:w="517" w:type="pct"/>
                  <w:vMerge w:val="restart"/>
                  <w:vAlign w:val="center"/>
                </w:tcPr>
                <w:p w14:paraId="669A7433">
                  <w:pPr>
                    <w:pStyle w:val="29"/>
                  </w:pPr>
                  <w:r>
                    <w:t>3楼生产车间</w:t>
                  </w:r>
                </w:p>
              </w:tc>
            </w:tr>
            <w:tr w14:paraId="47730F87">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340" w:hRule="atLeast"/>
              </w:trPr>
              <w:tc>
                <w:tcPr>
                  <w:tcW w:w="497" w:type="pct"/>
                  <w:vMerge w:val="continue"/>
                  <w:vAlign w:val="center"/>
                </w:tcPr>
                <w:p w14:paraId="20465505">
                  <w:pPr>
                    <w:pStyle w:val="29"/>
                  </w:pPr>
                </w:p>
              </w:tc>
              <w:tc>
                <w:tcPr>
                  <w:tcW w:w="531" w:type="pct"/>
                  <w:vMerge w:val="continue"/>
                  <w:vAlign w:val="center"/>
                </w:tcPr>
                <w:p w14:paraId="453861DB">
                  <w:pPr>
                    <w:pStyle w:val="29"/>
                  </w:pPr>
                </w:p>
              </w:tc>
              <w:tc>
                <w:tcPr>
                  <w:tcW w:w="796" w:type="pct"/>
                  <w:vAlign w:val="center"/>
                </w:tcPr>
                <w:p w14:paraId="1F0EDB83">
                  <w:pPr>
                    <w:pStyle w:val="29"/>
                  </w:pPr>
                  <w:r>
                    <w:rPr>
                      <w:rFonts w:hint="eastAsia"/>
                      <w:color w:val="EE0000"/>
                    </w:rPr>
                    <w:t>静电</w:t>
                  </w:r>
                  <w:r>
                    <w:t>喷枪</w:t>
                  </w:r>
                </w:p>
              </w:tc>
              <w:tc>
                <w:tcPr>
                  <w:tcW w:w="590" w:type="pct"/>
                  <w:vAlign w:val="center"/>
                </w:tcPr>
                <w:p w14:paraId="1807F8F9">
                  <w:pPr>
                    <w:pStyle w:val="29"/>
                  </w:pPr>
                  <w:r>
                    <w:t>喷涂流量</w:t>
                  </w:r>
                </w:p>
              </w:tc>
              <w:tc>
                <w:tcPr>
                  <w:tcW w:w="1084" w:type="pct"/>
                  <w:vAlign w:val="center"/>
                </w:tcPr>
                <w:p w14:paraId="04E72DC5">
                  <w:pPr>
                    <w:pStyle w:val="29"/>
                  </w:pPr>
                  <w:r>
                    <w:t>0.55</w:t>
                  </w:r>
                </w:p>
              </w:tc>
              <w:tc>
                <w:tcPr>
                  <w:tcW w:w="492" w:type="pct"/>
                  <w:vAlign w:val="center"/>
                </w:tcPr>
                <w:p w14:paraId="55D8956B">
                  <w:pPr>
                    <w:pStyle w:val="29"/>
                  </w:pPr>
                  <w:r>
                    <w:t>kg/h</w:t>
                  </w:r>
                </w:p>
              </w:tc>
              <w:tc>
                <w:tcPr>
                  <w:tcW w:w="492" w:type="pct"/>
                  <w:vAlign w:val="center"/>
                </w:tcPr>
                <w:p w14:paraId="33D392B8">
                  <w:pPr>
                    <w:pStyle w:val="29"/>
                  </w:pPr>
                  <w:r>
                    <w:t>8把</w:t>
                  </w:r>
                </w:p>
              </w:tc>
              <w:tc>
                <w:tcPr>
                  <w:tcW w:w="517" w:type="pct"/>
                  <w:vMerge w:val="continue"/>
                  <w:vAlign w:val="center"/>
                </w:tcPr>
                <w:p w14:paraId="56B06081">
                  <w:pPr>
                    <w:pStyle w:val="29"/>
                  </w:pPr>
                </w:p>
              </w:tc>
            </w:tr>
            <w:tr w14:paraId="6660C37A">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340" w:hRule="atLeast"/>
              </w:trPr>
              <w:tc>
                <w:tcPr>
                  <w:tcW w:w="497" w:type="pct"/>
                  <w:vMerge w:val="continue"/>
                  <w:vAlign w:val="center"/>
                </w:tcPr>
                <w:p w14:paraId="24277FA4">
                  <w:pPr>
                    <w:pStyle w:val="29"/>
                  </w:pPr>
                </w:p>
              </w:tc>
              <w:tc>
                <w:tcPr>
                  <w:tcW w:w="531" w:type="pct"/>
                  <w:vMerge w:val="continue"/>
                  <w:vAlign w:val="center"/>
                </w:tcPr>
                <w:p w14:paraId="1A588900">
                  <w:pPr>
                    <w:pStyle w:val="29"/>
                  </w:pPr>
                </w:p>
              </w:tc>
              <w:tc>
                <w:tcPr>
                  <w:tcW w:w="796" w:type="pct"/>
                  <w:vAlign w:val="center"/>
                </w:tcPr>
                <w:p w14:paraId="518C9758">
                  <w:pPr>
                    <w:pStyle w:val="29"/>
                  </w:pPr>
                  <w:r>
                    <w:t>隧道炉</w:t>
                  </w:r>
                </w:p>
              </w:tc>
              <w:tc>
                <w:tcPr>
                  <w:tcW w:w="590" w:type="pct"/>
                  <w:vAlign w:val="center"/>
                </w:tcPr>
                <w:p w14:paraId="44E50D10">
                  <w:pPr>
                    <w:pStyle w:val="29"/>
                    <w:rPr>
                      <w:color w:val="EE0000"/>
                    </w:rPr>
                  </w:pPr>
                  <w:r>
                    <w:rPr>
                      <w:rFonts w:hint="eastAsia"/>
                      <w:color w:val="EE0000"/>
                    </w:rPr>
                    <w:t>有效体积</w:t>
                  </w:r>
                </w:p>
                <w:p w14:paraId="2232E9BE">
                  <w:pPr>
                    <w:pStyle w:val="29"/>
                    <w:rPr>
                      <w:color w:val="EE0000"/>
                    </w:rPr>
                  </w:pPr>
                  <w:r>
                    <w:rPr>
                      <w:rFonts w:hint="eastAsia"/>
                      <w:color w:val="EE0000"/>
                    </w:rPr>
                    <w:t>烘干温度</w:t>
                  </w:r>
                </w:p>
                <w:p w14:paraId="1996FCB6">
                  <w:pPr>
                    <w:pStyle w:val="29"/>
                  </w:pPr>
                  <w:r>
                    <w:rPr>
                      <w:rFonts w:hint="eastAsia"/>
                      <w:color w:val="EE0000"/>
                    </w:rPr>
                    <w:t>能源</w:t>
                  </w:r>
                </w:p>
              </w:tc>
              <w:tc>
                <w:tcPr>
                  <w:tcW w:w="1084" w:type="pct"/>
                  <w:vAlign w:val="center"/>
                </w:tcPr>
                <w:p w14:paraId="08C13684">
                  <w:pPr>
                    <w:pStyle w:val="29"/>
                  </w:pPr>
                  <w:r>
                    <w:t>10m*1.0m*2m</w:t>
                  </w:r>
                </w:p>
                <w:p w14:paraId="7755159B">
                  <w:pPr>
                    <w:pStyle w:val="29"/>
                    <w:rPr>
                      <w:color w:val="EE0000"/>
                    </w:rPr>
                  </w:pPr>
                  <w:r>
                    <w:rPr>
                      <w:rFonts w:hint="eastAsia"/>
                      <w:color w:val="EE0000"/>
                    </w:rPr>
                    <w:t>60-80摄氏度</w:t>
                  </w:r>
                </w:p>
                <w:p w14:paraId="5069A19E">
                  <w:pPr>
                    <w:pStyle w:val="29"/>
                  </w:pPr>
                  <w:r>
                    <w:rPr>
                      <w:rFonts w:hint="eastAsia"/>
                      <w:color w:val="EE0000"/>
                    </w:rPr>
                    <w:t>电能</w:t>
                  </w:r>
                </w:p>
              </w:tc>
              <w:tc>
                <w:tcPr>
                  <w:tcW w:w="492" w:type="pct"/>
                  <w:vAlign w:val="center"/>
                </w:tcPr>
                <w:p w14:paraId="36F546A4">
                  <w:pPr>
                    <w:pStyle w:val="29"/>
                  </w:pPr>
                  <w:r>
                    <w:rPr>
                      <w:rFonts w:hint="eastAsia"/>
                    </w:rPr>
                    <w:t>/</w:t>
                  </w:r>
                </w:p>
              </w:tc>
              <w:tc>
                <w:tcPr>
                  <w:tcW w:w="492" w:type="pct"/>
                  <w:vAlign w:val="center"/>
                </w:tcPr>
                <w:p w14:paraId="7F69F985">
                  <w:pPr>
                    <w:pStyle w:val="29"/>
                  </w:pPr>
                  <w:r>
                    <w:rPr>
                      <w:rFonts w:hint="eastAsia"/>
                    </w:rPr>
                    <w:t>2</w:t>
                  </w:r>
                  <w:r>
                    <w:t>个</w:t>
                  </w:r>
                </w:p>
              </w:tc>
              <w:tc>
                <w:tcPr>
                  <w:tcW w:w="517" w:type="pct"/>
                  <w:vMerge w:val="continue"/>
                  <w:vAlign w:val="center"/>
                </w:tcPr>
                <w:p w14:paraId="1F965C54">
                  <w:pPr>
                    <w:pStyle w:val="29"/>
                  </w:pPr>
                </w:p>
              </w:tc>
            </w:tr>
            <w:tr w14:paraId="130B1CC7">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340" w:hRule="atLeast"/>
              </w:trPr>
              <w:tc>
                <w:tcPr>
                  <w:tcW w:w="497" w:type="pct"/>
                  <w:vMerge w:val="continue"/>
                  <w:vAlign w:val="center"/>
                </w:tcPr>
                <w:p w14:paraId="29380BAB">
                  <w:pPr>
                    <w:pStyle w:val="29"/>
                  </w:pPr>
                </w:p>
              </w:tc>
              <w:tc>
                <w:tcPr>
                  <w:tcW w:w="531" w:type="pct"/>
                  <w:vMerge w:val="restart"/>
                  <w:vAlign w:val="center"/>
                </w:tcPr>
                <w:p w14:paraId="66246B9F">
                  <w:pPr>
                    <w:pStyle w:val="29"/>
                  </w:pPr>
                  <w:r>
                    <w:t>印刷</w:t>
                  </w:r>
                </w:p>
              </w:tc>
              <w:tc>
                <w:tcPr>
                  <w:tcW w:w="796" w:type="pct"/>
                  <w:vAlign w:val="center"/>
                </w:tcPr>
                <w:p w14:paraId="1E419E10">
                  <w:pPr>
                    <w:pStyle w:val="29"/>
                  </w:pPr>
                  <w:r>
                    <w:t>移印机</w:t>
                  </w:r>
                </w:p>
              </w:tc>
              <w:tc>
                <w:tcPr>
                  <w:tcW w:w="590" w:type="pct"/>
                  <w:vAlign w:val="center"/>
                </w:tcPr>
                <w:p w14:paraId="5659837C">
                  <w:pPr>
                    <w:pStyle w:val="29"/>
                  </w:pPr>
                  <w:r>
                    <w:t>功率</w:t>
                  </w:r>
                </w:p>
              </w:tc>
              <w:tc>
                <w:tcPr>
                  <w:tcW w:w="1084" w:type="pct"/>
                  <w:vAlign w:val="center"/>
                </w:tcPr>
                <w:p w14:paraId="43160450">
                  <w:pPr>
                    <w:pStyle w:val="29"/>
                  </w:pPr>
                  <w:r>
                    <w:t>1</w:t>
                  </w:r>
                </w:p>
              </w:tc>
              <w:tc>
                <w:tcPr>
                  <w:tcW w:w="492" w:type="pct"/>
                  <w:vAlign w:val="center"/>
                </w:tcPr>
                <w:p w14:paraId="7C6D1ACC">
                  <w:pPr>
                    <w:pStyle w:val="29"/>
                  </w:pPr>
                  <w:r>
                    <w:t>kw</w:t>
                  </w:r>
                  <w:r>
                    <w:rPr>
                      <w:rFonts w:hint="eastAsia"/>
                    </w:rPr>
                    <w:t>h</w:t>
                  </w:r>
                </w:p>
              </w:tc>
              <w:tc>
                <w:tcPr>
                  <w:tcW w:w="492" w:type="pct"/>
                  <w:vAlign w:val="center"/>
                </w:tcPr>
                <w:p w14:paraId="3EB049DA">
                  <w:pPr>
                    <w:pStyle w:val="29"/>
                  </w:pPr>
                  <w:r>
                    <w:t>6台</w:t>
                  </w:r>
                </w:p>
              </w:tc>
              <w:tc>
                <w:tcPr>
                  <w:tcW w:w="517" w:type="pct"/>
                  <w:vMerge w:val="restart"/>
                  <w:vAlign w:val="center"/>
                </w:tcPr>
                <w:p w14:paraId="0C0E1367">
                  <w:pPr>
                    <w:pStyle w:val="29"/>
                  </w:pPr>
                  <w:r>
                    <w:t>3楼生产车间</w:t>
                  </w:r>
                </w:p>
              </w:tc>
            </w:tr>
            <w:tr w14:paraId="62B0BAB3">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340" w:hRule="atLeast"/>
              </w:trPr>
              <w:tc>
                <w:tcPr>
                  <w:tcW w:w="497" w:type="pct"/>
                  <w:vMerge w:val="continue"/>
                  <w:vAlign w:val="center"/>
                </w:tcPr>
                <w:p w14:paraId="2C5BC746">
                  <w:pPr>
                    <w:pStyle w:val="29"/>
                  </w:pPr>
                </w:p>
              </w:tc>
              <w:tc>
                <w:tcPr>
                  <w:tcW w:w="531" w:type="pct"/>
                  <w:vMerge w:val="continue"/>
                  <w:vAlign w:val="center"/>
                </w:tcPr>
                <w:p w14:paraId="57F89F1F">
                  <w:pPr>
                    <w:pStyle w:val="29"/>
                  </w:pPr>
                </w:p>
              </w:tc>
              <w:tc>
                <w:tcPr>
                  <w:tcW w:w="796" w:type="pct"/>
                  <w:vAlign w:val="center"/>
                </w:tcPr>
                <w:p w14:paraId="77FD482B">
                  <w:pPr>
                    <w:pStyle w:val="29"/>
                  </w:pPr>
                  <w:r>
                    <w:t>手动丝印机</w:t>
                  </w:r>
                </w:p>
              </w:tc>
              <w:tc>
                <w:tcPr>
                  <w:tcW w:w="590" w:type="pct"/>
                  <w:vAlign w:val="center"/>
                </w:tcPr>
                <w:p w14:paraId="4AC686A4">
                  <w:pPr>
                    <w:pStyle w:val="29"/>
                  </w:pPr>
                  <w:r>
                    <w:t>/</w:t>
                  </w:r>
                </w:p>
              </w:tc>
              <w:tc>
                <w:tcPr>
                  <w:tcW w:w="1084" w:type="pct"/>
                  <w:vAlign w:val="center"/>
                </w:tcPr>
                <w:p w14:paraId="3D282682">
                  <w:pPr>
                    <w:pStyle w:val="29"/>
                  </w:pPr>
                  <w:r>
                    <w:t>手动</w:t>
                  </w:r>
                </w:p>
              </w:tc>
              <w:tc>
                <w:tcPr>
                  <w:tcW w:w="492" w:type="pct"/>
                  <w:vAlign w:val="center"/>
                </w:tcPr>
                <w:p w14:paraId="13F8D3E2">
                  <w:pPr>
                    <w:pStyle w:val="29"/>
                  </w:pPr>
                  <w:r>
                    <w:rPr>
                      <w:rFonts w:hint="eastAsia"/>
                    </w:rPr>
                    <w:t>/</w:t>
                  </w:r>
                </w:p>
              </w:tc>
              <w:tc>
                <w:tcPr>
                  <w:tcW w:w="492" w:type="pct"/>
                  <w:vAlign w:val="center"/>
                </w:tcPr>
                <w:p w14:paraId="485A1667">
                  <w:pPr>
                    <w:pStyle w:val="29"/>
                  </w:pPr>
                  <w:r>
                    <w:t>10台</w:t>
                  </w:r>
                </w:p>
              </w:tc>
              <w:tc>
                <w:tcPr>
                  <w:tcW w:w="517" w:type="pct"/>
                  <w:vMerge w:val="continue"/>
                  <w:vAlign w:val="center"/>
                </w:tcPr>
                <w:p w14:paraId="431A4AB4">
                  <w:pPr>
                    <w:pStyle w:val="29"/>
                  </w:pPr>
                </w:p>
              </w:tc>
            </w:tr>
            <w:tr w14:paraId="1C273004">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340" w:hRule="atLeast"/>
              </w:trPr>
              <w:tc>
                <w:tcPr>
                  <w:tcW w:w="497" w:type="pct"/>
                  <w:vMerge w:val="restart"/>
                  <w:vAlign w:val="center"/>
                </w:tcPr>
                <w:p w14:paraId="7998ACFE">
                  <w:pPr>
                    <w:pStyle w:val="29"/>
                  </w:pPr>
                  <w:r>
                    <w:t>生产辅助单元</w:t>
                  </w:r>
                </w:p>
              </w:tc>
              <w:tc>
                <w:tcPr>
                  <w:tcW w:w="531" w:type="pct"/>
                  <w:vAlign w:val="center"/>
                </w:tcPr>
                <w:p w14:paraId="7131795E">
                  <w:pPr>
                    <w:pStyle w:val="29"/>
                  </w:pPr>
                  <w:r>
                    <w:t>/</w:t>
                  </w:r>
                </w:p>
              </w:tc>
              <w:tc>
                <w:tcPr>
                  <w:tcW w:w="796" w:type="pct"/>
                  <w:vAlign w:val="center"/>
                </w:tcPr>
                <w:p w14:paraId="1209F6F9">
                  <w:pPr>
                    <w:pStyle w:val="29"/>
                  </w:pPr>
                  <w:r>
                    <w:t>空压机</w:t>
                  </w:r>
                </w:p>
              </w:tc>
              <w:tc>
                <w:tcPr>
                  <w:tcW w:w="590" w:type="pct"/>
                  <w:vAlign w:val="center"/>
                </w:tcPr>
                <w:p w14:paraId="2354709F">
                  <w:pPr>
                    <w:pStyle w:val="29"/>
                  </w:pPr>
                  <w:r>
                    <w:t>功率</w:t>
                  </w:r>
                </w:p>
              </w:tc>
              <w:tc>
                <w:tcPr>
                  <w:tcW w:w="1084" w:type="pct"/>
                  <w:vAlign w:val="center"/>
                </w:tcPr>
                <w:p w14:paraId="79714625">
                  <w:pPr>
                    <w:pStyle w:val="29"/>
                  </w:pPr>
                  <w:r>
                    <w:t>20</w:t>
                  </w:r>
                </w:p>
              </w:tc>
              <w:tc>
                <w:tcPr>
                  <w:tcW w:w="492" w:type="pct"/>
                  <w:vAlign w:val="center"/>
                </w:tcPr>
                <w:p w14:paraId="656CF8F0">
                  <w:pPr>
                    <w:pStyle w:val="29"/>
                  </w:pPr>
                  <w:r>
                    <w:t>kw</w:t>
                  </w:r>
                  <w:r>
                    <w:rPr>
                      <w:rFonts w:hint="eastAsia"/>
                    </w:rPr>
                    <w:t>h</w:t>
                  </w:r>
                </w:p>
              </w:tc>
              <w:tc>
                <w:tcPr>
                  <w:tcW w:w="492" w:type="pct"/>
                  <w:vAlign w:val="center"/>
                </w:tcPr>
                <w:p w14:paraId="099CF71A">
                  <w:pPr>
                    <w:pStyle w:val="29"/>
                  </w:pPr>
                  <w:r>
                    <w:t>3台</w:t>
                  </w:r>
                </w:p>
              </w:tc>
              <w:tc>
                <w:tcPr>
                  <w:tcW w:w="517" w:type="pct"/>
                  <w:vAlign w:val="center"/>
                </w:tcPr>
                <w:p w14:paraId="65C04515">
                  <w:pPr>
                    <w:pStyle w:val="29"/>
                  </w:pPr>
                  <w:r>
                    <w:t>/</w:t>
                  </w:r>
                </w:p>
              </w:tc>
            </w:tr>
            <w:tr w14:paraId="07CC37F1">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340" w:hRule="atLeast"/>
              </w:trPr>
              <w:tc>
                <w:tcPr>
                  <w:tcW w:w="497" w:type="pct"/>
                  <w:vMerge w:val="continue"/>
                  <w:vAlign w:val="center"/>
                </w:tcPr>
                <w:p w14:paraId="29F5722C">
                  <w:pPr>
                    <w:pStyle w:val="29"/>
                  </w:pPr>
                </w:p>
              </w:tc>
              <w:tc>
                <w:tcPr>
                  <w:tcW w:w="531" w:type="pct"/>
                  <w:vAlign w:val="center"/>
                </w:tcPr>
                <w:p w14:paraId="4829C0B3">
                  <w:pPr>
                    <w:pStyle w:val="29"/>
                  </w:pPr>
                  <w:r>
                    <w:t>/</w:t>
                  </w:r>
                </w:p>
              </w:tc>
              <w:tc>
                <w:tcPr>
                  <w:tcW w:w="796" w:type="pct"/>
                  <w:vAlign w:val="center"/>
                </w:tcPr>
                <w:p w14:paraId="04D26E25">
                  <w:pPr>
                    <w:pStyle w:val="29"/>
                  </w:pPr>
                  <w:r>
                    <w:t>行吊</w:t>
                  </w:r>
                </w:p>
              </w:tc>
              <w:tc>
                <w:tcPr>
                  <w:tcW w:w="590" w:type="pct"/>
                  <w:vAlign w:val="center"/>
                </w:tcPr>
                <w:p w14:paraId="17D83020">
                  <w:pPr>
                    <w:pStyle w:val="29"/>
                  </w:pPr>
                  <w:r>
                    <w:t>/</w:t>
                  </w:r>
                </w:p>
              </w:tc>
              <w:tc>
                <w:tcPr>
                  <w:tcW w:w="1084" w:type="pct"/>
                  <w:vAlign w:val="center"/>
                </w:tcPr>
                <w:p w14:paraId="5BBAF552">
                  <w:pPr>
                    <w:pStyle w:val="29"/>
                  </w:pPr>
                  <w:r>
                    <w:t>/</w:t>
                  </w:r>
                </w:p>
              </w:tc>
              <w:tc>
                <w:tcPr>
                  <w:tcW w:w="492" w:type="pct"/>
                  <w:vAlign w:val="center"/>
                </w:tcPr>
                <w:p w14:paraId="594E1984">
                  <w:pPr>
                    <w:pStyle w:val="29"/>
                  </w:pPr>
                  <w:r>
                    <w:rPr>
                      <w:rFonts w:hint="eastAsia"/>
                    </w:rPr>
                    <w:t>/</w:t>
                  </w:r>
                </w:p>
              </w:tc>
              <w:tc>
                <w:tcPr>
                  <w:tcW w:w="492" w:type="pct"/>
                  <w:vAlign w:val="center"/>
                </w:tcPr>
                <w:p w14:paraId="2E621F62">
                  <w:pPr>
                    <w:pStyle w:val="29"/>
                  </w:pPr>
                  <w:r>
                    <w:t>4个</w:t>
                  </w:r>
                </w:p>
              </w:tc>
              <w:tc>
                <w:tcPr>
                  <w:tcW w:w="517" w:type="pct"/>
                  <w:vAlign w:val="center"/>
                </w:tcPr>
                <w:p w14:paraId="055ACF38">
                  <w:pPr>
                    <w:pStyle w:val="29"/>
                  </w:pPr>
                  <w:r>
                    <w:t>/</w:t>
                  </w:r>
                </w:p>
              </w:tc>
            </w:tr>
            <w:tr w14:paraId="3559095A">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340" w:hRule="atLeast"/>
              </w:trPr>
              <w:tc>
                <w:tcPr>
                  <w:tcW w:w="497" w:type="pct"/>
                  <w:vMerge w:val="continue"/>
                  <w:vAlign w:val="center"/>
                </w:tcPr>
                <w:p w14:paraId="41C299EE">
                  <w:pPr>
                    <w:pStyle w:val="29"/>
                  </w:pPr>
                </w:p>
              </w:tc>
              <w:tc>
                <w:tcPr>
                  <w:tcW w:w="531" w:type="pct"/>
                  <w:vAlign w:val="center"/>
                </w:tcPr>
                <w:p w14:paraId="619815B4">
                  <w:pPr>
                    <w:pStyle w:val="29"/>
                  </w:pPr>
                  <w:r>
                    <w:t>冷却</w:t>
                  </w:r>
                </w:p>
              </w:tc>
              <w:tc>
                <w:tcPr>
                  <w:tcW w:w="796" w:type="pct"/>
                  <w:vAlign w:val="center"/>
                </w:tcPr>
                <w:p w14:paraId="228576DB">
                  <w:pPr>
                    <w:pStyle w:val="29"/>
                  </w:pPr>
                  <w:r>
                    <w:rPr>
                      <w:bCs/>
                    </w:rPr>
                    <w:t>冷却塔</w:t>
                  </w:r>
                </w:p>
              </w:tc>
              <w:tc>
                <w:tcPr>
                  <w:tcW w:w="590" w:type="pct"/>
                  <w:vAlign w:val="center"/>
                </w:tcPr>
                <w:p w14:paraId="752D6893">
                  <w:pPr>
                    <w:pStyle w:val="29"/>
                  </w:pPr>
                  <w:r>
                    <w:rPr>
                      <w:bCs/>
                    </w:rPr>
                    <w:t>循环水量</w:t>
                  </w:r>
                </w:p>
              </w:tc>
              <w:tc>
                <w:tcPr>
                  <w:tcW w:w="1084" w:type="pct"/>
                  <w:vAlign w:val="center"/>
                </w:tcPr>
                <w:p w14:paraId="6A11D85E">
                  <w:pPr>
                    <w:pStyle w:val="29"/>
                  </w:pPr>
                  <w:r>
                    <w:t>3</w:t>
                  </w:r>
                </w:p>
              </w:tc>
              <w:tc>
                <w:tcPr>
                  <w:tcW w:w="492" w:type="pct"/>
                  <w:vAlign w:val="center"/>
                </w:tcPr>
                <w:p w14:paraId="3B4DBFF2">
                  <w:pPr>
                    <w:pStyle w:val="29"/>
                    <w:rPr>
                      <w:bCs/>
                    </w:rPr>
                  </w:pPr>
                  <w:r>
                    <w:t>m³/h</w:t>
                  </w:r>
                </w:p>
              </w:tc>
              <w:tc>
                <w:tcPr>
                  <w:tcW w:w="492" w:type="pct"/>
                  <w:vAlign w:val="center"/>
                </w:tcPr>
                <w:p w14:paraId="49A68FD9">
                  <w:pPr>
                    <w:pStyle w:val="29"/>
                  </w:pPr>
                  <w:r>
                    <w:rPr>
                      <w:bCs/>
                    </w:rPr>
                    <w:t>1个</w:t>
                  </w:r>
                </w:p>
              </w:tc>
              <w:tc>
                <w:tcPr>
                  <w:tcW w:w="517" w:type="pct"/>
                  <w:vAlign w:val="center"/>
                </w:tcPr>
                <w:p w14:paraId="15E961C9">
                  <w:pPr>
                    <w:pStyle w:val="29"/>
                  </w:pPr>
                  <w:r>
                    <w:t>/</w:t>
                  </w:r>
                </w:p>
              </w:tc>
            </w:tr>
            <w:tr w14:paraId="77D76434">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340" w:hRule="atLeast"/>
              </w:trPr>
              <w:tc>
                <w:tcPr>
                  <w:tcW w:w="497" w:type="pct"/>
                  <w:vMerge w:val="continue"/>
                  <w:vAlign w:val="center"/>
                </w:tcPr>
                <w:p w14:paraId="48747856">
                  <w:pPr>
                    <w:pStyle w:val="29"/>
                  </w:pPr>
                </w:p>
              </w:tc>
              <w:tc>
                <w:tcPr>
                  <w:tcW w:w="531" w:type="pct"/>
                  <w:vAlign w:val="center"/>
                </w:tcPr>
                <w:p w14:paraId="37395395">
                  <w:pPr>
                    <w:pStyle w:val="29"/>
                  </w:pPr>
                  <w:r>
                    <w:t>/</w:t>
                  </w:r>
                </w:p>
              </w:tc>
              <w:tc>
                <w:tcPr>
                  <w:tcW w:w="796" w:type="pct"/>
                  <w:vAlign w:val="center"/>
                </w:tcPr>
                <w:p w14:paraId="2D485AE4">
                  <w:pPr>
                    <w:pStyle w:val="29"/>
                  </w:pPr>
                  <w:r>
                    <w:rPr>
                      <w:bCs/>
                    </w:rPr>
                    <w:t>循环水池</w:t>
                  </w:r>
                </w:p>
              </w:tc>
              <w:tc>
                <w:tcPr>
                  <w:tcW w:w="590" w:type="pct"/>
                  <w:vAlign w:val="center"/>
                </w:tcPr>
                <w:p w14:paraId="4BD3958C">
                  <w:pPr>
                    <w:pStyle w:val="29"/>
                  </w:pPr>
                  <w:r>
                    <w:rPr>
                      <w:bCs/>
                    </w:rPr>
                    <w:t>尺寸</w:t>
                  </w:r>
                </w:p>
              </w:tc>
              <w:tc>
                <w:tcPr>
                  <w:tcW w:w="1084" w:type="pct"/>
                  <w:vAlign w:val="center"/>
                </w:tcPr>
                <w:p w14:paraId="0F1D08F5">
                  <w:pPr>
                    <w:pStyle w:val="29"/>
                  </w:pPr>
                  <w:r>
                    <w:rPr>
                      <w:bCs/>
                    </w:rPr>
                    <w:t>3m*1.5m*1.5m</w:t>
                  </w:r>
                </w:p>
              </w:tc>
              <w:tc>
                <w:tcPr>
                  <w:tcW w:w="492" w:type="pct"/>
                  <w:vAlign w:val="center"/>
                </w:tcPr>
                <w:p w14:paraId="3BEA6E78">
                  <w:pPr>
                    <w:pStyle w:val="29"/>
                    <w:rPr>
                      <w:bCs/>
                    </w:rPr>
                  </w:pPr>
                  <w:r>
                    <w:rPr>
                      <w:rFonts w:hint="eastAsia"/>
                      <w:bCs/>
                    </w:rPr>
                    <w:t>/</w:t>
                  </w:r>
                </w:p>
              </w:tc>
              <w:tc>
                <w:tcPr>
                  <w:tcW w:w="492" w:type="pct"/>
                  <w:vAlign w:val="center"/>
                </w:tcPr>
                <w:p w14:paraId="67ED6476">
                  <w:pPr>
                    <w:pStyle w:val="29"/>
                  </w:pPr>
                  <w:r>
                    <w:rPr>
                      <w:bCs/>
                    </w:rPr>
                    <w:t>1个</w:t>
                  </w:r>
                </w:p>
              </w:tc>
              <w:tc>
                <w:tcPr>
                  <w:tcW w:w="517" w:type="pct"/>
                  <w:vAlign w:val="center"/>
                </w:tcPr>
                <w:p w14:paraId="1933EB52">
                  <w:pPr>
                    <w:pStyle w:val="29"/>
                  </w:pPr>
                  <w:r>
                    <w:t>/</w:t>
                  </w:r>
                </w:p>
              </w:tc>
            </w:tr>
            <w:tr w14:paraId="0A7A671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340" w:hRule="atLeast"/>
              </w:trPr>
              <w:tc>
                <w:tcPr>
                  <w:tcW w:w="497" w:type="pct"/>
                  <w:vMerge w:val="restart"/>
                  <w:vAlign w:val="center"/>
                </w:tcPr>
                <w:p w14:paraId="322956FE">
                  <w:pPr>
                    <w:pStyle w:val="29"/>
                  </w:pPr>
                  <w:r>
                    <w:rPr>
                      <w:rFonts w:hint="eastAsia"/>
                      <w:color w:val="EE0000"/>
                    </w:rPr>
                    <w:t>环保设施</w:t>
                  </w:r>
                </w:p>
              </w:tc>
              <w:tc>
                <w:tcPr>
                  <w:tcW w:w="531" w:type="pct"/>
                </w:tcPr>
                <w:p w14:paraId="76FB0E7C">
                  <w:pPr>
                    <w:pStyle w:val="29"/>
                  </w:pPr>
                  <w:r>
                    <w:t>/</w:t>
                  </w:r>
                </w:p>
              </w:tc>
              <w:tc>
                <w:tcPr>
                  <w:tcW w:w="796" w:type="pct"/>
                  <w:vAlign w:val="center"/>
                </w:tcPr>
                <w:p w14:paraId="18679E70">
                  <w:pPr>
                    <w:pStyle w:val="29"/>
                    <w:rPr>
                      <w:bCs/>
                      <w:color w:val="EE0000"/>
                    </w:rPr>
                  </w:pPr>
                  <w:r>
                    <w:rPr>
                      <w:rFonts w:hint="eastAsia"/>
                      <w:bCs/>
                      <w:color w:val="EE0000"/>
                    </w:rPr>
                    <w:t>水喷淋</w:t>
                  </w:r>
                </w:p>
              </w:tc>
              <w:tc>
                <w:tcPr>
                  <w:tcW w:w="590" w:type="pct"/>
                  <w:vAlign w:val="center"/>
                </w:tcPr>
                <w:p w14:paraId="5A35FE09">
                  <w:pPr>
                    <w:pStyle w:val="29"/>
                    <w:rPr>
                      <w:color w:val="EE0000"/>
                    </w:rPr>
                  </w:pPr>
                  <w:r>
                    <w:rPr>
                      <w:color w:val="EE0000"/>
                    </w:rPr>
                    <w:t>尺寸</w:t>
                  </w:r>
                </w:p>
              </w:tc>
              <w:tc>
                <w:tcPr>
                  <w:tcW w:w="1084" w:type="pct"/>
                  <w:vAlign w:val="center"/>
                </w:tcPr>
                <w:p w14:paraId="48F07235">
                  <w:pPr>
                    <w:pStyle w:val="29"/>
                    <w:rPr>
                      <w:rFonts w:asciiTheme="majorBidi" w:hAnsiTheme="majorBidi" w:eastAsiaTheme="minorEastAsia" w:cstheme="majorBidi"/>
                      <w:color w:val="EE0000"/>
                      <w:kern w:val="2"/>
                    </w:rPr>
                  </w:pPr>
                  <w:r>
                    <w:rPr>
                      <w:rFonts w:hint="eastAsia" w:asciiTheme="majorBidi" w:hAnsiTheme="majorBidi" w:eastAsiaTheme="minorEastAsia" w:cstheme="majorBidi"/>
                      <w:color w:val="EE0000"/>
                      <w:kern w:val="2"/>
                    </w:rPr>
                    <w:t>储水池Φ1800×0.7m</w:t>
                  </w:r>
                </w:p>
                <w:p w14:paraId="4B5A316C">
                  <w:pPr>
                    <w:pStyle w:val="29"/>
                    <w:rPr>
                      <w:rFonts w:asciiTheme="majorBidi" w:hAnsiTheme="majorBidi" w:eastAsiaTheme="minorEastAsia" w:cstheme="majorBidi"/>
                      <w:color w:val="EE0000"/>
                      <w:kern w:val="2"/>
                      <w:vertAlign w:val="superscript"/>
                    </w:rPr>
                  </w:pPr>
                  <w:r>
                    <w:rPr>
                      <w:rFonts w:hint="eastAsia" w:asciiTheme="majorBidi" w:hAnsiTheme="majorBidi" w:eastAsiaTheme="minorEastAsia" w:cstheme="majorBidi"/>
                      <w:color w:val="0000FF"/>
                      <w:kern w:val="2"/>
                    </w:rPr>
                    <w:t>有效</w:t>
                  </w:r>
                  <w:r>
                    <w:rPr>
                      <w:rFonts w:hint="eastAsia" w:asciiTheme="majorBidi" w:hAnsiTheme="majorBidi" w:eastAsiaTheme="minorEastAsia" w:cstheme="majorBidi"/>
                      <w:color w:val="EE0000"/>
                      <w:kern w:val="2"/>
                    </w:rPr>
                    <w:t>储水量：1.5m³</w:t>
                  </w:r>
                </w:p>
                <w:p w14:paraId="645F86D2">
                  <w:pPr>
                    <w:pStyle w:val="29"/>
                    <w:rPr>
                      <w:bCs/>
                      <w:color w:val="EE0000"/>
                    </w:rPr>
                  </w:pPr>
                  <w:r>
                    <w:rPr>
                      <w:rFonts w:hint="eastAsia" w:asciiTheme="majorBidi" w:hAnsiTheme="majorBidi" w:eastAsiaTheme="minorEastAsia" w:cstheme="majorBidi"/>
                      <w:color w:val="EE0000"/>
                      <w:kern w:val="2"/>
                    </w:rPr>
                    <w:t>循环水量：5m³/h</w:t>
                  </w:r>
                </w:p>
              </w:tc>
              <w:tc>
                <w:tcPr>
                  <w:tcW w:w="492" w:type="pct"/>
                  <w:vAlign w:val="center"/>
                </w:tcPr>
                <w:p w14:paraId="3FC4012D">
                  <w:pPr>
                    <w:pStyle w:val="29"/>
                    <w:rPr>
                      <w:bCs/>
                      <w:color w:val="EE0000"/>
                    </w:rPr>
                  </w:pPr>
                  <w:r>
                    <w:rPr>
                      <w:rFonts w:hint="eastAsia"/>
                      <w:bCs/>
                      <w:color w:val="EE0000"/>
                    </w:rPr>
                    <w:t>/</w:t>
                  </w:r>
                </w:p>
              </w:tc>
              <w:tc>
                <w:tcPr>
                  <w:tcW w:w="492" w:type="pct"/>
                  <w:vAlign w:val="center"/>
                </w:tcPr>
                <w:p w14:paraId="5D6E01D9">
                  <w:pPr>
                    <w:pStyle w:val="29"/>
                    <w:rPr>
                      <w:bCs/>
                      <w:color w:val="EE0000"/>
                    </w:rPr>
                  </w:pPr>
                  <w:r>
                    <w:rPr>
                      <w:bCs/>
                      <w:color w:val="EE0000"/>
                    </w:rPr>
                    <w:t>1个</w:t>
                  </w:r>
                </w:p>
              </w:tc>
              <w:tc>
                <w:tcPr>
                  <w:tcW w:w="517" w:type="pct"/>
                  <w:vMerge w:val="restart"/>
                  <w:vAlign w:val="center"/>
                </w:tcPr>
                <w:p w14:paraId="6049CE40">
                  <w:pPr>
                    <w:pStyle w:val="29"/>
                  </w:pPr>
                  <w:r>
                    <w:rPr>
                      <w:rFonts w:hint="eastAsia"/>
                    </w:rPr>
                    <w:t>楼顶</w:t>
                  </w:r>
                </w:p>
              </w:tc>
            </w:tr>
            <w:tr w14:paraId="2FA75CF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340" w:hRule="atLeast"/>
              </w:trPr>
              <w:tc>
                <w:tcPr>
                  <w:tcW w:w="497" w:type="pct"/>
                  <w:vMerge w:val="continue"/>
                  <w:vAlign w:val="center"/>
                </w:tcPr>
                <w:p w14:paraId="36BCA3B6">
                  <w:pPr>
                    <w:pStyle w:val="29"/>
                  </w:pPr>
                </w:p>
              </w:tc>
              <w:tc>
                <w:tcPr>
                  <w:tcW w:w="531" w:type="pct"/>
                </w:tcPr>
                <w:p w14:paraId="7DE146EB">
                  <w:pPr>
                    <w:pStyle w:val="29"/>
                  </w:pPr>
                  <w:r>
                    <w:t>/</w:t>
                  </w:r>
                </w:p>
              </w:tc>
              <w:tc>
                <w:tcPr>
                  <w:tcW w:w="796" w:type="pct"/>
                  <w:vAlign w:val="center"/>
                </w:tcPr>
                <w:p w14:paraId="466AA25A">
                  <w:pPr>
                    <w:pStyle w:val="29"/>
                    <w:rPr>
                      <w:bCs/>
                      <w:color w:val="EE0000"/>
                    </w:rPr>
                  </w:pPr>
                  <w:r>
                    <w:rPr>
                      <w:rFonts w:hint="eastAsia"/>
                      <w:bCs/>
                      <w:color w:val="EE0000"/>
                    </w:rPr>
                    <w:t>活性炭箱</w:t>
                  </w:r>
                </w:p>
              </w:tc>
              <w:tc>
                <w:tcPr>
                  <w:tcW w:w="590" w:type="pct"/>
                  <w:vAlign w:val="center"/>
                </w:tcPr>
                <w:p w14:paraId="03E32FA4">
                  <w:pPr>
                    <w:pStyle w:val="29"/>
                    <w:rPr>
                      <w:color w:val="EE0000"/>
                    </w:rPr>
                  </w:pPr>
                  <w:r>
                    <w:rPr>
                      <w:color w:val="EE0000"/>
                    </w:rPr>
                    <w:t>尺寸</w:t>
                  </w:r>
                </w:p>
              </w:tc>
              <w:tc>
                <w:tcPr>
                  <w:tcW w:w="1084" w:type="pct"/>
                  <w:vAlign w:val="center"/>
                </w:tcPr>
                <w:p w14:paraId="3DA74AFE">
                  <w:pPr>
                    <w:pStyle w:val="29"/>
                    <w:rPr>
                      <w:bCs/>
                      <w:color w:val="EE0000"/>
                    </w:rPr>
                  </w:pPr>
                  <w:r>
                    <w:rPr>
                      <w:rFonts w:hint="eastAsia"/>
                      <w:bCs/>
                      <w:color w:val="EE0000"/>
                    </w:rPr>
                    <w:t>/</w:t>
                  </w:r>
                </w:p>
              </w:tc>
              <w:tc>
                <w:tcPr>
                  <w:tcW w:w="492" w:type="pct"/>
                  <w:vAlign w:val="center"/>
                </w:tcPr>
                <w:p w14:paraId="55F4D6C0">
                  <w:pPr>
                    <w:pStyle w:val="29"/>
                    <w:rPr>
                      <w:bCs/>
                      <w:color w:val="EE0000"/>
                    </w:rPr>
                  </w:pPr>
                  <w:r>
                    <w:rPr>
                      <w:rFonts w:hint="eastAsia"/>
                      <w:bCs/>
                      <w:color w:val="EE0000"/>
                    </w:rPr>
                    <w:t>/</w:t>
                  </w:r>
                </w:p>
              </w:tc>
              <w:tc>
                <w:tcPr>
                  <w:tcW w:w="492" w:type="pct"/>
                  <w:vAlign w:val="center"/>
                </w:tcPr>
                <w:p w14:paraId="2CDF73D8">
                  <w:pPr>
                    <w:pStyle w:val="29"/>
                    <w:rPr>
                      <w:bCs/>
                      <w:color w:val="EE0000"/>
                    </w:rPr>
                  </w:pPr>
                  <w:r>
                    <w:rPr>
                      <w:rFonts w:hint="eastAsia"/>
                      <w:bCs/>
                      <w:color w:val="EE0000"/>
                    </w:rPr>
                    <w:t>2</w:t>
                  </w:r>
                  <w:r>
                    <w:rPr>
                      <w:bCs/>
                      <w:color w:val="EE0000"/>
                    </w:rPr>
                    <w:t>个</w:t>
                  </w:r>
                </w:p>
              </w:tc>
              <w:tc>
                <w:tcPr>
                  <w:tcW w:w="517" w:type="pct"/>
                  <w:vMerge w:val="continue"/>
                  <w:vAlign w:val="center"/>
                </w:tcPr>
                <w:p w14:paraId="136BF51F">
                  <w:pPr>
                    <w:pStyle w:val="29"/>
                  </w:pPr>
                </w:p>
              </w:tc>
            </w:tr>
          </w:tbl>
          <w:p w14:paraId="02DF0B0D">
            <w:pPr>
              <w:ind w:firstLine="480"/>
              <w:rPr>
                <w:rFonts w:asciiTheme="majorBidi" w:hAnsiTheme="majorBidi" w:eastAsiaTheme="minorEastAsia" w:cstheme="majorBidi"/>
                <w:color w:val="000000" w:themeColor="text1"/>
                <w:kern w:val="2"/>
                <w:szCs w:val="21"/>
                <w14:textFill>
                  <w14:solidFill>
                    <w14:schemeClr w14:val="tx1"/>
                  </w14:solidFill>
                </w14:textFill>
              </w:rPr>
            </w:pPr>
            <w:r>
              <w:rPr>
                <w:rFonts w:asciiTheme="majorBidi" w:hAnsiTheme="majorBidi" w:eastAsiaTheme="minorEastAsia" w:cstheme="majorBidi"/>
                <w:color w:val="000000" w:themeColor="text1"/>
                <w:kern w:val="2"/>
                <w:szCs w:val="21"/>
                <w14:textFill>
                  <w14:solidFill>
                    <w14:schemeClr w14:val="tx1"/>
                  </w14:solidFill>
                </w14:textFill>
              </w:rPr>
              <w:t>产能匹配性分析：项目水帘柜配有8把喷枪，单把喷枪喷涂流量为0.55kg/h，根据企业资料，每天喷涂时间3小时，年工作300天，设计喷枪总喷涂量为3.96t/a，项目水性面漆年用量为3t/a（&lt;3.96t/a），满足要求。</w:t>
            </w:r>
          </w:p>
          <w:p w14:paraId="7534A754">
            <w:pPr>
              <w:ind w:firstLine="480"/>
              <w:rPr>
                <w:rFonts w:asciiTheme="majorBidi" w:hAnsiTheme="majorBidi" w:eastAsiaTheme="minorEastAsia" w:cstheme="majorBidi"/>
                <w:color w:val="000000" w:themeColor="text1"/>
                <w:kern w:val="2"/>
                <w:szCs w:val="21"/>
                <w14:textFill>
                  <w14:solidFill>
                    <w14:schemeClr w14:val="tx1"/>
                  </w14:solidFill>
                </w14:textFill>
              </w:rPr>
            </w:pPr>
            <w:r>
              <w:rPr>
                <w:rFonts w:hint="eastAsia" w:asciiTheme="majorBidi" w:hAnsiTheme="majorBidi" w:eastAsiaTheme="minorEastAsia" w:cstheme="majorBidi"/>
                <w:color w:val="EE0000"/>
                <w:kern w:val="2"/>
                <w:szCs w:val="21"/>
              </w:rPr>
              <w:t>项目注塑机共20台，每一</w:t>
            </w:r>
            <w:r>
              <w:rPr>
                <w:rFonts w:hint="eastAsia" w:asciiTheme="majorBidi" w:hAnsiTheme="majorBidi" w:eastAsiaTheme="minorEastAsia" w:cstheme="majorBidi"/>
                <w:color w:val="0000FF"/>
                <w:kern w:val="2"/>
                <w:szCs w:val="21"/>
              </w:rPr>
              <w:t>台</w:t>
            </w:r>
            <w:r>
              <w:rPr>
                <w:rFonts w:hint="eastAsia" w:asciiTheme="majorBidi" w:hAnsiTheme="majorBidi" w:eastAsiaTheme="minorEastAsia" w:cstheme="majorBidi"/>
                <w:color w:val="EE0000"/>
                <w:kern w:val="2"/>
                <w:szCs w:val="21"/>
              </w:rPr>
              <w:t>注塑机设备生产能力为40(件/h·台)，生产时间为16h/天，年工作300天，设备最大产量可达382万件。</w:t>
            </w:r>
            <w:r>
              <w:rPr>
                <w:rFonts w:hint="eastAsia"/>
                <w:color w:val="EE0000"/>
                <w:lang w:bidi="ar"/>
              </w:rPr>
              <w:t>本项目产品设计生产规模为塑胶台灯上盖60万个、下盖60万个，塑胶包装盒上盖40万个，下盖40万个；塑胶零件40万个，合计240万个，占设备最大产能的62.5%，未按设备最大产能进行项目规模申报，这是由于实际生产过程中，部分设备会出现故障维修而未能投入生产，实际产能比理论产能小，因此设计规模与设备产能是相匹配的。</w:t>
            </w:r>
          </w:p>
          <w:p w14:paraId="41B7AC3E">
            <w:pPr>
              <w:ind w:firstLine="482"/>
              <w:rPr>
                <w:rFonts w:asciiTheme="majorBidi" w:hAnsiTheme="majorBidi" w:eastAsiaTheme="minorEastAsia" w:cstheme="majorBidi"/>
                <w:b/>
                <w:bCs/>
                <w:color w:val="000000" w:themeColor="text1"/>
                <w:kern w:val="2"/>
                <w:szCs w:val="21"/>
                <w14:textFill>
                  <w14:solidFill>
                    <w14:schemeClr w14:val="tx1"/>
                  </w14:solidFill>
                </w14:textFill>
              </w:rPr>
            </w:pPr>
            <w:r>
              <w:rPr>
                <w:rFonts w:asciiTheme="majorBidi" w:hAnsiTheme="majorBidi" w:eastAsiaTheme="minorEastAsia" w:cstheme="majorBidi"/>
                <w:b/>
                <w:bCs/>
                <w:color w:val="000000" w:themeColor="text1"/>
                <w:kern w:val="2"/>
                <w:szCs w:val="21"/>
                <w14:textFill>
                  <w14:solidFill>
                    <w14:schemeClr w14:val="tx1"/>
                  </w14:solidFill>
                </w14:textFill>
              </w:rPr>
              <w:t>5.劳动定员及工作制度</w:t>
            </w:r>
          </w:p>
          <w:p w14:paraId="3E579B0C">
            <w:pPr>
              <w:ind w:firstLine="480"/>
              <w:rPr>
                <w:rFonts w:asciiTheme="majorBidi" w:hAnsiTheme="majorBidi" w:eastAsiaTheme="minorEastAsia" w:cstheme="majorBidi"/>
                <w:color w:val="000000" w:themeColor="text1"/>
                <w:kern w:val="2"/>
                <w:szCs w:val="21"/>
                <w14:textFill>
                  <w14:solidFill>
                    <w14:schemeClr w14:val="tx1"/>
                  </w14:solidFill>
                </w14:textFill>
              </w:rPr>
            </w:pPr>
            <w:r>
              <w:rPr>
                <w:rFonts w:asciiTheme="majorBidi" w:hAnsiTheme="majorBidi" w:eastAsiaTheme="minorEastAsia" w:cstheme="majorBidi"/>
                <w:color w:val="000000" w:themeColor="text1"/>
                <w:kern w:val="2"/>
                <w:szCs w:val="21"/>
                <w14:textFill>
                  <w14:solidFill>
                    <w14:schemeClr w14:val="tx1"/>
                  </w14:solidFill>
                </w14:textFill>
              </w:rPr>
              <w:t>项目</w:t>
            </w:r>
            <w:r>
              <w:rPr>
                <w:rFonts w:hint="eastAsia" w:asciiTheme="majorBidi" w:hAnsiTheme="majorBidi" w:eastAsiaTheme="minorEastAsia" w:cstheme="majorBidi"/>
                <w:color w:val="000000" w:themeColor="text1"/>
                <w:kern w:val="2"/>
                <w:szCs w:val="21"/>
                <w14:textFill>
                  <w14:solidFill>
                    <w14:schemeClr w14:val="tx1"/>
                  </w14:solidFill>
                </w14:textFill>
              </w:rPr>
              <w:t>劳动定员60人，</w:t>
            </w:r>
            <w:r>
              <w:t>均不在项目食宿</w:t>
            </w:r>
            <w:r>
              <w:rPr>
                <w:rFonts w:hint="eastAsia"/>
              </w:rPr>
              <w:t>。</w:t>
            </w:r>
            <w:r>
              <w:t>每天工作2班，每班8小时（6:00-14:00；14:00-22:00</w:t>
            </w:r>
            <w:r>
              <w:rPr>
                <w:rFonts w:hint="eastAsia"/>
              </w:rPr>
              <w:t>），各工序</w:t>
            </w:r>
            <w:r>
              <w:rPr>
                <w:rFonts w:hint="eastAsia" w:asciiTheme="majorBidi" w:hAnsiTheme="majorBidi" w:eastAsiaTheme="minorEastAsia" w:cstheme="majorBidi"/>
                <w:color w:val="000000" w:themeColor="text1"/>
                <w:kern w:val="2"/>
                <w:szCs w:val="21"/>
                <w14:textFill>
                  <w14:solidFill>
                    <w14:schemeClr w14:val="tx1"/>
                  </w14:solidFill>
                </w14:textFill>
              </w:rPr>
              <w:t>生产时长见下表</w:t>
            </w:r>
            <w:r>
              <w:rPr>
                <w:rFonts w:asciiTheme="majorBidi" w:hAnsiTheme="majorBidi" w:eastAsiaTheme="minorEastAsia" w:cstheme="majorBidi"/>
                <w:color w:val="000000" w:themeColor="text1"/>
                <w:kern w:val="2"/>
                <w:szCs w:val="21"/>
                <w14:textFill>
                  <w14:solidFill>
                    <w14:schemeClr w14:val="tx1"/>
                  </w14:solidFill>
                </w14:textFill>
              </w:rPr>
              <w:t>。</w:t>
            </w:r>
          </w:p>
          <w:p w14:paraId="41E3E1A4">
            <w:pPr>
              <w:pStyle w:val="11"/>
              <w:rPr>
                <w:bCs w:val="0"/>
              </w:rPr>
            </w:pPr>
            <w:r>
              <w:rPr>
                <w:bCs w:val="0"/>
              </w:rPr>
              <w:t>表2-7项目工作制度及劳动定员</w:t>
            </w:r>
          </w:p>
          <w:tbl>
            <w:tblPr>
              <w:tblStyle w:val="21"/>
              <w:tblW w:w="8854" w:type="dxa"/>
              <w:tblInd w:w="0" w:type="dxa"/>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2235"/>
              <w:gridCol w:w="2084"/>
              <w:gridCol w:w="1978"/>
              <w:gridCol w:w="2557"/>
            </w:tblGrid>
            <w:tr w14:paraId="68FB6F0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262" w:type="pct"/>
                  <w:vAlign w:val="center"/>
                </w:tcPr>
                <w:p w14:paraId="5E5438F4">
                  <w:pPr>
                    <w:pStyle w:val="29"/>
                    <w:rPr>
                      <w:b/>
                      <w:bCs/>
                    </w:rPr>
                  </w:pPr>
                  <w:r>
                    <w:rPr>
                      <w:rFonts w:hint="eastAsia" w:ascii="宋体" w:hAnsi="宋体"/>
                      <w:b/>
                      <w:bCs/>
                      <w:color w:val="000000"/>
                      <w:sz w:val="22"/>
                      <w:szCs w:val="22"/>
                    </w:rPr>
                    <w:t>工序</w:t>
                  </w:r>
                </w:p>
              </w:tc>
              <w:tc>
                <w:tcPr>
                  <w:tcW w:w="1177" w:type="pct"/>
                  <w:vAlign w:val="center"/>
                </w:tcPr>
                <w:p w14:paraId="6019C374">
                  <w:pPr>
                    <w:pStyle w:val="29"/>
                    <w:rPr>
                      <w:b/>
                      <w:bCs/>
                    </w:rPr>
                  </w:pPr>
                  <w:r>
                    <w:rPr>
                      <w:rFonts w:hint="eastAsia" w:ascii="宋体" w:hAnsi="宋体" w:cs="宋体"/>
                      <w:b/>
                      <w:bCs/>
                      <w:color w:val="000000"/>
                      <w:sz w:val="22"/>
                      <w:szCs w:val="22"/>
                    </w:rPr>
                    <w:t>日工作时长(h/d)</w:t>
                  </w:r>
                </w:p>
              </w:tc>
              <w:tc>
                <w:tcPr>
                  <w:tcW w:w="1117" w:type="pct"/>
                  <w:vAlign w:val="center"/>
                </w:tcPr>
                <w:p w14:paraId="576C18AC">
                  <w:pPr>
                    <w:pStyle w:val="29"/>
                    <w:rPr>
                      <w:b/>
                      <w:bCs/>
                    </w:rPr>
                  </w:pPr>
                  <w:r>
                    <w:rPr>
                      <w:rFonts w:hint="eastAsia" w:ascii="宋体" w:hAnsi="宋体"/>
                      <w:b/>
                      <w:bCs/>
                      <w:color w:val="000000"/>
                      <w:sz w:val="22"/>
                      <w:szCs w:val="22"/>
                    </w:rPr>
                    <w:t>天数</w:t>
                  </w:r>
                  <w:r>
                    <w:rPr>
                      <w:rFonts w:hint="eastAsia" w:ascii="宋体" w:hAnsi="宋体" w:cs="宋体"/>
                      <w:b/>
                      <w:bCs/>
                      <w:color w:val="000000"/>
                      <w:sz w:val="22"/>
                      <w:szCs w:val="22"/>
                    </w:rPr>
                    <w:t>(d/a)</w:t>
                  </w:r>
                </w:p>
              </w:tc>
              <w:tc>
                <w:tcPr>
                  <w:tcW w:w="1444" w:type="pct"/>
                  <w:vAlign w:val="center"/>
                </w:tcPr>
                <w:p w14:paraId="7B0A8C44">
                  <w:pPr>
                    <w:pStyle w:val="29"/>
                    <w:rPr>
                      <w:b/>
                      <w:bCs/>
                    </w:rPr>
                  </w:pPr>
                  <w:r>
                    <w:rPr>
                      <w:rFonts w:hint="eastAsia" w:ascii="宋体" w:hAnsi="宋体" w:cs="宋体"/>
                      <w:b/>
                      <w:bCs/>
                      <w:color w:val="000000"/>
                      <w:sz w:val="22"/>
                      <w:szCs w:val="22"/>
                    </w:rPr>
                    <w:t>年工作时长(h/a)</w:t>
                  </w:r>
                </w:p>
              </w:tc>
            </w:tr>
            <w:tr w14:paraId="4A4FB844">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262" w:type="pct"/>
                  <w:vAlign w:val="center"/>
                </w:tcPr>
                <w:p w14:paraId="10DF32A4">
                  <w:pPr>
                    <w:pStyle w:val="29"/>
                    <w:rPr>
                      <w:color w:val="0000FF"/>
                    </w:rPr>
                  </w:pPr>
                  <w:r>
                    <w:rPr>
                      <w:rFonts w:hint="eastAsia" w:ascii="宋体" w:hAnsi="宋体"/>
                      <w:color w:val="0000FF"/>
                      <w:sz w:val="22"/>
                      <w:szCs w:val="22"/>
                    </w:rPr>
                    <w:t>注塑</w:t>
                  </w:r>
                </w:p>
              </w:tc>
              <w:tc>
                <w:tcPr>
                  <w:tcW w:w="1177" w:type="pct"/>
                  <w:vAlign w:val="center"/>
                </w:tcPr>
                <w:p w14:paraId="5DA681E9">
                  <w:pPr>
                    <w:pStyle w:val="29"/>
                    <w:rPr>
                      <w:color w:val="0000FF"/>
                    </w:rPr>
                  </w:pPr>
                  <w:r>
                    <w:rPr>
                      <w:rFonts w:eastAsia="等线"/>
                      <w:color w:val="0000FF"/>
                      <w:sz w:val="22"/>
                      <w:szCs w:val="22"/>
                    </w:rPr>
                    <w:t>16</w:t>
                  </w:r>
                </w:p>
              </w:tc>
              <w:tc>
                <w:tcPr>
                  <w:tcW w:w="1117" w:type="pct"/>
                  <w:vAlign w:val="center"/>
                </w:tcPr>
                <w:p w14:paraId="57D2BAA9">
                  <w:pPr>
                    <w:pStyle w:val="29"/>
                    <w:rPr>
                      <w:color w:val="0000FF"/>
                    </w:rPr>
                  </w:pPr>
                  <w:r>
                    <w:rPr>
                      <w:rFonts w:eastAsia="等线"/>
                      <w:color w:val="0000FF"/>
                      <w:sz w:val="22"/>
                      <w:szCs w:val="22"/>
                    </w:rPr>
                    <w:t>300</w:t>
                  </w:r>
                </w:p>
              </w:tc>
              <w:tc>
                <w:tcPr>
                  <w:tcW w:w="1444" w:type="pct"/>
                  <w:vAlign w:val="center"/>
                </w:tcPr>
                <w:p w14:paraId="3904789F">
                  <w:pPr>
                    <w:pStyle w:val="29"/>
                    <w:rPr>
                      <w:color w:val="0000FF"/>
                    </w:rPr>
                  </w:pPr>
                  <w:r>
                    <w:rPr>
                      <w:rFonts w:eastAsia="等线"/>
                      <w:color w:val="0000FF"/>
                      <w:sz w:val="22"/>
                      <w:szCs w:val="22"/>
                    </w:rPr>
                    <w:t>4800</w:t>
                  </w:r>
                </w:p>
              </w:tc>
            </w:tr>
            <w:tr w14:paraId="07832E09">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262" w:type="pct"/>
                  <w:vAlign w:val="center"/>
                </w:tcPr>
                <w:p w14:paraId="70B2DCA8">
                  <w:pPr>
                    <w:pStyle w:val="29"/>
                    <w:rPr>
                      <w:rFonts w:hint="eastAsia" w:ascii="宋体" w:hAnsi="宋体"/>
                      <w:color w:val="0000FF"/>
                      <w:sz w:val="22"/>
                      <w:szCs w:val="22"/>
                    </w:rPr>
                  </w:pPr>
                  <w:r>
                    <w:rPr>
                      <w:rFonts w:hint="eastAsia" w:ascii="宋体" w:hAnsi="宋体"/>
                      <w:color w:val="0000FF"/>
                      <w:sz w:val="22"/>
                      <w:szCs w:val="22"/>
                    </w:rPr>
                    <w:t>检验</w:t>
                  </w:r>
                </w:p>
              </w:tc>
              <w:tc>
                <w:tcPr>
                  <w:tcW w:w="1177" w:type="pct"/>
                  <w:vAlign w:val="center"/>
                </w:tcPr>
                <w:p w14:paraId="18C81ACF">
                  <w:pPr>
                    <w:pStyle w:val="29"/>
                    <w:rPr>
                      <w:color w:val="0000FF"/>
                    </w:rPr>
                  </w:pPr>
                  <w:r>
                    <w:rPr>
                      <w:rFonts w:eastAsia="等线"/>
                      <w:color w:val="0000FF"/>
                      <w:sz w:val="22"/>
                      <w:szCs w:val="22"/>
                    </w:rPr>
                    <w:t>16</w:t>
                  </w:r>
                </w:p>
              </w:tc>
              <w:tc>
                <w:tcPr>
                  <w:tcW w:w="1117" w:type="pct"/>
                  <w:vAlign w:val="center"/>
                </w:tcPr>
                <w:p w14:paraId="4FB941C1">
                  <w:pPr>
                    <w:pStyle w:val="29"/>
                    <w:rPr>
                      <w:rFonts w:eastAsia="等线"/>
                      <w:color w:val="0000FF"/>
                      <w:sz w:val="22"/>
                      <w:szCs w:val="22"/>
                    </w:rPr>
                  </w:pPr>
                  <w:r>
                    <w:rPr>
                      <w:rFonts w:eastAsia="等线"/>
                      <w:color w:val="0000FF"/>
                      <w:sz w:val="22"/>
                      <w:szCs w:val="22"/>
                    </w:rPr>
                    <w:t>300</w:t>
                  </w:r>
                </w:p>
              </w:tc>
              <w:tc>
                <w:tcPr>
                  <w:tcW w:w="1444" w:type="pct"/>
                  <w:vAlign w:val="center"/>
                </w:tcPr>
                <w:p w14:paraId="111C58B1">
                  <w:pPr>
                    <w:pStyle w:val="29"/>
                    <w:rPr>
                      <w:rFonts w:eastAsia="等线"/>
                      <w:color w:val="0000FF"/>
                      <w:sz w:val="22"/>
                      <w:szCs w:val="22"/>
                    </w:rPr>
                  </w:pPr>
                  <w:r>
                    <w:rPr>
                      <w:rFonts w:eastAsia="等线"/>
                      <w:color w:val="0000FF"/>
                      <w:sz w:val="22"/>
                      <w:szCs w:val="22"/>
                    </w:rPr>
                    <w:t>4800</w:t>
                  </w:r>
                </w:p>
              </w:tc>
            </w:tr>
            <w:tr w14:paraId="059ADB14">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262" w:type="pct"/>
                  <w:vAlign w:val="center"/>
                </w:tcPr>
                <w:p w14:paraId="62A81CE9">
                  <w:pPr>
                    <w:pStyle w:val="29"/>
                    <w:rPr>
                      <w:rFonts w:hint="eastAsia" w:ascii="宋体" w:hAnsi="宋体"/>
                      <w:color w:val="0000FF"/>
                      <w:sz w:val="22"/>
                      <w:szCs w:val="22"/>
                    </w:rPr>
                  </w:pPr>
                  <w:r>
                    <w:rPr>
                      <w:rFonts w:hint="eastAsia" w:ascii="宋体" w:hAnsi="宋体"/>
                      <w:color w:val="0000FF"/>
                      <w:sz w:val="22"/>
                      <w:szCs w:val="22"/>
                    </w:rPr>
                    <w:t>组装</w:t>
                  </w:r>
                </w:p>
              </w:tc>
              <w:tc>
                <w:tcPr>
                  <w:tcW w:w="1177" w:type="pct"/>
                  <w:vAlign w:val="center"/>
                </w:tcPr>
                <w:p w14:paraId="666A0CF4">
                  <w:pPr>
                    <w:pStyle w:val="29"/>
                    <w:rPr>
                      <w:color w:val="0000FF"/>
                    </w:rPr>
                  </w:pPr>
                  <w:r>
                    <w:rPr>
                      <w:rFonts w:eastAsia="等线"/>
                      <w:color w:val="0000FF"/>
                      <w:sz w:val="22"/>
                      <w:szCs w:val="22"/>
                    </w:rPr>
                    <w:t>16</w:t>
                  </w:r>
                </w:p>
              </w:tc>
              <w:tc>
                <w:tcPr>
                  <w:tcW w:w="1117" w:type="pct"/>
                  <w:vAlign w:val="center"/>
                </w:tcPr>
                <w:p w14:paraId="0D7FE594">
                  <w:pPr>
                    <w:pStyle w:val="29"/>
                    <w:rPr>
                      <w:rFonts w:eastAsia="等线"/>
                      <w:color w:val="0000FF"/>
                      <w:sz w:val="22"/>
                      <w:szCs w:val="22"/>
                    </w:rPr>
                  </w:pPr>
                  <w:r>
                    <w:rPr>
                      <w:rFonts w:eastAsia="等线"/>
                      <w:color w:val="0000FF"/>
                      <w:sz w:val="22"/>
                      <w:szCs w:val="22"/>
                    </w:rPr>
                    <w:t>300</w:t>
                  </w:r>
                </w:p>
              </w:tc>
              <w:tc>
                <w:tcPr>
                  <w:tcW w:w="1444" w:type="pct"/>
                  <w:vAlign w:val="center"/>
                </w:tcPr>
                <w:p w14:paraId="7E9718AF">
                  <w:pPr>
                    <w:pStyle w:val="29"/>
                    <w:rPr>
                      <w:rFonts w:eastAsia="等线"/>
                      <w:color w:val="0000FF"/>
                      <w:sz w:val="22"/>
                      <w:szCs w:val="22"/>
                    </w:rPr>
                  </w:pPr>
                  <w:r>
                    <w:rPr>
                      <w:rFonts w:eastAsia="等线"/>
                      <w:color w:val="0000FF"/>
                      <w:sz w:val="22"/>
                      <w:szCs w:val="22"/>
                    </w:rPr>
                    <w:t>4800</w:t>
                  </w:r>
                </w:p>
              </w:tc>
            </w:tr>
            <w:tr w14:paraId="07B94F4C">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262" w:type="pct"/>
                  <w:vAlign w:val="center"/>
                </w:tcPr>
                <w:p w14:paraId="0294BD96">
                  <w:pPr>
                    <w:pStyle w:val="29"/>
                    <w:rPr>
                      <w:rFonts w:hint="eastAsia" w:ascii="宋体" w:hAnsi="宋体"/>
                      <w:color w:val="0000FF"/>
                      <w:sz w:val="22"/>
                      <w:szCs w:val="22"/>
                    </w:rPr>
                  </w:pPr>
                  <w:r>
                    <w:rPr>
                      <w:rFonts w:hint="eastAsia" w:ascii="宋体" w:hAnsi="宋体"/>
                      <w:color w:val="0000FF"/>
                      <w:sz w:val="22"/>
                      <w:szCs w:val="22"/>
                    </w:rPr>
                    <w:t>喷漆及烘干</w:t>
                  </w:r>
                </w:p>
              </w:tc>
              <w:tc>
                <w:tcPr>
                  <w:tcW w:w="1177" w:type="pct"/>
                  <w:vAlign w:val="center"/>
                </w:tcPr>
                <w:p w14:paraId="1F39E5F5">
                  <w:pPr>
                    <w:pStyle w:val="29"/>
                    <w:rPr>
                      <w:color w:val="0000FF"/>
                    </w:rPr>
                  </w:pPr>
                  <w:r>
                    <w:rPr>
                      <w:rFonts w:eastAsia="等线"/>
                      <w:color w:val="0000FF"/>
                      <w:sz w:val="22"/>
                      <w:szCs w:val="22"/>
                    </w:rPr>
                    <w:t>3</w:t>
                  </w:r>
                </w:p>
              </w:tc>
              <w:tc>
                <w:tcPr>
                  <w:tcW w:w="1117" w:type="pct"/>
                  <w:vAlign w:val="center"/>
                </w:tcPr>
                <w:p w14:paraId="0B379FE8">
                  <w:pPr>
                    <w:pStyle w:val="29"/>
                    <w:rPr>
                      <w:rFonts w:eastAsia="等线"/>
                      <w:color w:val="0000FF"/>
                      <w:sz w:val="22"/>
                      <w:szCs w:val="22"/>
                    </w:rPr>
                  </w:pPr>
                  <w:r>
                    <w:rPr>
                      <w:rFonts w:eastAsia="等线"/>
                      <w:color w:val="0000FF"/>
                      <w:sz w:val="22"/>
                      <w:szCs w:val="22"/>
                    </w:rPr>
                    <w:t>300</w:t>
                  </w:r>
                </w:p>
              </w:tc>
              <w:tc>
                <w:tcPr>
                  <w:tcW w:w="1444" w:type="pct"/>
                  <w:vAlign w:val="center"/>
                </w:tcPr>
                <w:p w14:paraId="6FFE3EBA">
                  <w:pPr>
                    <w:pStyle w:val="29"/>
                    <w:rPr>
                      <w:rFonts w:eastAsia="等线"/>
                      <w:color w:val="0000FF"/>
                      <w:sz w:val="22"/>
                      <w:szCs w:val="22"/>
                    </w:rPr>
                  </w:pPr>
                  <w:r>
                    <w:rPr>
                      <w:rFonts w:eastAsia="等线"/>
                      <w:color w:val="0000FF"/>
                      <w:sz w:val="22"/>
                      <w:szCs w:val="22"/>
                    </w:rPr>
                    <w:t>900</w:t>
                  </w:r>
                </w:p>
              </w:tc>
            </w:tr>
            <w:tr w14:paraId="5E53AE0A">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262" w:type="pct"/>
                  <w:vAlign w:val="center"/>
                </w:tcPr>
                <w:p w14:paraId="28A7D887">
                  <w:pPr>
                    <w:pStyle w:val="29"/>
                    <w:rPr>
                      <w:rFonts w:hint="eastAsia" w:ascii="宋体" w:hAnsi="宋体"/>
                      <w:color w:val="0000FF"/>
                      <w:sz w:val="22"/>
                      <w:szCs w:val="22"/>
                    </w:rPr>
                  </w:pPr>
                  <w:r>
                    <w:rPr>
                      <w:rFonts w:hint="eastAsia" w:ascii="宋体" w:hAnsi="宋体"/>
                      <w:color w:val="0000FF"/>
                      <w:sz w:val="22"/>
                      <w:szCs w:val="22"/>
                    </w:rPr>
                    <w:t>破碎回用</w:t>
                  </w:r>
                </w:p>
              </w:tc>
              <w:tc>
                <w:tcPr>
                  <w:tcW w:w="1177" w:type="pct"/>
                  <w:vAlign w:val="center"/>
                </w:tcPr>
                <w:p w14:paraId="4A2A8DA2">
                  <w:pPr>
                    <w:pStyle w:val="29"/>
                    <w:rPr>
                      <w:color w:val="0000FF"/>
                    </w:rPr>
                  </w:pPr>
                  <w:r>
                    <w:rPr>
                      <w:rFonts w:eastAsia="等线"/>
                      <w:color w:val="0000FF"/>
                      <w:sz w:val="22"/>
                      <w:szCs w:val="22"/>
                    </w:rPr>
                    <w:t>3</w:t>
                  </w:r>
                </w:p>
              </w:tc>
              <w:tc>
                <w:tcPr>
                  <w:tcW w:w="1117" w:type="pct"/>
                  <w:vAlign w:val="center"/>
                </w:tcPr>
                <w:p w14:paraId="5D884A7B">
                  <w:pPr>
                    <w:pStyle w:val="29"/>
                    <w:rPr>
                      <w:rFonts w:eastAsia="等线"/>
                      <w:color w:val="0000FF"/>
                      <w:sz w:val="22"/>
                      <w:szCs w:val="22"/>
                    </w:rPr>
                  </w:pPr>
                  <w:r>
                    <w:rPr>
                      <w:rFonts w:eastAsia="等线"/>
                      <w:color w:val="0000FF"/>
                      <w:sz w:val="22"/>
                      <w:szCs w:val="22"/>
                    </w:rPr>
                    <w:t>300</w:t>
                  </w:r>
                </w:p>
              </w:tc>
              <w:tc>
                <w:tcPr>
                  <w:tcW w:w="1444" w:type="pct"/>
                  <w:vAlign w:val="center"/>
                </w:tcPr>
                <w:p w14:paraId="509E273A">
                  <w:pPr>
                    <w:pStyle w:val="29"/>
                    <w:rPr>
                      <w:rFonts w:eastAsia="等线"/>
                      <w:color w:val="0000FF"/>
                      <w:sz w:val="22"/>
                      <w:szCs w:val="22"/>
                    </w:rPr>
                  </w:pPr>
                  <w:r>
                    <w:rPr>
                      <w:rFonts w:eastAsia="等线"/>
                      <w:color w:val="0000FF"/>
                      <w:sz w:val="22"/>
                      <w:szCs w:val="22"/>
                    </w:rPr>
                    <w:t>900</w:t>
                  </w:r>
                </w:p>
              </w:tc>
            </w:tr>
            <w:tr w14:paraId="5C9CA187">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262" w:type="pct"/>
                  <w:vAlign w:val="center"/>
                </w:tcPr>
                <w:p w14:paraId="45DF0889">
                  <w:pPr>
                    <w:pStyle w:val="29"/>
                    <w:rPr>
                      <w:rFonts w:hint="eastAsia" w:ascii="宋体" w:hAnsi="宋体"/>
                      <w:color w:val="0000FF"/>
                      <w:sz w:val="22"/>
                      <w:szCs w:val="22"/>
                    </w:rPr>
                  </w:pPr>
                  <w:r>
                    <w:rPr>
                      <w:rFonts w:hint="eastAsia" w:ascii="宋体" w:hAnsi="宋体"/>
                      <w:color w:val="0000FF"/>
                      <w:sz w:val="22"/>
                      <w:szCs w:val="22"/>
                    </w:rPr>
                    <w:t>印刷</w:t>
                  </w:r>
                </w:p>
              </w:tc>
              <w:tc>
                <w:tcPr>
                  <w:tcW w:w="1177" w:type="pct"/>
                  <w:vAlign w:val="center"/>
                </w:tcPr>
                <w:p w14:paraId="18574BC9">
                  <w:pPr>
                    <w:pStyle w:val="29"/>
                    <w:rPr>
                      <w:color w:val="0000FF"/>
                    </w:rPr>
                  </w:pPr>
                  <w:r>
                    <w:rPr>
                      <w:rFonts w:eastAsia="等线"/>
                      <w:color w:val="0000FF"/>
                      <w:sz w:val="22"/>
                      <w:szCs w:val="22"/>
                    </w:rPr>
                    <w:t>3</w:t>
                  </w:r>
                </w:p>
              </w:tc>
              <w:tc>
                <w:tcPr>
                  <w:tcW w:w="1117" w:type="pct"/>
                  <w:vAlign w:val="center"/>
                </w:tcPr>
                <w:p w14:paraId="68031397">
                  <w:pPr>
                    <w:pStyle w:val="29"/>
                    <w:rPr>
                      <w:rFonts w:eastAsia="等线"/>
                      <w:color w:val="0000FF"/>
                      <w:sz w:val="22"/>
                      <w:szCs w:val="22"/>
                    </w:rPr>
                  </w:pPr>
                  <w:r>
                    <w:rPr>
                      <w:rFonts w:eastAsia="等线"/>
                      <w:color w:val="0000FF"/>
                      <w:sz w:val="22"/>
                      <w:szCs w:val="22"/>
                    </w:rPr>
                    <w:t>300</w:t>
                  </w:r>
                </w:p>
              </w:tc>
              <w:tc>
                <w:tcPr>
                  <w:tcW w:w="1444" w:type="pct"/>
                  <w:vAlign w:val="center"/>
                </w:tcPr>
                <w:p w14:paraId="59138330">
                  <w:pPr>
                    <w:pStyle w:val="29"/>
                    <w:rPr>
                      <w:rFonts w:eastAsia="等线"/>
                      <w:color w:val="0000FF"/>
                      <w:sz w:val="22"/>
                      <w:szCs w:val="22"/>
                    </w:rPr>
                  </w:pPr>
                  <w:r>
                    <w:rPr>
                      <w:rFonts w:eastAsia="等线"/>
                      <w:color w:val="0000FF"/>
                      <w:sz w:val="22"/>
                      <w:szCs w:val="22"/>
                    </w:rPr>
                    <w:t>900</w:t>
                  </w:r>
                </w:p>
              </w:tc>
            </w:tr>
            <w:tr w14:paraId="63A5C063">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262" w:type="pct"/>
                  <w:vAlign w:val="center"/>
                </w:tcPr>
                <w:p w14:paraId="05EE990C">
                  <w:pPr>
                    <w:pStyle w:val="29"/>
                    <w:rPr>
                      <w:rFonts w:hint="eastAsia" w:ascii="宋体" w:hAnsi="宋体"/>
                      <w:color w:val="0000FF"/>
                      <w:sz w:val="22"/>
                      <w:szCs w:val="22"/>
                    </w:rPr>
                  </w:pPr>
                  <w:r>
                    <w:rPr>
                      <w:rFonts w:hint="eastAsia" w:ascii="宋体" w:hAnsi="宋体"/>
                      <w:color w:val="0000FF"/>
                      <w:sz w:val="22"/>
                      <w:szCs w:val="22"/>
                    </w:rPr>
                    <w:t>胶合</w:t>
                  </w:r>
                </w:p>
              </w:tc>
              <w:tc>
                <w:tcPr>
                  <w:tcW w:w="1177" w:type="pct"/>
                  <w:vAlign w:val="center"/>
                </w:tcPr>
                <w:p w14:paraId="2D722552">
                  <w:pPr>
                    <w:pStyle w:val="29"/>
                    <w:rPr>
                      <w:rFonts w:eastAsia="等线"/>
                      <w:color w:val="0000FF"/>
                      <w:sz w:val="22"/>
                      <w:szCs w:val="22"/>
                    </w:rPr>
                  </w:pPr>
                  <w:r>
                    <w:rPr>
                      <w:rFonts w:eastAsia="等线"/>
                      <w:color w:val="0000FF"/>
                      <w:sz w:val="22"/>
                      <w:szCs w:val="22"/>
                    </w:rPr>
                    <w:t>2</w:t>
                  </w:r>
                </w:p>
              </w:tc>
              <w:tc>
                <w:tcPr>
                  <w:tcW w:w="1117" w:type="pct"/>
                  <w:vAlign w:val="center"/>
                </w:tcPr>
                <w:p w14:paraId="0F0E8AF7">
                  <w:pPr>
                    <w:pStyle w:val="29"/>
                    <w:rPr>
                      <w:rFonts w:eastAsia="等线"/>
                      <w:color w:val="0000FF"/>
                      <w:sz w:val="22"/>
                      <w:szCs w:val="22"/>
                    </w:rPr>
                  </w:pPr>
                  <w:r>
                    <w:rPr>
                      <w:rFonts w:eastAsia="等线"/>
                      <w:color w:val="0000FF"/>
                      <w:sz w:val="22"/>
                      <w:szCs w:val="22"/>
                    </w:rPr>
                    <w:t>300</w:t>
                  </w:r>
                </w:p>
              </w:tc>
              <w:tc>
                <w:tcPr>
                  <w:tcW w:w="1444" w:type="pct"/>
                  <w:vAlign w:val="center"/>
                </w:tcPr>
                <w:p w14:paraId="3BF5E6D8">
                  <w:pPr>
                    <w:pStyle w:val="29"/>
                    <w:rPr>
                      <w:rFonts w:eastAsia="等线"/>
                      <w:color w:val="0000FF"/>
                      <w:sz w:val="22"/>
                      <w:szCs w:val="22"/>
                    </w:rPr>
                  </w:pPr>
                  <w:r>
                    <w:rPr>
                      <w:rFonts w:eastAsia="等线"/>
                      <w:color w:val="0000FF"/>
                      <w:sz w:val="22"/>
                      <w:szCs w:val="22"/>
                    </w:rPr>
                    <w:t>600</w:t>
                  </w:r>
                </w:p>
              </w:tc>
            </w:tr>
            <w:tr w14:paraId="04C97FFA">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262" w:type="pct"/>
                  <w:vAlign w:val="center"/>
                </w:tcPr>
                <w:p w14:paraId="5CF3622B">
                  <w:pPr>
                    <w:pStyle w:val="29"/>
                    <w:rPr>
                      <w:rFonts w:hint="eastAsia" w:ascii="宋体" w:hAnsi="宋体"/>
                      <w:color w:val="0000FF"/>
                      <w:sz w:val="22"/>
                      <w:szCs w:val="22"/>
                    </w:rPr>
                  </w:pPr>
                  <w:r>
                    <w:rPr>
                      <w:rFonts w:hint="eastAsia" w:ascii="宋体" w:hAnsi="宋体"/>
                      <w:color w:val="0000FF"/>
                      <w:sz w:val="22"/>
                      <w:szCs w:val="22"/>
                    </w:rPr>
                    <w:t>机加工</w:t>
                  </w:r>
                </w:p>
              </w:tc>
              <w:tc>
                <w:tcPr>
                  <w:tcW w:w="1177" w:type="pct"/>
                  <w:vAlign w:val="center"/>
                </w:tcPr>
                <w:p w14:paraId="000A0156">
                  <w:pPr>
                    <w:pStyle w:val="29"/>
                    <w:rPr>
                      <w:rFonts w:eastAsia="等线"/>
                      <w:color w:val="0000FF"/>
                      <w:sz w:val="22"/>
                      <w:szCs w:val="22"/>
                    </w:rPr>
                  </w:pPr>
                  <w:r>
                    <w:rPr>
                      <w:rFonts w:eastAsia="等线"/>
                      <w:color w:val="0000FF"/>
                      <w:sz w:val="22"/>
                      <w:szCs w:val="22"/>
                    </w:rPr>
                    <w:t>2</w:t>
                  </w:r>
                </w:p>
              </w:tc>
              <w:tc>
                <w:tcPr>
                  <w:tcW w:w="1117" w:type="pct"/>
                  <w:vAlign w:val="center"/>
                </w:tcPr>
                <w:p w14:paraId="1AE2016F">
                  <w:pPr>
                    <w:pStyle w:val="29"/>
                    <w:rPr>
                      <w:rFonts w:eastAsia="等线"/>
                      <w:color w:val="0000FF"/>
                      <w:sz w:val="22"/>
                      <w:szCs w:val="22"/>
                    </w:rPr>
                  </w:pPr>
                  <w:r>
                    <w:rPr>
                      <w:rFonts w:eastAsia="等线"/>
                      <w:color w:val="0000FF"/>
                      <w:sz w:val="22"/>
                      <w:szCs w:val="22"/>
                    </w:rPr>
                    <w:t>300</w:t>
                  </w:r>
                </w:p>
              </w:tc>
              <w:tc>
                <w:tcPr>
                  <w:tcW w:w="1444" w:type="pct"/>
                  <w:vAlign w:val="center"/>
                </w:tcPr>
                <w:p w14:paraId="6B5DB3D9">
                  <w:pPr>
                    <w:pStyle w:val="29"/>
                    <w:rPr>
                      <w:rFonts w:eastAsia="等线"/>
                      <w:color w:val="0000FF"/>
                      <w:sz w:val="22"/>
                      <w:szCs w:val="22"/>
                    </w:rPr>
                  </w:pPr>
                  <w:r>
                    <w:rPr>
                      <w:rFonts w:eastAsia="等线"/>
                      <w:color w:val="0000FF"/>
                      <w:sz w:val="22"/>
                      <w:szCs w:val="22"/>
                    </w:rPr>
                    <w:t>600</w:t>
                  </w:r>
                </w:p>
              </w:tc>
            </w:tr>
            <w:tr w14:paraId="0407DF4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262" w:type="pct"/>
                  <w:vAlign w:val="center"/>
                </w:tcPr>
                <w:p w14:paraId="5F511FFE">
                  <w:pPr>
                    <w:pStyle w:val="29"/>
                    <w:rPr>
                      <w:rFonts w:hint="eastAsia" w:ascii="宋体" w:hAnsi="宋体"/>
                      <w:color w:val="0000FF"/>
                      <w:sz w:val="22"/>
                      <w:szCs w:val="22"/>
                    </w:rPr>
                  </w:pPr>
                  <w:r>
                    <w:rPr>
                      <w:rFonts w:hint="eastAsia" w:ascii="宋体" w:hAnsi="宋体"/>
                      <w:color w:val="0000FF"/>
                      <w:sz w:val="22"/>
                      <w:szCs w:val="22"/>
                    </w:rPr>
                    <w:t>电火花加工</w:t>
                  </w:r>
                </w:p>
              </w:tc>
              <w:tc>
                <w:tcPr>
                  <w:tcW w:w="1177" w:type="pct"/>
                  <w:vAlign w:val="center"/>
                </w:tcPr>
                <w:p w14:paraId="46454E61">
                  <w:pPr>
                    <w:pStyle w:val="29"/>
                    <w:rPr>
                      <w:rFonts w:eastAsia="等线"/>
                      <w:color w:val="0000FF"/>
                      <w:sz w:val="22"/>
                      <w:szCs w:val="22"/>
                    </w:rPr>
                  </w:pPr>
                  <w:r>
                    <w:rPr>
                      <w:rFonts w:eastAsia="等线"/>
                      <w:color w:val="0000FF"/>
                      <w:sz w:val="22"/>
                      <w:szCs w:val="22"/>
                    </w:rPr>
                    <w:t>2</w:t>
                  </w:r>
                </w:p>
              </w:tc>
              <w:tc>
                <w:tcPr>
                  <w:tcW w:w="1117" w:type="pct"/>
                  <w:vAlign w:val="center"/>
                </w:tcPr>
                <w:p w14:paraId="6BDCC9C9">
                  <w:pPr>
                    <w:pStyle w:val="29"/>
                    <w:rPr>
                      <w:rFonts w:eastAsia="等线"/>
                      <w:color w:val="0000FF"/>
                      <w:sz w:val="22"/>
                      <w:szCs w:val="22"/>
                    </w:rPr>
                  </w:pPr>
                  <w:r>
                    <w:rPr>
                      <w:rFonts w:eastAsia="等线"/>
                      <w:color w:val="0000FF"/>
                      <w:sz w:val="22"/>
                      <w:szCs w:val="22"/>
                    </w:rPr>
                    <w:t>300</w:t>
                  </w:r>
                </w:p>
              </w:tc>
              <w:tc>
                <w:tcPr>
                  <w:tcW w:w="1444" w:type="pct"/>
                  <w:vAlign w:val="center"/>
                </w:tcPr>
                <w:p w14:paraId="1036091A">
                  <w:pPr>
                    <w:pStyle w:val="29"/>
                    <w:rPr>
                      <w:rFonts w:eastAsia="等线"/>
                      <w:color w:val="0000FF"/>
                      <w:sz w:val="22"/>
                      <w:szCs w:val="22"/>
                    </w:rPr>
                  </w:pPr>
                  <w:r>
                    <w:rPr>
                      <w:rFonts w:eastAsia="等线"/>
                      <w:color w:val="0000FF"/>
                      <w:sz w:val="22"/>
                      <w:szCs w:val="22"/>
                    </w:rPr>
                    <w:t>600</w:t>
                  </w:r>
                </w:p>
              </w:tc>
            </w:tr>
          </w:tbl>
          <w:p w14:paraId="6A25D58F">
            <w:pPr>
              <w:ind w:firstLine="482"/>
              <w:rPr>
                <w:rFonts w:asciiTheme="majorBidi" w:hAnsiTheme="majorBidi" w:eastAsiaTheme="minorEastAsia" w:cstheme="majorBidi"/>
                <w:b/>
                <w:bCs/>
                <w:color w:val="000000" w:themeColor="text1"/>
                <w:kern w:val="2"/>
                <w:szCs w:val="21"/>
                <w14:textFill>
                  <w14:solidFill>
                    <w14:schemeClr w14:val="tx1"/>
                  </w14:solidFill>
                </w14:textFill>
              </w:rPr>
            </w:pPr>
          </w:p>
          <w:p w14:paraId="6F5CDE7E">
            <w:pPr>
              <w:ind w:firstLine="482"/>
              <w:rPr>
                <w:rFonts w:asciiTheme="majorBidi" w:hAnsiTheme="majorBidi" w:eastAsiaTheme="minorEastAsia" w:cstheme="majorBidi"/>
                <w:b/>
                <w:bCs/>
                <w:color w:val="000000" w:themeColor="text1"/>
                <w:kern w:val="2"/>
                <w:szCs w:val="21"/>
                <w14:textFill>
                  <w14:solidFill>
                    <w14:schemeClr w14:val="tx1"/>
                  </w14:solidFill>
                </w14:textFill>
              </w:rPr>
            </w:pPr>
            <w:r>
              <w:rPr>
                <w:rFonts w:asciiTheme="majorBidi" w:hAnsiTheme="majorBidi" w:eastAsiaTheme="minorEastAsia" w:cstheme="majorBidi"/>
                <w:b/>
                <w:bCs/>
                <w:color w:val="000000" w:themeColor="text1"/>
                <w:kern w:val="2"/>
                <w:szCs w:val="21"/>
                <w14:textFill>
                  <w14:solidFill>
                    <w14:schemeClr w14:val="tx1"/>
                  </w14:solidFill>
                </w14:textFill>
              </w:rPr>
              <w:t>（三）公用工程</w:t>
            </w:r>
          </w:p>
          <w:p w14:paraId="58D08726">
            <w:pPr>
              <w:ind w:firstLine="482"/>
              <w:rPr>
                <w:rFonts w:asciiTheme="majorBidi" w:hAnsiTheme="majorBidi" w:eastAsiaTheme="minorEastAsia" w:cstheme="majorBidi"/>
                <w:b/>
                <w:bCs/>
                <w:color w:val="000000" w:themeColor="text1"/>
                <w:kern w:val="2"/>
                <w:szCs w:val="21"/>
                <w14:textFill>
                  <w14:solidFill>
                    <w14:schemeClr w14:val="tx1"/>
                  </w14:solidFill>
                </w14:textFill>
              </w:rPr>
            </w:pPr>
            <w:r>
              <w:rPr>
                <w:rFonts w:asciiTheme="majorBidi" w:hAnsiTheme="majorBidi" w:eastAsiaTheme="minorEastAsia" w:cstheme="majorBidi"/>
                <w:b/>
                <w:bCs/>
                <w:color w:val="000000" w:themeColor="text1"/>
                <w:kern w:val="2"/>
                <w:szCs w:val="21"/>
                <w14:textFill>
                  <w14:solidFill>
                    <w14:schemeClr w14:val="tx1"/>
                  </w14:solidFill>
                </w14:textFill>
              </w:rPr>
              <w:t>1.给水系统</w:t>
            </w:r>
          </w:p>
          <w:p w14:paraId="52DDB4EA">
            <w:pPr>
              <w:ind w:firstLine="480"/>
              <w:rPr>
                <w:rFonts w:asciiTheme="majorBidi" w:hAnsiTheme="majorBidi" w:eastAsiaTheme="minorEastAsia" w:cstheme="majorBidi"/>
                <w:color w:val="000000" w:themeColor="text1"/>
                <w:kern w:val="2"/>
                <w:szCs w:val="21"/>
                <w14:textFill>
                  <w14:solidFill>
                    <w14:schemeClr w14:val="tx1"/>
                  </w14:solidFill>
                </w14:textFill>
              </w:rPr>
            </w:pPr>
            <w:r>
              <w:rPr>
                <w:rFonts w:asciiTheme="majorBidi" w:hAnsiTheme="majorBidi" w:eastAsiaTheme="minorEastAsia" w:cstheme="majorBidi"/>
                <w:color w:val="000000" w:themeColor="text1"/>
                <w:kern w:val="2"/>
                <w:szCs w:val="21"/>
                <w14:textFill>
                  <w14:solidFill>
                    <w14:schemeClr w14:val="tx1"/>
                  </w14:solidFill>
                </w14:textFill>
              </w:rPr>
              <w:t>（1）生活用水：项目员工60名，年工作300天，均不在厂区内食宿。员工生活用水量按广东省地方标准《用水定额·第3部分：生活》（DB44/T1461.3-2021）中办公楼-无浴室和食堂的先进值计算，用水定额取10m³/人·a；则项目员工用水量为600m³/a（2.00m³/d）。</w:t>
            </w:r>
          </w:p>
          <w:p w14:paraId="1E72555E">
            <w:pPr>
              <w:ind w:firstLine="480"/>
              <w:rPr>
                <w:rFonts w:asciiTheme="majorBidi" w:hAnsiTheme="majorBidi" w:eastAsiaTheme="minorEastAsia" w:cstheme="majorBidi"/>
                <w:color w:val="000000" w:themeColor="text1"/>
                <w:kern w:val="2"/>
                <w:szCs w:val="21"/>
                <w14:textFill>
                  <w14:solidFill>
                    <w14:schemeClr w14:val="tx1"/>
                  </w14:solidFill>
                </w14:textFill>
              </w:rPr>
            </w:pPr>
            <w:r>
              <w:rPr>
                <w:rFonts w:asciiTheme="majorBidi" w:hAnsiTheme="majorBidi" w:eastAsiaTheme="minorEastAsia" w:cstheme="majorBidi"/>
                <w:color w:val="000000" w:themeColor="text1"/>
                <w:kern w:val="2"/>
                <w:szCs w:val="21"/>
                <w14:textFill>
                  <w14:solidFill>
                    <w14:schemeClr w14:val="tx1"/>
                  </w14:solidFill>
                </w14:textFill>
              </w:rPr>
              <w:t>（2）生产用水</w:t>
            </w:r>
          </w:p>
          <w:p w14:paraId="5AE4BEAB">
            <w:pPr>
              <w:keepNext/>
              <w:ind w:firstLine="480"/>
              <w:rPr>
                <w:rFonts w:asciiTheme="majorBidi" w:hAnsiTheme="majorBidi" w:eastAsiaTheme="minorEastAsia" w:cstheme="majorBidi"/>
                <w:color w:val="000000" w:themeColor="text1"/>
                <w:kern w:val="2"/>
                <w:szCs w:val="21"/>
                <w14:textFill>
                  <w14:solidFill>
                    <w14:schemeClr w14:val="tx1"/>
                  </w14:solidFill>
                </w14:textFill>
              </w:rPr>
            </w:pPr>
            <w:r>
              <w:rPr>
                <w:rFonts w:ascii="Cambria Math" w:hAnsi="Cambria Math" w:cs="Cambria Math" w:eastAsiaTheme="minorEastAsia"/>
                <w:color w:val="000000" w:themeColor="text1"/>
                <w:kern w:val="2"/>
                <w:szCs w:val="21"/>
                <w14:textFill>
                  <w14:solidFill>
                    <w14:schemeClr w14:val="tx1"/>
                  </w14:solidFill>
                </w14:textFill>
              </w:rPr>
              <w:t>①</w:t>
            </w:r>
            <w:r>
              <w:rPr>
                <w:rFonts w:asciiTheme="majorBidi" w:hAnsiTheme="majorBidi" w:eastAsiaTheme="minorEastAsia" w:cstheme="majorBidi"/>
                <w:color w:val="000000" w:themeColor="text1"/>
                <w:kern w:val="2"/>
                <w:szCs w:val="21"/>
                <w14:textFill>
                  <w14:solidFill>
                    <w14:schemeClr w14:val="tx1"/>
                  </w14:solidFill>
                </w14:textFill>
              </w:rPr>
              <w:t>冷却循环用水</w:t>
            </w:r>
          </w:p>
          <w:p w14:paraId="06874511">
            <w:pPr>
              <w:keepNext/>
              <w:ind w:firstLine="480"/>
              <w:rPr>
                <w:rFonts w:asciiTheme="majorBidi" w:hAnsiTheme="majorBidi" w:eastAsiaTheme="minorEastAsia" w:cstheme="majorBidi"/>
                <w:color w:val="000000" w:themeColor="text1"/>
                <w:kern w:val="2"/>
                <w:szCs w:val="21"/>
                <w14:textFill>
                  <w14:solidFill>
                    <w14:schemeClr w14:val="tx1"/>
                  </w14:solidFill>
                </w14:textFill>
              </w:rPr>
            </w:pPr>
            <w:r>
              <w:rPr>
                <w:rFonts w:asciiTheme="majorBidi" w:hAnsiTheme="majorBidi" w:eastAsiaTheme="minorEastAsia" w:cstheme="majorBidi"/>
                <w:color w:val="000000" w:themeColor="text1"/>
                <w:kern w:val="2"/>
                <w:szCs w:val="21"/>
                <w14:textFill>
                  <w14:solidFill>
                    <w14:schemeClr w14:val="tx1"/>
                  </w14:solidFill>
                </w14:textFill>
              </w:rPr>
              <w:t>项目设有1台冷却塔，冷却用水经冷凝器</w:t>
            </w:r>
            <w:r>
              <w:rPr>
                <w:rFonts w:asciiTheme="majorBidi" w:hAnsiTheme="majorBidi" w:eastAsiaTheme="minorEastAsia" w:cstheme="majorBidi"/>
                <w:color w:val="0000FF"/>
                <w:kern w:val="2"/>
                <w:szCs w:val="21"/>
              </w:rPr>
              <w:t>间接</w:t>
            </w:r>
            <w:r>
              <w:rPr>
                <w:rFonts w:asciiTheme="majorBidi" w:hAnsiTheme="majorBidi" w:eastAsiaTheme="minorEastAsia" w:cstheme="majorBidi"/>
                <w:color w:val="000000" w:themeColor="text1"/>
                <w:kern w:val="2"/>
                <w:szCs w:val="21"/>
                <w14:textFill>
                  <w14:solidFill>
                    <w14:schemeClr w14:val="tx1"/>
                  </w14:solidFill>
                </w14:textFill>
              </w:rPr>
              <w:t>冷却后被重新泵入冷却塔中循环使用，冷却塔循环水量3m³/h。</w:t>
            </w:r>
            <w:r>
              <w:rPr>
                <w:rFonts w:asciiTheme="majorBidi" w:hAnsiTheme="majorBidi" w:eastAsiaTheme="minorEastAsia" w:cstheme="majorBidi"/>
                <w:color w:val="0000FF"/>
                <w:kern w:val="2"/>
                <w:szCs w:val="21"/>
              </w:rPr>
              <w:t>注塑机</w:t>
            </w:r>
            <w:r>
              <w:rPr>
                <w:rFonts w:asciiTheme="majorBidi" w:hAnsiTheme="majorBidi" w:eastAsiaTheme="minorEastAsia" w:cstheme="majorBidi"/>
                <w:color w:val="000000" w:themeColor="text1"/>
                <w:kern w:val="2"/>
                <w:szCs w:val="21"/>
                <w14:textFill>
                  <w14:solidFill>
                    <w14:schemeClr w14:val="tx1"/>
                  </w14:solidFill>
                </w14:textFill>
              </w:rPr>
              <w:t>每天运行16h，当</w:t>
            </w:r>
            <w:r>
              <w:rPr>
                <w:rFonts w:asciiTheme="majorBidi" w:hAnsiTheme="majorBidi" w:eastAsiaTheme="minorEastAsia" w:cstheme="majorBidi"/>
                <w:color w:val="0000FF"/>
                <w:kern w:val="2"/>
                <w:szCs w:val="21"/>
              </w:rPr>
              <w:t>注塑机</w:t>
            </w:r>
            <w:r>
              <w:rPr>
                <w:rFonts w:asciiTheme="majorBidi" w:hAnsiTheme="majorBidi" w:eastAsiaTheme="minorEastAsia" w:cstheme="majorBidi"/>
                <w:color w:val="000000" w:themeColor="text1"/>
                <w:kern w:val="2"/>
                <w:szCs w:val="21"/>
                <w14:textFill>
                  <w14:solidFill>
                    <w14:schemeClr w14:val="tx1"/>
                  </w14:solidFill>
                </w14:textFill>
              </w:rPr>
              <w:t>达到一定温度时，冷却水塔开始工作，按冷却水塔每天运行16h计，</w:t>
            </w:r>
            <w:r>
              <w:rPr>
                <w:rFonts w:asciiTheme="majorBidi" w:hAnsiTheme="majorBidi" w:eastAsiaTheme="minorEastAsia" w:cstheme="majorBidi"/>
                <w:color w:val="000000" w:themeColor="text1"/>
                <w:kern w:val="2"/>
                <w:szCs w:val="21"/>
                <w:highlight w:val="yellow"/>
                <w14:textFill>
                  <w14:solidFill>
                    <w14:schemeClr w14:val="tx1"/>
                  </w14:solidFill>
                </w14:textFill>
              </w:rPr>
              <w:t>冷却塔循环水量合计为48.00m³/d（14400.00m³/a），根据《工业循环冷却水处理设计规范》（GB/T 50050-2017）闭式系统的补充水系统设计流量宜为循环水量的0.5%~1.0%，本项目的冷却塔的补充水损耗量按1%计算，即项目1台冷却塔的补充水用量约0.48m³/d（144.00m³/a）</w:t>
            </w:r>
            <w:r>
              <w:rPr>
                <w:rFonts w:asciiTheme="majorBidi" w:hAnsiTheme="majorBidi" w:eastAsiaTheme="minorEastAsia" w:cstheme="majorBidi"/>
                <w:color w:val="000000" w:themeColor="text1"/>
                <w:kern w:val="2"/>
                <w:szCs w:val="21"/>
                <w14:textFill>
                  <w14:solidFill>
                    <w14:schemeClr w14:val="tx1"/>
                  </w14:solidFill>
                </w14:textFill>
              </w:rPr>
              <w:t>。</w:t>
            </w:r>
          </w:p>
          <w:p w14:paraId="2341C141">
            <w:pPr>
              <w:ind w:firstLine="480"/>
              <w:rPr>
                <w:rFonts w:asciiTheme="majorBidi" w:hAnsiTheme="majorBidi" w:eastAsiaTheme="minorEastAsia" w:cstheme="majorBidi"/>
                <w:color w:val="000000" w:themeColor="text1"/>
                <w:kern w:val="2"/>
                <w:szCs w:val="21"/>
                <w14:textFill>
                  <w14:solidFill>
                    <w14:schemeClr w14:val="tx1"/>
                  </w14:solidFill>
                </w14:textFill>
              </w:rPr>
            </w:pPr>
            <w:r>
              <w:rPr>
                <w:rFonts w:ascii="Cambria Math" w:hAnsi="Cambria Math" w:cs="Cambria Math" w:eastAsiaTheme="minorEastAsia"/>
                <w:color w:val="000000" w:themeColor="text1"/>
                <w:kern w:val="2"/>
                <w:szCs w:val="21"/>
                <w14:textFill>
                  <w14:solidFill>
                    <w14:schemeClr w14:val="tx1"/>
                  </w14:solidFill>
                </w14:textFill>
              </w:rPr>
              <w:t>②</w:t>
            </w:r>
            <w:r>
              <w:rPr>
                <w:rFonts w:asciiTheme="majorBidi" w:hAnsiTheme="majorBidi" w:eastAsiaTheme="minorEastAsia" w:cstheme="majorBidi"/>
                <w:color w:val="000000" w:themeColor="text1"/>
                <w:kern w:val="2"/>
                <w:szCs w:val="21"/>
                <w14:textFill>
                  <w14:solidFill>
                    <w14:schemeClr w14:val="tx1"/>
                  </w14:solidFill>
                </w14:textFill>
              </w:rPr>
              <w:t>水帘柜用水：项目设有4个水帘柜，尺寸均为4m*2m*1.8m，</w:t>
            </w:r>
            <w:r>
              <w:rPr>
                <w:rFonts w:hint="eastAsia" w:asciiTheme="majorBidi" w:hAnsiTheme="majorBidi" w:eastAsiaTheme="minorEastAsia" w:cstheme="majorBidi"/>
                <w:color w:val="000000" w:themeColor="text1"/>
                <w:kern w:val="2"/>
                <w:szCs w:val="21"/>
                <w14:textFill>
                  <w14:solidFill>
                    <w14:schemeClr w14:val="tx1"/>
                  </w14:solidFill>
                </w14:textFill>
              </w:rPr>
              <w:t>每个</w:t>
            </w:r>
            <w:r>
              <w:rPr>
                <w:rFonts w:asciiTheme="majorBidi" w:hAnsiTheme="majorBidi" w:eastAsiaTheme="minorEastAsia" w:cstheme="majorBidi"/>
                <w:color w:val="000000" w:themeColor="text1"/>
                <w:kern w:val="2"/>
                <w:szCs w:val="21"/>
                <w14:textFill>
                  <w14:solidFill>
                    <w14:schemeClr w14:val="tx1"/>
                  </w14:solidFill>
                </w14:textFill>
              </w:rPr>
              <w:t>水帘柜有效水深均为</w:t>
            </w:r>
            <w:r>
              <w:rPr>
                <w:rFonts w:hint="eastAsia" w:asciiTheme="majorBidi" w:hAnsiTheme="majorBidi" w:eastAsiaTheme="minorEastAsia" w:cstheme="majorBidi"/>
                <w:color w:val="000000" w:themeColor="text1"/>
                <w:kern w:val="2"/>
                <w:szCs w:val="21"/>
                <w14:textFill>
                  <w14:solidFill>
                    <w14:schemeClr w14:val="tx1"/>
                  </w14:solidFill>
                </w14:textFill>
              </w:rPr>
              <w:t>0.</w:t>
            </w:r>
            <w:r>
              <w:rPr>
                <w:rFonts w:asciiTheme="majorBidi" w:hAnsiTheme="majorBidi" w:eastAsiaTheme="minorEastAsia" w:cstheme="majorBidi"/>
                <w:color w:val="000000" w:themeColor="text1"/>
                <w:kern w:val="2"/>
                <w:szCs w:val="21"/>
                <w14:textFill>
                  <w14:solidFill>
                    <w14:schemeClr w14:val="tx1"/>
                  </w14:solidFill>
                </w14:textFill>
              </w:rPr>
              <w:t>25m，4个水帘柜有效容积共计4m*2m*</w:t>
            </w:r>
            <w:r>
              <w:rPr>
                <w:rFonts w:hint="eastAsia" w:asciiTheme="majorBidi" w:hAnsiTheme="majorBidi" w:eastAsiaTheme="minorEastAsia" w:cstheme="majorBidi"/>
                <w:color w:val="000000" w:themeColor="text1"/>
                <w:kern w:val="2"/>
                <w:szCs w:val="21"/>
                <w14:textFill>
                  <w14:solidFill>
                    <w14:schemeClr w14:val="tx1"/>
                  </w14:solidFill>
                </w14:textFill>
              </w:rPr>
              <w:t>0.</w:t>
            </w:r>
            <w:r>
              <w:rPr>
                <w:rFonts w:asciiTheme="majorBidi" w:hAnsiTheme="majorBidi" w:eastAsiaTheme="minorEastAsia" w:cstheme="majorBidi"/>
                <w:color w:val="000000" w:themeColor="text1"/>
                <w:kern w:val="2"/>
                <w:szCs w:val="21"/>
                <w14:textFill>
                  <w14:solidFill>
                    <w14:schemeClr w14:val="tx1"/>
                  </w14:solidFill>
                </w14:textFill>
              </w:rPr>
              <w:t>25m*</w:t>
            </w:r>
            <w:r>
              <w:rPr>
                <w:rFonts w:hint="eastAsia" w:asciiTheme="majorBidi" w:hAnsiTheme="majorBidi" w:eastAsiaTheme="minorEastAsia" w:cstheme="majorBidi"/>
                <w:color w:val="000000" w:themeColor="text1"/>
                <w:kern w:val="2"/>
                <w:szCs w:val="21"/>
                <w14:textFill>
                  <w14:solidFill>
                    <w14:schemeClr w14:val="tx1"/>
                  </w14:solidFill>
                </w14:textFill>
              </w:rPr>
              <w:t>4=</w:t>
            </w:r>
            <w:r>
              <w:rPr>
                <w:rFonts w:asciiTheme="majorBidi" w:hAnsiTheme="majorBidi" w:eastAsiaTheme="minorEastAsia" w:cstheme="majorBidi"/>
                <w:color w:val="000000" w:themeColor="text1"/>
                <w:kern w:val="2"/>
                <w:szCs w:val="21"/>
                <w14:textFill>
                  <w14:solidFill>
                    <w14:schemeClr w14:val="tx1"/>
                  </w14:solidFill>
                </w14:textFill>
              </w:rPr>
              <w:t>8m³。项目水帘柜的水定期打捞漆渣后循环使用，4个水帘柜总循环水量约为8m³/h，每天喷涂时间为3小时，合计循环量为24.00m³/d。根据《涂装车间设计手册》（化学工业出版社，2013年），水帘柜补充水量为循环水量的3%~5%，项目取5%，</w:t>
            </w:r>
            <w:r>
              <w:rPr>
                <w:rFonts w:asciiTheme="majorBidi" w:hAnsiTheme="majorBidi" w:eastAsiaTheme="minorEastAsia" w:cstheme="majorBidi"/>
                <w:b/>
                <w:bCs/>
                <w:color w:val="000000" w:themeColor="text1"/>
                <w:kern w:val="2"/>
                <w:szCs w:val="21"/>
                <w14:textFill>
                  <w14:solidFill>
                    <w14:schemeClr w14:val="tx1"/>
                  </w14:solidFill>
                </w14:textFill>
              </w:rPr>
              <w:t>项目水帘柜补充水量为</w:t>
            </w:r>
            <w:r>
              <w:rPr>
                <w:rFonts w:asciiTheme="majorBidi" w:hAnsiTheme="majorBidi" w:eastAsiaTheme="minorEastAsia" w:cstheme="majorBidi"/>
                <w:color w:val="000000" w:themeColor="text1"/>
                <w:kern w:val="2"/>
                <w:szCs w:val="21"/>
                <w14:textFill>
                  <w14:solidFill>
                    <w14:schemeClr w14:val="tx1"/>
                  </w14:solidFill>
                </w14:textFill>
              </w:rPr>
              <w:t>360.00m³/a（1.20m³/d）。水帘柜的水循环使用时间较长后需要更换，项目拟3个月更换一次，</w:t>
            </w:r>
            <w:r>
              <w:rPr>
                <w:rFonts w:hint="eastAsia" w:asciiTheme="majorBidi" w:hAnsiTheme="majorBidi" w:eastAsiaTheme="minorEastAsia" w:cstheme="majorBidi"/>
                <w:color w:val="000000" w:themeColor="text1"/>
                <w:kern w:val="2"/>
                <w:szCs w:val="21"/>
                <w14:textFill>
                  <w14:solidFill>
                    <w14:schemeClr w14:val="tx1"/>
                  </w14:solidFill>
                </w14:textFill>
              </w:rPr>
              <w:t>即年更换4次，</w:t>
            </w:r>
            <w:r>
              <w:rPr>
                <w:rFonts w:hint="eastAsia" w:asciiTheme="majorBidi" w:hAnsiTheme="majorBidi" w:eastAsiaTheme="minorEastAsia" w:cstheme="majorBidi"/>
                <w:b/>
                <w:bCs/>
                <w:color w:val="000000" w:themeColor="text1"/>
                <w:kern w:val="2"/>
                <w:szCs w:val="21"/>
                <w14:textFill>
                  <w14:solidFill>
                    <w14:schemeClr w14:val="tx1"/>
                  </w14:solidFill>
                </w14:textFill>
              </w:rPr>
              <w:t>更换</w:t>
            </w:r>
            <w:r>
              <w:rPr>
                <w:rFonts w:asciiTheme="majorBidi" w:hAnsiTheme="majorBidi" w:eastAsiaTheme="minorEastAsia" w:cstheme="majorBidi"/>
                <w:b/>
                <w:bCs/>
                <w:color w:val="000000" w:themeColor="text1"/>
                <w:kern w:val="2"/>
                <w:szCs w:val="21"/>
                <w14:textFill>
                  <w14:solidFill>
                    <w14:schemeClr w14:val="tx1"/>
                  </w14:solidFill>
                </w14:textFill>
              </w:rPr>
              <w:t>水量</w:t>
            </w:r>
            <w:r>
              <w:rPr>
                <w:rFonts w:hint="eastAsia" w:asciiTheme="majorBidi" w:hAnsiTheme="majorBidi" w:eastAsiaTheme="minorEastAsia" w:cstheme="majorBidi"/>
                <w:b/>
                <w:bCs/>
                <w:color w:val="000000" w:themeColor="text1"/>
                <w:kern w:val="2"/>
                <w:szCs w:val="21"/>
                <w14:textFill>
                  <w14:solidFill>
                    <w14:schemeClr w14:val="tx1"/>
                  </w14:solidFill>
                </w14:textFill>
              </w:rPr>
              <w:t>合计</w:t>
            </w:r>
            <w:r>
              <w:rPr>
                <w:rFonts w:asciiTheme="majorBidi" w:hAnsiTheme="majorBidi" w:eastAsiaTheme="minorEastAsia" w:cstheme="majorBidi"/>
                <w:color w:val="000000" w:themeColor="text1"/>
                <w:kern w:val="2"/>
                <w:szCs w:val="21"/>
                <w14:textFill>
                  <w14:solidFill>
                    <w14:schemeClr w14:val="tx1"/>
                  </w14:solidFill>
                </w14:textFill>
              </w:rPr>
              <w:t>32m³/a（0.11m³/d）。水帘柜总用水量为392.00m³/a（1.31m³/d）。</w:t>
            </w:r>
          </w:p>
          <w:p w14:paraId="2C9FA6BE">
            <w:pPr>
              <w:ind w:firstLine="480"/>
              <w:rPr>
                <w:rFonts w:asciiTheme="majorBidi" w:hAnsiTheme="majorBidi" w:eastAsiaTheme="minorEastAsia" w:cstheme="majorBidi"/>
                <w:color w:val="000000" w:themeColor="text1"/>
                <w:kern w:val="2"/>
                <w:szCs w:val="21"/>
                <w14:textFill>
                  <w14:solidFill>
                    <w14:schemeClr w14:val="tx1"/>
                  </w14:solidFill>
                </w14:textFill>
              </w:rPr>
            </w:pPr>
            <w:r>
              <w:rPr>
                <w:rFonts w:ascii="Cambria Math" w:hAnsi="Cambria Math" w:cs="Cambria Math" w:eastAsiaTheme="minorEastAsia"/>
                <w:color w:val="EE0000"/>
                <w:kern w:val="2"/>
                <w:szCs w:val="21"/>
              </w:rPr>
              <w:t>③</w:t>
            </w:r>
            <w:r>
              <w:rPr>
                <w:rFonts w:asciiTheme="majorBidi" w:hAnsiTheme="majorBidi" w:eastAsiaTheme="minorEastAsia" w:cstheme="majorBidi"/>
                <w:color w:val="EE0000"/>
                <w:kern w:val="2"/>
                <w:szCs w:val="21"/>
              </w:rPr>
              <w:t>喷枪清洗水：项目8把喷枪头每天清洗1次，每次清洗水量2.0L/次，则喷枪清洗所需水量0</w:t>
            </w:r>
            <w:r>
              <w:rPr>
                <w:rFonts w:hint="eastAsia" w:asciiTheme="majorBidi" w:hAnsiTheme="majorBidi" w:eastAsiaTheme="minorEastAsia" w:cstheme="majorBidi"/>
                <w:color w:val="EE0000"/>
                <w:kern w:val="2"/>
                <w:szCs w:val="21"/>
              </w:rPr>
              <w:t>.6</w:t>
            </w:r>
            <w:r>
              <w:rPr>
                <w:rFonts w:asciiTheme="majorBidi" w:hAnsiTheme="majorBidi" w:eastAsiaTheme="minorEastAsia" w:cstheme="majorBidi"/>
                <w:color w:val="EE0000"/>
                <w:kern w:val="2"/>
                <w:szCs w:val="21"/>
              </w:rPr>
              <w:t>m³/a（</w:t>
            </w:r>
            <w:r>
              <w:rPr>
                <w:rFonts w:hint="eastAsia" w:asciiTheme="majorBidi" w:hAnsiTheme="majorBidi" w:eastAsiaTheme="minorEastAsia" w:cstheme="majorBidi"/>
                <w:color w:val="EE0000"/>
                <w:kern w:val="2"/>
                <w:szCs w:val="21"/>
              </w:rPr>
              <w:t>0.002</w:t>
            </w:r>
            <w:r>
              <w:rPr>
                <w:rFonts w:asciiTheme="majorBidi" w:hAnsiTheme="majorBidi" w:eastAsiaTheme="minorEastAsia" w:cstheme="majorBidi"/>
                <w:color w:val="EE0000"/>
                <w:kern w:val="2"/>
                <w:szCs w:val="21"/>
              </w:rPr>
              <w:t>m³/d）。</w:t>
            </w:r>
          </w:p>
          <w:p w14:paraId="5D87D849">
            <w:pPr>
              <w:ind w:firstLine="480"/>
              <w:rPr>
                <w:rFonts w:asciiTheme="majorBidi" w:hAnsiTheme="majorBidi" w:eastAsiaTheme="minorEastAsia" w:cstheme="majorBidi"/>
                <w:color w:val="EE0000"/>
                <w:kern w:val="2"/>
                <w:szCs w:val="21"/>
              </w:rPr>
            </w:pPr>
            <w:r>
              <w:rPr>
                <w:rFonts w:ascii="Cambria Math" w:hAnsi="Cambria Math" w:cs="Cambria Math" w:eastAsiaTheme="minorEastAsia"/>
                <w:color w:val="000000" w:themeColor="text1"/>
                <w:kern w:val="2"/>
                <w:szCs w:val="21"/>
                <w14:textFill>
                  <w14:solidFill>
                    <w14:schemeClr w14:val="tx1"/>
                  </w14:solidFill>
                </w14:textFill>
              </w:rPr>
              <w:t>④</w:t>
            </w:r>
            <w:r>
              <w:rPr>
                <w:rFonts w:asciiTheme="majorBidi" w:hAnsiTheme="majorBidi" w:eastAsiaTheme="minorEastAsia" w:cstheme="majorBidi"/>
                <w:color w:val="000000" w:themeColor="text1"/>
                <w:kern w:val="2"/>
                <w:szCs w:val="21"/>
                <w14:textFill>
                  <w14:solidFill>
                    <w14:schemeClr w14:val="tx1"/>
                  </w14:solidFill>
                </w14:textFill>
              </w:rPr>
              <w:t>喷淋塔用水：</w:t>
            </w:r>
            <w:r>
              <w:rPr>
                <w:rFonts w:hint="eastAsia" w:asciiTheme="majorBidi" w:hAnsiTheme="majorBidi" w:eastAsiaTheme="minorEastAsia" w:cstheme="majorBidi"/>
                <w:color w:val="EE0000"/>
                <w:kern w:val="2"/>
                <w:szCs w:val="21"/>
              </w:rPr>
              <w:t>项目废气处理设施设有1个水喷淋塔（自带除雾器）及配套循环水池，水喷淋塔循环水池规格为Φ1800×0.7m，有效储水量约1.5m³，循环水量为5m³/h。项目的喷淋塔循环水中吸附有漆雾及水溶性VOCs，喷涂工序平均每进行100个小时的生产需更换一次喷淋水，即平均一年更换3次喷淋水，未换水期间每天使用漆雾吸附剂混凝+过滤网过滤循环水，混凝沉淀。喷淋塔中的循环水污染物为COD及SS，更换循环水时，喷淋塔内设置排水管道将循环水用收集罐收集并委托有危险废物处置资质的公司处理。</w:t>
            </w:r>
            <w:r>
              <w:rPr>
                <w:rFonts w:hint="eastAsia" w:asciiTheme="majorBidi" w:hAnsiTheme="majorBidi" w:eastAsiaTheme="minorEastAsia" w:cstheme="majorBidi"/>
                <w:b/>
                <w:bCs/>
                <w:color w:val="EE0000"/>
                <w:kern w:val="2"/>
                <w:szCs w:val="21"/>
              </w:rPr>
              <w:t>喷淋塔更换水量</w:t>
            </w:r>
            <w:r>
              <w:rPr>
                <w:rFonts w:hint="eastAsia" w:asciiTheme="majorBidi" w:hAnsiTheme="majorBidi" w:eastAsiaTheme="minorEastAsia" w:cstheme="majorBidi"/>
                <w:color w:val="EE0000"/>
                <w:kern w:val="2"/>
                <w:szCs w:val="21"/>
              </w:rPr>
              <w:t>为喷淋塔所配循环水箱的100%，喷淋塔年更换水量为1.5×3=4.5m³；喷淋塔运行时间为每天16小时，</w:t>
            </w:r>
            <w:r>
              <w:rPr>
                <w:rFonts w:hint="eastAsia" w:asciiTheme="majorBidi" w:hAnsiTheme="majorBidi" w:eastAsiaTheme="minorEastAsia" w:cstheme="majorBidi"/>
                <w:b/>
                <w:bCs/>
                <w:color w:val="EE0000"/>
                <w:kern w:val="2"/>
                <w:szCs w:val="21"/>
              </w:rPr>
              <w:t>喷淋塔补充水量</w:t>
            </w:r>
            <w:r>
              <w:rPr>
                <w:rFonts w:hint="eastAsia" w:asciiTheme="majorBidi" w:hAnsiTheme="majorBidi" w:eastAsiaTheme="minorEastAsia" w:cstheme="majorBidi"/>
                <w:b/>
                <w:bCs/>
                <w:color w:val="0000FF"/>
                <w:kern w:val="2"/>
                <w:szCs w:val="21"/>
              </w:rPr>
              <w:t>参考</w:t>
            </w:r>
            <w:r>
              <w:rPr>
                <w:rFonts w:hint="eastAsia" w:asciiTheme="majorBidi" w:hAnsiTheme="majorBidi" w:eastAsiaTheme="minorEastAsia" w:cstheme="majorBidi"/>
                <w:color w:val="0000FF"/>
                <w:kern w:val="2"/>
                <w:szCs w:val="21"/>
              </w:rPr>
              <w:t>《工业循环冷却水处理设计规范》（GB/T 50050-2017）“闭式系统的补充水系统设计流量宜为循环水量的0.5%~1.0%</w:t>
            </w:r>
            <w:r>
              <w:rPr>
                <w:rFonts w:hint="eastAsia" w:asciiTheme="majorBidi" w:hAnsiTheme="majorBidi" w:eastAsiaTheme="minorEastAsia" w:cstheme="majorBidi"/>
                <w:color w:val="EE0000"/>
                <w:kern w:val="2"/>
                <w:szCs w:val="21"/>
              </w:rPr>
              <w:t xml:space="preserve"> </w:t>
            </w:r>
            <w:r>
              <w:rPr>
                <w:rFonts w:hint="eastAsia" w:asciiTheme="majorBidi" w:hAnsiTheme="majorBidi" w:eastAsiaTheme="minorEastAsia" w:cstheme="majorBidi"/>
                <w:color w:val="0000FF"/>
                <w:kern w:val="2"/>
                <w:szCs w:val="21"/>
              </w:rPr>
              <w:t>”保守以</w:t>
            </w:r>
            <w:r>
              <w:rPr>
                <w:rFonts w:hint="eastAsia" w:asciiTheme="majorBidi" w:hAnsiTheme="majorBidi" w:eastAsiaTheme="minorEastAsia" w:cstheme="majorBidi"/>
                <w:color w:val="EE0000"/>
                <w:kern w:val="2"/>
                <w:szCs w:val="21"/>
              </w:rPr>
              <w:t>1%计算，则需补充的水量为5×16×1%=0.8m³/天，补充水用水量0.8*300=240m³/a，则喷淋塔年</w:t>
            </w:r>
            <w:r>
              <w:rPr>
                <w:rFonts w:hint="eastAsia" w:asciiTheme="majorBidi" w:hAnsiTheme="majorBidi" w:eastAsiaTheme="minorEastAsia" w:cstheme="majorBidi"/>
                <w:b/>
                <w:bCs/>
                <w:color w:val="EE0000"/>
                <w:kern w:val="2"/>
                <w:szCs w:val="21"/>
              </w:rPr>
              <w:t>总用水量</w:t>
            </w:r>
            <w:r>
              <w:rPr>
                <w:rFonts w:hint="eastAsia" w:asciiTheme="majorBidi" w:hAnsiTheme="majorBidi" w:eastAsiaTheme="minorEastAsia" w:cstheme="majorBidi"/>
                <w:color w:val="EE0000"/>
                <w:kern w:val="2"/>
                <w:szCs w:val="21"/>
              </w:rPr>
              <w:t>为240+4.5=244.5 m³/a（0.815</w:t>
            </w:r>
            <w:r>
              <w:rPr>
                <w:rFonts w:asciiTheme="majorBidi" w:hAnsiTheme="majorBidi" w:eastAsiaTheme="minorEastAsia" w:cstheme="majorBidi"/>
                <w:color w:val="EE0000"/>
                <w:kern w:val="2"/>
                <w:szCs w:val="21"/>
              </w:rPr>
              <w:t>m³/</w:t>
            </w:r>
            <w:r>
              <w:rPr>
                <w:rFonts w:hint="eastAsia" w:asciiTheme="majorBidi" w:hAnsiTheme="majorBidi" w:eastAsiaTheme="minorEastAsia" w:cstheme="majorBidi"/>
                <w:color w:val="EE0000"/>
                <w:kern w:val="2"/>
                <w:szCs w:val="21"/>
              </w:rPr>
              <w:t>d）。</w:t>
            </w:r>
          </w:p>
          <w:p w14:paraId="59A92DF6">
            <w:pPr>
              <w:ind w:firstLine="482"/>
              <w:rPr>
                <w:rFonts w:asciiTheme="majorBidi" w:hAnsiTheme="majorBidi" w:eastAsiaTheme="minorEastAsia" w:cstheme="majorBidi"/>
                <w:b/>
                <w:bCs/>
                <w:color w:val="000000" w:themeColor="text1"/>
                <w:kern w:val="2"/>
                <w:szCs w:val="21"/>
                <w14:textFill>
                  <w14:solidFill>
                    <w14:schemeClr w14:val="tx1"/>
                  </w14:solidFill>
                </w14:textFill>
              </w:rPr>
            </w:pPr>
            <w:r>
              <w:rPr>
                <w:rFonts w:asciiTheme="majorBidi" w:hAnsiTheme="majorBidi" w:eastAsiaTheme="minorEastAsia" w:cstheme="majorBidi"/>
                <w:b/>
                <w:bCs/>
                <w:color w:val="000000" w:themeColor="text1"/>
                <w:kern w:val="2"/>
                <w:szCs w:val="21"/>
                <w14:textFill>
                  <w14:solidFill>
                    <w14:schemeClr w14:val="tx1"/>
                  </w14:solidFill>
                </w14:textFill>
              </w:rPr>
              <w:t>2.排水系统</w:t>
            </w:r>
          </w:p>
          <w:p w14:paraId="4A550CC2">
            <w:pPr>
              <w:ind w:firstLine="480"/>
              <w:rPr>
                <w:rFonts w:asciiTheme="majorBidi" w:hAnsiTheme="majorBidi" w:eastAsiaTheme="minorEastAsia" w:cstheme="majorBidi"/>
                <w:color w:val="000000" w:themeColor="text1"/>
                <w:kern w:val="2"/>
                <w:szCs w:val="21"/>
                <w14:textFill>
                  <w14:solidFill>
                    <w14:schemeClr w14:val="tx1"/>
                  </w14:solidFill>
                </w14:textFill>
              </w:rPr>
            </w:pPr>
            <w:r>
              <w:rPr>
                <w:rFonts w:asciiTheme="majorBidi" w:hAnsiTheme="majorBidi" w:eastAsiaTheme="minorEastAsia" w:cstheme="majorBidi"/>
                <w:color w:val="000000" w:themeColor="text1"/>
                <w:kern w:val="2"/>
                <w:szCs w:val="21"/>
                <w14:textFill>
                  <w14:solidFill>
                    <w14:schemeClr w14:val="tx1"/>
                  </w14:solidFill>
                </w14:textFill>
              </w:rPr>
              <w:t>项目生活用水量为600m³/a，排污系数按0.9计算。生活污水排放量为540m³/a（1.80m³/d），生活污水收集至三级化粪池处理后进入市政截污管网，引至博罗县园洲镇第五生活污水处理厂深度处理，尾水排入园洲中心排渠。</w:t>
            </w:r>
          </w:p>
          <w:p w14:paraId="4F796084">
            <w:pPr>
              <w:ind w:firstLine="480"/>
              <w:rPr>
                <w:rFonts w:asciiTheme="majorBidi" w:hAnsiTheme="majorBidi" w:eastAsiaTheme="minorEastAsia" w:cstheme="majorBidi"/>
                <w:color w:val="000000" w:themeColor="text1"/>
                <w:kern w:val="2"/>
                <w:szCs w:val="21"/>
                <w14:textFill>
                  <w14:solidFill>
                    <w14:schemeClr w14:val="tx1"/>
                  </w14:solidFill>
                </w14:textFill>
              </w:rPr>
            </w:pPr>
            <w:r>
              <w:rPr>
                <w:rFonts w:asciiTheme="majorBidi" w:hAnsiTheme="majorBidi" w:eastAsiaTheme="minorEastAsia" w:cstheme="majorBidi"/>
                <w:color w:val="000000" w:themeColor="text1"/>
                <w:kern w:val="2"/>
                <w:szCs w:val="21"/>
                <w14:textFill>
                  <w14:solidFill>
                    <w14:schemeClr w14:val="tx1"/>
                  </w14:solidFill>
                </w14:textFill>
              </w:rPr>
              <w:t>水帘柜水槽水更换产生水帘柜废液，产生量为32m³/a（0.11m³/d）；喷枪清洗废液产生量为</w:t>
            </w:r>
            <w:r>
              <w:rPr>
                <w:rFonts w:hint="eastAsia" w:asciiTheme="majorBidi" w:hAnsiTheme="majorBidi" w:eastAsiaTheme="minorEastAsia" w:cstheme="majorBidi"/>
                <w:color w:val="EE0000"/>
                <w:kern w:val="2"/>
                <w:szCs w:val="21"/>
              </w:rPr>
              <w:t>0.6</w:t>
            </w:r>
            <w:r>
              <w:rPr>
                <w:rFonts w:asciiTheme="majorBidi" w:hAnsiTheme="majorBidi" w:eastAsiaTheme="minorEastAsia" w:cstheme="majorBidi"/>
                <w:color w:val="EE0000"/>
                <w:kern w:val="2"/>
                <w:szCs w:val="21"/>
              </w:rPr>
              <w:t>m³/a（0.0</w:t>
            </w:r>
            <w:r>
              <w:rPr>
                <w:rFonts w:hint="eastAsia" w:asciiTheme="majorBidi" w:hAnsiTheme="majorBidi" w:eastAsiaTheme="minorEastAsia" w:cstheme="majorBidi"/>
                <w:color w:val="EE0000"/>
                <w:kern w:val="2"/>
                <w:szCs w:val="21"/>
              </w:rPr>
              <w:t>02</w:t>
            </w:r>
            <w:r>
              <w:rPr>
                <w:rFonts w:asciiTheme="majorBidi" w:hAnsiTheme="majorBidi" w:eastAsiaTheme="minorEastAsia" w:cstheme="majorBidi"/>
                <w:color w:val="EE0000"/>
                <w:kern w:val="2"/>
                <w:szCs w:val="21"/>
              </w:rPr>
              <w:t>m³/d）</w:t>
            </w:r>
            <w:r>
              <w:rPr>
                <w:rFonts w:asciiTheme="majorBidi" w:hAnsiTheme="majorBidi" w:eastAsiaTheme="minorEastAsia" w:cstheme="majorBidi"/>
                <w:color w:val="000000" w:themeColor="text1"/>
                <w:kern w:val="2"/>
                <w:szCs w:val="21"/>
                <w14:textFill>
                  <w14:solidFill>
                    <w14:schemeClr w14:val="tx1"/>
                  </w14:solidFill>
                </w14:textFill>
              </w:rPr>
              <w:t>，喷淋塔废液产生量</w:t>
            </w:r>
            <w:r>
              <w:rPr>
                <w:rFonts w:hint="eastAsia" w:asciiTheme="majorBidi" w:hAnsiTheme="majorBidi" w:eastAsiaTheme="minorEastAsia" w:cstheme="majorBidi"/>
                <w:color w:val="EE0000"/>
                <w:kern w:val="2"/>
                <w:szCs w:val="21"/>
              </w:rPr>
              <w:t>4.5</w:t>
            </w:r>
            <w:r>
              <w:rPr>
                <w:rFonts w:asciiTheme="majorBidi" w:hAnsiTheme="majorBidi" w:eastAsiaTheme="minorEastAsia" w:cstheme="majorBidi"/>
                <w:color w:val="000000" w:themeColor="text1"/>
                <w:kern w:val="2"/>
                <w:szCs w:val="21"/>
                <w14:textFill>
                  <w14:solidFill>
                    <w14:schemeClr w14:val="tx1"/>
                  </w14:solidFill>
                </w14:textFill>
              </w:rPr>
              <w:t>m³/a（0.01</w:t>
            </w:r>
            <w:r>
              <w:rPr>
                <w:rFonts w:hint="eastAsia" w:asciiTheme="majorBidi" w:hAnsiTheme="majorBidi" w:eastAsiaTheme="minorEastAsia" w:cstheme="majorBidi"/>
                <w:color w:val="EE0000"/>
                <w:kern w:val="2"/>
                <w:szCs w:val="21"/>
              </w:rPr>
              <w:t>5</w:t>
            </w:r>
            <w:r>
              <w:rPr>
                <w:rFonts w:asciiTheme="majorBidi" w:hAnsiTheme="majorBidi" w:eastAsiaTheme="minorEastAsia" w:cstheme="majorBidi"/>
                <w:color w:val="000000" w:themeColor="text1"/>
                <w:kern w:val="2"/>
                <w:szCs w:val="21"/>
                <w14:textFill>
                  <w14:solidFill>
                    <w14:schemeClr w14:val="tx1"/>
                  </w14:solidFill>
                </w14:textFill>
              </w:rPr>
              <w:t>m³/d），收集后交由有危险废物处置资质的单位处理。</w:t>
            </w:r>
          </w:p>
          <w:p w14:paraId="7E788B4E">
            <w:pPr>
              <w:pStyle w:val="29"/>
            </w:pPr>
            <w:r>
              <w:drawing>
                <wp:inline distT="0" distB="0" distL="0" distR="0">
                  <wp:extent cx="5645150" cy="4461510"/>
                  <wp:effectExtent l="0" t="0" r="0" b="0"/>
                  <wp:docPr id="1430903762"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30903762" name="图片 1"/>
                          <pic:cNvPicPr>
                            <a:picLocks noChangeAspect="1"/>
                          </pic:cNvPicPr>
                        </pic:nvPicPr>
                        <pic:blipFill>
                          <a:blip r:embed="rId25"/>
                          <a:stretch>
                            <a:fillRect/>
                          </a:stretch>
                        </pic:blipFill>
                        <pic:spPr>
                          <a:xfrm>
                            <a:off x="0" y="0"/>
                            <a:ext cx="5645150" cy="4461510"/>
                          </a:xfrm>
                          <a:prstGeom prst="rect">
                            <a:avLst/>
                          </a:prstGeom>
                        </pic:spPr>
                      </pic:pic>
                    </a:graphicData>
                  </a:graphic>
                </wp:inline>
              </w:drawing>
            </w:r>
          </w:p>
          <w:p w14:paraId="718529FE">
            <w:pPr>
              <w:pStyle w:val="11"/>
              <w:rPr>
                <w:bCs w:val="0"/>
              </w:rPr>
            </w:pPr>
            <w:r>
              <w:rPr>
                <w:bCs w:val="0"/>
              </w:rPr>
              <w:t>图2-2 项目水平衡图（</w:t>
            </w:r>
            <w:r>
              <w:rPr>
                <w:rFonts w:eastAsiaTheme="minorEastAsia"/>
                <w:bCs w:val="0"/>
              </w:rPr>
              <w:t>m³</w:t>
            </w:r>
            <w:r>
              <w:rPr>
                <w:bCs w:val="0"/>
              </w:rPr>
              <w:t>/d）</w:t>
            </w:r>
          </w:p>
          <w:p w14:paraId="1CA8DC74">
            <w:pPr>
              <w:ind w:firstLine="482"/>
              <w:rPr>
                <w:rFonts w:asciiTheme="majorBidi" w:hAnsiTheme="majorBidi" w:eastAsiaTheme="minorEastAsia" w:cstheme="majorBidi"/>
                <w:b/>
                <w:bCs/>
                <w:color w:val="000000" w:themeColor="text1"/>
                <w:kern w:val="2"/>
                <w:szCs w:val="21"/>
                <w14:textFill>
                  <w14:solidFill>
                    <w14:schemeClr w14:val="tx1"/>
                  </w14:solidFill>
                </w14:textFill>
              </w:rPr>
            </w:pPr>
            <w:r>
              <w:rPr>
                <w:rFonts w:asciiTheme="majorBidi" w:hAnsiTheme="majorBidi" w:eastAsiaTheme="minorEastAsia" w:cstheme="majorBidi"/>
                <w:b/>
                <w:bCs/>
                <w:color w:val="000000" w:themeColor="text1"/>
                <w:kern w:val="2"/>
                <w:szCs w:val="21"/>
                <w14:textFill>
                  <w14:solidFill>
                    <w14:schemeClr w14:val="tx1"/>
                  </w14:solidFill>
                </w14:textFill>
              </w:rPr>
              <w:t>3.供电系统</w:t>
            </w:r>
          </w:p>
          <w:p w14:paraId="151E0644">
            <w:pPr>
              <w:ind w:firstLine="480"/>
              <w:rPr>
                <w:rFonts w:asciiTheme="majorBidi" w:hAnsiTheme="majorBidi" w:eastAsiaTheme="minorEastAsia" w:cstheme="majorBidi"/>
                <w:color w:val="000000" w:themeColor="text1"/>
                <w:kern w:val="2"/>
                <w:szCs w:val="21"/>
                <w14:textFill>
                  <w14:solidFill>
                    <w14:schemeClr w14:val="tx1"/>
                  </w14:solidFill>
                </w14:textFill>
              </w:rPr>
            </w:pPr>
            <w:r>
              <w:rPr>
                <w:rFonts w:asciiTheme="majorBidi" w:hAnsiTheme="majorBidi" w:eastAsiaTheme="minorEastAsia" w:cstheme="majorBidi"/>
                <w:color w:val="000000" w:themeColor="text1"/>
                <w:kern w:val="2"/>
                <w:szCs w:val="21"/>
                <w14:textFill>
                  <w14:solidFill>
                    <w14:schemeClr w14:val="tx1"/>
                  </w14:solidFill>
                </w14:textFill>
              </w:rPr>
              <w:t>项目用电由市政电网供给，不设置备用发电机。</w:t>
            </w:r>
          </w:p>
          <w:p w14:paraId="3BE3140D">
            <w:pPr>
              <w:ind w:firstLine="482"/>
              <w:rPr>
                <w:rFonts w:asciiTheme="majorBidi" w:hAnsiTheme="majorBidi" w:eastAsiaTheme="minorEastAsia" w:cstheme="majorBidi"/>
                <w:b/>
                <w:bCs/>
                <w:color w:val="000000" w:themeColor="text1"/>
                <w:kern w:val="2"/>
                <w:szCs w:val="21"/>
                <w14:textFill>
                  <w14:solidFill>
                    <w14:schemeClr w14:val="tx1"/>
                  </w14:solidFill>
                </w14:textFill>
              </w:rPr>
            </w:pPr>
            <w:r>
              <w:rPr>
                <w:rFonts w:asciiTheme="majorBidi" w:hAnsiTheme="majorBidi" w:eastAsiaTheme="minorEastAsia" w:cstheme="majorBidi"/>
                <w:b/>
                <w:bCs/>
                <w:color w:val="000000" w:themeColor="text1"/>
                <w:kern w:val="2"/>
                <w:szCs w:val="21"/>
                <w14:textFill>
                  <w14:solidFill>
                    <w14:schemeClr w14:val="tx1"/>
                  </w14:solidFill>
                </w14:textFill>
              </w:rPr>
              <w:t>（四）厂区平面布置</w:t>
            </w:r>
          </w:p>
          <w:p w14:paraId="68C06F44">
            <w:pPr>
              <w:ind w:firstLine="480"/>
            </w:pPr>
            <w:r>
              <w:t>1.项目车间平面布局情况</w:t>
            </w:r>
          </w:p>
          <w:p w14:paraId="11851D27">
            <w:pPr>
              <w:ind w:firstLine="480"/>
              <w:rPr>
                <w:rFonts w:asciiTheme="majorBidi" w:hAnsiTheme="majorBidi" w:eastAsiaTheme="minorEastAsia" w:cstheme="majorBidi"/>
                <w:color w:val="000000" w:themeColor="text1"/>
                <w:kern w:val="2"/>
                <w:szCs w:val="21"/>
                <w14:textFill>
                  <w14:solidFill>
                    <w14:schemeClr w14:val="tx1"/>
                  </w14:solidFill>
                </w14:textFill>
              </w:rPr>
            </w:pPr>
            <w:r>
              <w:rPr>
                <w:rFonts w:asciiTheme="majorBidi" w:hAnsiTheme="majorBidi" w:eastAsiaTheme="minorEastAsia" w:cstheme="majorBidi"/>
                <w:color w:val="000000" w:themeColor="text1"/>
                <w:kern w:val="2"/>
                <w:szCs w:val="21"/>
                <w14:textFill>
                  <w14:solidFill>
                    <w14:schemeClr w14:val="tx1"/>
                  </w14:solidFill>
                </w14:textFill>
              </w:rPr>
              <w:t>项目占地面积893.95m</w:t>
            </w:r>
            <w:r>
              <w:rPr>
                <w:rFonts w:asciiTheme="majorBidi" w:hAnsiTheme="majorBidi" w:eastAsiaTheme="minorEastAsia" w:cstheme="majorBidi"/>
                <w:color w:val="000000" w:themeColor="text1"/>
                <w:kern w:val="2"/>
                <w:szCs w:val="21"/>
                <w:vertAlign w:val="superscript"/>
                <w14:textFill>
                  <w14:solidFill>
                    <w14:schemeClr w14:val="tx1"/>
                  </w14:solidFill>
                </w14:textFill>
              </w:rPr>
              <w:t>2</w:t>
            </w:r>
            <w:r>
              <w:rPr>
                <w:rFonts w:asciiTheme="majorBidi" w:hAnsiTheme="majorBidi" w:eastAsiaTheme="minorEastAsia" w:cstheme="majorBidi"/>
                <w:color w:val="000000" w:themeColor="text1"/>
                <w:kern w:val="2"/>
                <w:szCs w:val="21"/>
                <w14:textFill>
                  <w14:solidFill>
                    <w14:schemeClr w14:val="tx1"/>
                  </w14:solidFill>
                </w14:textFill>
              </w:rPr>
              <w:t>，建筑面积2666.39m</w:t>
            </w:r>
            <w:r>
              <w:rPr>
                <w:rFonts w:asciiTheme="majorBidi" w:hAnsiTheme="majorBidi" w:eastAsiaTheme="minorEastAsia" w:cstheme="majorBidi"/>
                <w:color w:val="000000" w:themeColor="text1"/>
                <w:kern w:val="2"/>
                <w:szCs w:val="21"/>
                <w:vertAlign w:val="superscript"/>
                <w14:textFill>
                  <w14:solidFill>
                    <w14:schemeClr w14:val="tx1"/>
                  </w14:solidFill>
                </w14:textFill>
              </w:rPr>
              <w:t>2</w:t>
            </w:r>
            <w:r>
              <w:rPr>
                <w:rFonts w:asciiTheme="majorBidi" w:hAnsiTheme="majorBidi" w:eastAsiaTheme="minorEastAsia" w:cstheme="majorBidi"/>
                <w:color w:val="000000" w:themeColor="text1"/>
                <w:kern w:val="2"/>
                <w:szCs w:val="21"/>
                <w14:textFill>
                  <w14:solidFill>
                    <w14:schemeClr w14:val="tx1"/>
                  </w14:solidFill>
                </w14:textFill>
              </w:rPr>
              <w:t>。利用1栋11F厂房中的1、2、3楼进行生产，其中1楼为注塑车间、破碎、原料仓库，2楼为模具车间、仓库1，3楼为喷漆、印刷车间、仓库2。办公室位于2楼内北侧，一般固体废物间和危废暂存间位于3楼北侧。</w:t>
            </w:r>
          </w:p>
          <w:p w14:paraId="3ABC2042">
            <w:pPr>
              <w:ind w:firstLine="480"/>
              <w:rPr>
                <w:rFonts w:asciiTheme="majorBidi" w:hAnsiTheme="majorBidi" w:eastAsiaTheme="minorEastAsia" w:cstheme="majorBidi"/>
                <w:color w:val="000000" w:themeColor="text1"/>
                <w:kern w:val="2"/>
                <w:szCs w:val="21"/>
                <w14:textFill>
                  <w14:solidFill>
                    <w14:schemeClr w14:val="tx1"/>
                  </w14:solidFill>
                </w14:textFill>
              </w:rPr>
            </w:pPr>
            <w:r>
              <w:rPr>
                <w:rFonts w:asciiTheme="majorBidi" w:hAnsiTheme="majorBidi" w:eastAsiaTheme="minorEastAsia" w:cstheme="majorBidi"/>
                <w:color w:val="000000" w:themeColor="text1"/>
                <w:kern w:val="2"/>
                <w:szCs w:val="21"/>
                <w14:textFill>
                  <w14:solidFill>
                    <w14:schemeClr w14:val="tx1"/>
                  </w14:solidFill>
                </w14:textFill>
              </w:rPr>
              <w:t>从生产厂房内部上看，本项目生产布置依照生产工艺流程呈线状布置，项目交通便利，厂房内部布置合理。厂区生产车间平面布置图见附图18。</w:t>
            </w:r>
          </w:p>
          <w:p w14:paraId="5E2E5B91">
            <w:pPr>
              <w:ind w:firstLine="482"/>
              <w:rPr>
                <w:rFonts w:asciiTheme="majorBidi" w:hAnsiTheme="majorBidi" w:eastAsiaTheme="minorEastAsia" w:cstheme="majorBidi"/>
                <w:b/>
                <w:bCs/>
                <w:color w:val="000000" w:themeColor="text1"/>
                <w:kern w:val="2"/>
                <w:szCs w:val="21"/>
                <w14:textFill>
                  <w14:solidFill>
                    <w14:schemeClr w14:val="tx1"/>
                  </w14:solidFill>
                </w14:textFill>
              </w:rPr>
            </w:pPr>
            <w:r>
              <w:rPr>
                <w:rFonts w:asciiTheme="majorBidi" w:hAnsiTheme="majorBidi" w:eastAsiaTheme="minorEastAsia" w:cstheme="majorBidi"/>
                <w:b/>
                <w:bCs/>
                <w:color w:val="000000" w:themeColor="text1"/>
                <w:kern w:val="2"/>
                <w:szCs w:val="21"/>
                <w14:textFill>
                  <w14:solidFill>
                    <w14:schemeClr w14:val="tx1"/>
                  </w14:solidFill>
                </w14:textFill>
              </w:rPr>
              <w:t>2.项目四至情况</w:t>
            </w:r>
          </w:p>
          <w:p w14:paraId="337BB07A">
            <w:pPr>
              <w:ind w:firstLine="480"/>
              <w:rPr>
                <w:rFonts w:asciiTheme="majorBidi" w:hAnsiTheme="majorBidi" w:eastAsiaTheme="minorEastAsia" w:cstheme="majorBidi"/>
                <w:color w:val="000000" w:themeColor="text1"/>
                <w:kern w:val="2"/>
                <w:szCs w:val="21"/>
                <w14:textFill>
                  <w14:solidFill>
                    <w14:schemeClr w14:val="tx1"/>
                  </w14:solidFill>
                </w14:textFill>
              </w:rPr>
            </w:pPr>
            <w:r>
              <w:rPr>
                <w:rFonts w:asciiTheme="majorBidi" w:hAnsiTheme="majorBidi" w:eastAsiaTheme="minorEastAsia" w:cstheme="majorBidi"/>
                <w:color w:val="000000" w:themeColor="text1"/>
                <w:kern w:val="2"/>
                <w14:textFill>
                  <w14:solidFill>
                    <w14:schemeClr w14:val="tx1"/>
                  </w14:solidFill>
                </w14:textFill>
              </w:rPr>
              <w:t>项目位于广东省惠州市博罗县园洲镇博罗智能装备产业园园洲片区绿化北路3号（10-b号厂房101、201、301楼）</w:t>
            </w:r>
            <w:r>
              <w:rPr>
                <w:rFonts w:asciiTheme="majorBidi" w:hAnsiTheme="majorBidi" w:eastAsiaTheme="minorEastAsia" w:cstheme="majorBidi"/>
                <w:color w:val="000000" w:themeColor="text1"/>
                <w:kern w:val="2"/>
                <w:szCs w:val="21"/>
                <w14:textFill>
                  <w14:solidFill>
                    <w14:schemeClr w14:val="tx1"/>
                  </w14:solidFill>
                </w14:textFill>
              </w:rPr>
              <w:t>。根据现场勘查，项目北面为广东乔鸿智能科技有限公司、嘉辉达电子科技（惠州）有限公司，西面紧邻惠州市豪明材料有限公司，南面为空置厂房，东面为空地</w:t>
            </w:r>
            <w:r>
              <w:rPr>
                <w:rFonts w:hint="eastAsia" w:asciiTheme="majorBidi" w:hAnsiTheme="majorBidi" w:eastAsiaTheme="minorEastAsia" w:cstheme="majorBidi"/>
                <w:color w:val="000000" w:themeColor="text1"/>
                <w:kern w:val="2"/>
                <w:szCs w:val="21"/>
                <w14:textFill>
                  <w14:solidFill>
                    <w14:schemeClr w14:val="tx1"/>
                  </w14:solidFill>
                </w14:textFill>
              </w:rPr>
              <w:t>，</w:t>
            </w:r>
            <w:r>
              <w:rPr>
                <w:rFonts w:asciiTheme="majorBidi" w:hAnsiTheme="majorBidi" w:eastAsiaTheme="minorEastAsia" w:cstheme="majorBidi"/>
                <w:color w:val="000000" w:themeColor="text1"/>
                <w:kern w:val="2"/>
                <w:szCs w:val="21"/>
                <w14:textFill>
                  <w14:solidFill>
                    <w14:schemeClr w14:val="tx1"/>
                  </w14:solidFill>
                </w14:textFill>
              </w:rPr>
              <w:t>10-b</w:t>
            </w:r>
            <w:r>
              <w:rPr>
                <w:rFonts w:hint="eastAsia" w:asciiTheme="majorBidi" w:hAnsiTheme="majorBidi" w:eastAsiaTheme="minorEastAsia" w:cstheme="majorBidi"/>
                <w:color w:val="000000" w:themeColor="text1"/>
                <w:kern w:val="2"/>
                <w:szCs w:val="21"/>
                <w14:textFill>
                  <w14:solidFill>
                    <w14:schemeClr w14:val="tx1"/>
                  </w14:solidFill>
                </w14:textFill>
              </w:rPr>
              <w:t>号厂房</w:t>
            </w:r>
            <w:r>
              <w:rPr>
                <w:rFonts w:hint="eastAsia" w:asciiTheme="majorBidi" w:hAnsiTheme="majorBidi" w:eastAsiaTheme="minorEastAsia" w:cstheme="majorBidi"/>
                <w:color w:val="EE0000"/>
                <w:kern w:val="2"/>
              </w:rPr>
              <w:t>其他楼层为空厂房</w:t>
            </w:r>
            <w:r>
              <w:rPr>
                <w:rFonts w:asciiTheme="majorBidi" w:hAnsiTheme="majorBidi" w:eastAsiaTheme="minorEastAsia" w:cstheme="majorBidi"/>
                <w:color w:val="000000" w:themeColor="text1"/>
                <w:kern w:val="2"/>
                <w:szCs w:val="21"/>
                <w14:textFill>
                  <w14:solidFill>
                    <w14:schemeClr w14:val="tx1"/>
                  </w14:solidFill>
                </w14:textFill>
              </w:rPr>
              <w:t>。项目四至情况见附图19。</w:t>
            </w:r>
          </w:p>
          <w:p w14:paraId="2B2E1A41">
            <w:pPr>
              <w:pStyle w:val="11"/>
              <w:rPr>
                <w:bCs w:val="0"/>
              </w:rPr>
            </w:pPr>
            <w:r>
              <w:rPr>
                <w:bCs w:val="0"/>
              </w:rPr>
              <w:t>表2-8 项目四邻关系</w:t>
            </w:r>
          </w:p>
          <w:tbl>
            <w:tblPr>
              <w:tblStyle w:val="21"/>
              <w:tblW w:w="5000" w:type="pct"/>
              <w:tblInd w:w="0" w:type="dxa"/>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1939"/>
              <w:gridCol w:w="4526"/>
              <w:gridCol w:w="2602"/>
            </w:tblGrid>
            <w:tr w14:paraId="4B5286C3">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069" w:type="pct"/>
                  <w:noWrap/>
                  <w:vAlign w:val="center"/>
                </w:tcPr>
                <w:p w14:paraId="439A0E99">
                  <w:pPr>
                    <w:pStyle w:val="29"/>
                    <w:rPr>
                      <w:b/>
                      <w:bCs/>
                    </w:rPr>
                  </w:pPr>
                  <w:r>
                    <w:rPr>
                      <w:b/>
                      <w:bCs/>
                    </w:rPr>
                    <w:t>方位</w:t>
                  </w:r>
                </w:p>
              </w:tc>
              <w:tc>
                <w:tcPr>
                  <w:tcW w:w="2496" w:type="pct"/>
                  <w:noWrap/>
                  <w:vAlign w:val="center"/>
                </w:tcPr>
                <w:p w14:paraId="082ED7E1">
                  <w:pPr>
                    <w:pStyle w:val="29"/>
                    <w:rPr>
                      <w:b/>
                      <w:bCs/>
                    </w:rPr>
                  </w:pPr>
                  <w:r>
                    <w:rPr>
                      <w:b/>
                      <w:bCs/>
                    </w:rPr>
                    <w:t>名称</w:t>
                  </w:r>
                </w:p>
              </w:tc>
              <w:tc>
                <w:tcPr>
                  <w:tcW w:w="1435" w:type="pct"/>
                  <w:noWrap/>
                  <w:vAlign w:val="center"/>
                </w:tcPr>
                <w:p w14:paraId="081C937B">
                  <w:pPr>
                    <w:pStyle w:val="29"/>
                    <w:rPr>
                      <w:b/>
                      <w:bCs/>
                    </w:rPr>
                  </w:pPr>
                  <w:r>
                    <w:rPr>
                      <w:b/>
                      <w:bCs/>
                    </w:rPr>
                    <w:t>与项目厂界的距离</w:t>
                  </w:r>
                </w:p>
              </w:tc>
            </w:tr>
            <w:tr w14:paraId="116ADC5E">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069" w:type="pct"/>
                  <w:vMerge w:val="restart"/>
                  <w:noWrap/>
                  <w:vAlign w:val="center"/>
                </w:tcPr>
                <w:p w14:paraId="3808BFB5">
                  <w:pPr>
                    <w:pStyle w:val="29"/>
                  </w:pPr>
                  <w:r>
                    <w:t>北面</w:t>
                  </w:r>
                </w:p>
              </w:tc>
              <w:tc>
                <w:tcPr>
                  <w:tcW w:w="2496" w:type="pct"/>
                  <w:noWrap/>
                  <w:vAlign w:val="center"/>
                </w:tcPr>
                <w:p w14:paraId="42AF4690">
                  <w:pPr>
                    <w:pStyle w:val="29"/>
                  </w:pPr>
                  <w:r>
                    <w:t>广东乔鸿智能科技有限公司</w:t>
                  </w:r>
                </w:p>
              </w:tc>
              <w:tc>
                <w:tcPr>
                  <w:tcW w:w="1435" w:type="pct"/>
                  <w:noWrap/>
                  <w:vAlign w:val="center"/>
                </w:tcPr>
                <w:p w14:paraId="5932EAE9">
                  <w:pPr>
                    <w:pStyle w:val="29"/>
                  </w:pPr>
                  <w:r>
                    <w:t>15m</w:t>
                  </w:r>
                </w:p>
              </w:tc>
            </w:tr>
            <w:tr w14:paraId="0B51E5AF">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069" w:type="pct"/>
                  <w:vMerge w:val="continue"/>
                  <w:noWrap/>
                  <w:vAlign w:val="center"/>
                </w:tcPr>
                <w:p w14:paraId="4B94AEF5">
                  <w:pPr>
                    <w:pStyle w:val="29"/>
                  </w:pPr>
                </w:p>
              </w:tc>
              <w:tc>
                <w:tcPr>
                  <w:tcW w:w="2496" w:type="pct"/>
                  <w:noWrap/>
                  <w:vAlign w:val="center"/>
                </w:tcPr>
                <w:p w14:paraId="2208B84F">
                  <w:pPr>
                    <w:pStyle w:val="29"/>
                  </w:pPr>
                  <w:r>
                    <w:t>嘉辉达电子科技（惠州）有限公司</w:t>
                  </w:r>
                </w:p>
              </w:tc>
              <w:tc>
                <w:tcPr>
                  <w:tcW w:w="1435" w:type="pct"/>
                  <w:noWrap/>
                  <w:vAlign w:val="center"/>
                </w:tcPr>
                <w:p w14:paraId="4393773B">
                  <w:pPr>
                    <w:pStyle w:val="29"/>
                  </w:pPr>
                  <w:r>
                    <w:t>20m</w:t>
                  </w:r>
                </w:p>
              </w:tc>
            </w:tr>
            <w:tr w14:paraId="48BC5560">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069" w:type="pct"/>
                  <w:noWrap/>
                  <w:vAlign w:val="center"/>
                </w:tcPr>
                <w:p w14:paraId="5FE5167B">
                  <w:pPr>
                    <w:pStyle w:val="29"/>
                  </w:pPr>
                  <w:r>
                    <w:t>南面</w:t>
                  </w:r>
                </w:p>
              </w:tc>
              <w:tc>
                <w:tcPr>
                  <w:tcW w:w="2496" w:type="pct"/>
                  <w:noWrap/>
                  <w:vAlign w:val="center"/>
                </w:tcPr>
                <w:p w14:paraId="729C5774">
                  <w:pPr>
                    <w:pStyle w:val="29"/>
                  </w:pPr>
                  <w:r>
                    <w:t>空厂房</w:t>
                  </w:r>
                </w:p>
              </w:tc>
              <w:tc>
                <w:tcPr>
                  <w:tcW w:w="1435" w:type="pct"/>
                  <w:noWrap/>
                  <w:vAlign w:val="center"/>
                </w:tcPr>
                <w:p w14:paraId="72D3F71F">
                  <w:pPr>
                    <w:pStyle w:val="29"/>
                  </w:pPr>
                  <w:r>
                    <w:t>50m</w:t>
                  </w:r>
                </w:p>
              </w:tc>
            </w:tr>
            <w:tr w14:paraId="6DA47E2E">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069" w:type="pct"/>
                  <w:noWrap/>
                  <w:vAlign w:val="center"/>
                </w:tcPr>
                <w:p w14:paraId="7C241A1D">
                  <w:pPr>
                    <w:pStyle w:val="29"/>
                  </w:pPr>
                  <w:r>
                    <w:t>西面</w:t>
                  </w:r>
                </w:p>
              </w:tc>
              <w:tc>
                <w:tcPr>
                  <w:tcW w:w="2496" w:type="pct"/>
                  <w:noWrap/>
                  <w:vAlign w:val="center"/>
                </w:tcPr>
                <w:p w14:paraId="100ACD5D">
                  <w:pPr>
                    <w:pStyle w:val="29"/>
                  </w:pPr>
                  <w:r>
                    <w:t>惠州市豪明材料有限公司</w:t>
                  </w:r>
                </w:p>
              </w:tc>
              <w:tc>
                <w:tcPr>
                  <w:tcW w:w="1435" w:type="pct"/>
                  <w:noWrap/>
                  <w:vAlign w:val="center"/>
                </w:tcPr>
                <w:p w14:paraId="097521F6">
                  <w:pPr>
                    <w:pStyle w:val="29"/>
                  </w:pPr>
                  <w:r>
                    <w:t>紧邻</w:t>
                  </w:r>
                </w:p>
              </w:tc>
            </w:tr>
            <w:tr w14:paraId="44B499D0">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069" w:type="pct"/>
                  <w:noWrap/>
                  <w:vAlign w:val="center"/>
                </w:tcPr>
                <w:p w14:paraId="5A89A42B">
                  <w:pPr>
                    <w:pStyle w:val="29"/>
                  </w:pPr>
                  <w:r>
                    <w:t>东面</w:t>
                  </w:r>
                </w:p>
              </w:tc>
              <w:tc>
                <w:tcPr>
                  <w:tcW w:w="2496" w:type="pct"/>
                  <w:noWrap/>
                  <w:vAlign w:val="center"/>
                </w:tcPr>
                <w:p w14:paraId="6D6BF064">
                  <w:pPr>
                    <w:pStyle w:val="29"/>
                  </w:pPr>
                  <w:r>
                    <w:t>空地</w:t>
                  </w:r>
                </w:p>
              </w:tc>
              <w:tc>
                <w:tcPr>
                  <w:tcW w:w="1435" w:type="pct"/>
                  <w:noWrap/>
                  <w:vAlign w:val="center"/>
                </w:tcPr>
                <w:p w14:paraId="60F2264F">
                  <w:pPr>
                    <w:pStyle w:val="29"/>
                  </w:pPr>
                  <w:r>
                    <w:t>紧邻</w:t>
                  </w:r>
                </w:p>
              </w:tc>
            </w:tr>
          </w:tbl>
          <w:p w14:paraId="1CB7E5ED">
            <w:pPr>
              <w:pStyle w:val="29"/>
              <w:rPr>
                <w:rFonts w:asciiTheme="majorBidi" w:hAnsiTheme="majorBidi" w:cstheme="majorBidi"/>
                <w:color w:val="000000" w:themeColor="text1"/>
                <w14:textFill>
                  <w14:solidFill>
                    <w14:schemeClr w14:val="tx1"/>
                  </w14:solidFill>
                </w14:textFill>
              </w:rPr>
            </w:pPr>
          </w:p>
        </w:tc>
      </w:tr>
    </w:tbl>
    <w:p w14:paraId="7EB7EA8B">
      <w:pPr>
        <w:ind w:firstLine="480"/>
      </w:pPr>
      <w:r>
        <w:br w:type="page"/>
      </w:r>
    </w:p>
    <w:tbl>
      <w:tblPr>
        <w:tblStyle w:val="21"/>
        <w:tblW w:w="5073" w:type="pct"/>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85" w:type="dxa"/>
          <w:bottom w:w="0" w:type="dxa"/>
          <w:right w:w="85" w:type="dxa"/>
        </w:tblCellMar>
      </w:tblPr>
      <w:tblGrid>
        <w:gridCol w:w="713"/>
        <w:gridCol w:w="9238"/>
      </w:tblGrid>
      <w:tr w14:paraId="38BFE472">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85" w:type="dxa"/>
            <w:bottom w:w="0" w:type="dxa"/>
            <w:right w:w="85" w:type="dxa"/>
          </w:tblCellMar>
        </w:tblPrEx>
        <w:trPr>
          <w:trHeight w:val="397" w:hRule="atLeast"/>
          <w:jc w:val="center"/>
        </w:trPr>
        <w:tc>
          <w:tcPr>
            <w:tcW w:w="358" w:type="pct"/>
            <w:vAlign w:val="center"/>
          </w:tcPr>
          <w:p w14:paraId="509D918E">
            <w:pPr>
              <w:ind w:firstLine="0" w:firstLineChars="0"/>
              <w:rPr>
                <w:rFonts w:asciiTheme="majorBidi" w:hAnsiTheme="majorBidi" w:eastAsiaTheme="minorEastAsia" w:cstheme="majorBidi"/>
                <w:color w:val="000000" w:themeColor="text1"/>
                <w:szCs w:val="21"/>
                <w14:textFill>
                  <w14:solidFill>
                    <w14:schemeClr w14:val="tx1"/>
                  </w14:solidFill>
                </w14:textFill>
              </w:rPr>
            </w:pPr>
            <w:r>
              <w:rPr>
                <w:rFonts w:asciiTheme="majorBidi" w:hAnsiTheme="majorBidi" w:eastAsiaTheme="minorEastAsia" w:cstheme="majorBidi"/>
                <w:color w:val="000000" w:themeColor="text1"/>
                <w:szCs w:val="21"/>
                <w14:textFill>
                  <w14:solidFill>
                    <w14:schemeClr w14:val="tx1"/>
                  </w14:solidFill>
                </w14:textFill>
              </w:rPr>
              <w:t>工艺流程和产排污环节</w:t>
            </w:r>
          </w:p>
        </w:tc>
        <w:tc>
          <w:tcPr>
            <w:tcW w:w="4642" w:type="pct"/>
          </w:tcPr>
          <w:p w14:paraId="47E5D22C">
            <w:pPr>
              <w:ind w:firstLine="482"/>
              <w:rPr>
                <w:rFonts w:asciiTheme="majorBidi" w:hAnsiTheme="majorBidi" w:eastAsiaTheme="minorEastAsia" w:cstheme="majorBidi"/>
                <w:b/>
                <w:color w:val="000000" w:themeColor="text1"/>
                <w:kern w:val="2"/>
                <w:szCs w:val="21"/>
                <w14:textFill>
                  <w14:solidFill>
                    <w14:schemeClr w14:val="tx1"/>
                  </w14:solidFill>
                </w14:textFill>
              </w:rPr>
            </w:pPr>
            <w:r>
              <w:rPr>
                <w:rFonts w:asciiTheme="majorBidi" w:hAnsiTheme="majorBidi" w:eastAsiaTheme="minorEastAsia" w:cstheme="majorBidi"/>
                <w:b/>
                <w:color w:val="000000" w:themeColor="text1"/>
                <w:kern w:val="2"/>
                <w:szCs w:val="21"/>
                <w14:textFill>
                  <w14:solidFill>
                    <w14:schemeClr w14:val="tx1"/>
                  </w14:solidFill>
                </w14:textFill>
              </w:rPr>
              <w:t>（一）生产工艺</w:t>
            </w:r>
          </w:p>
          <w:p w14:paraId="56BCB6CD">
            <w:pPr>
              <w:ind w:firstLine="480"/>
            </w:pPr>
            <w:r>
              <w:t>项目产品主要为塑料件，</w:t>
            </w:r>
            <w:r>
              <w:rPr>
                <w:rFonts w:hint="eastAsia"/>
                <w:color w:val="0000FF"/>
              </w:rPr>
              <w:t>约</w:t>
            </w:r>
            <w:r>
              <w:rPr>
                <w:rFonts w:asciiTheme="majorBidi" w:hAnsiTheme="majorBidi" w:eastAsiaTheme="minorEastAsia" w:cstheme="majorBidi"/>
                <w:color w:val="0000FF"/>
                <w:kern w:val="2"/>
                <w:szCs w:val="21"/>
              </w:rPr>
              <w:t>60万个</w:t>
            </w:r>
            <w:r>
              <w:rPr>
                <w:color w:val="0000FF"/>
              </w:rPr>
              <w:t>台灯</w:t>
            </w:r>
            <w:r>
              <w:rPr>
                <w:rFonts w:hint="eastAsia"/>
                <w:color w:val="0000FF"/>
              </w:rPr>
              <w:t>的</w:t>
            </w:r>
            <w:r>
              <w:rPr>
                <w:color w:val="0000FF"/>
              </w:rPr>
              <w:t>上</w:t>
            </w:r>
            <w:r>
              <w:rPr>
                <w:rFonts w:hint="eastAsia"/>
                <w:color w:val="0000FF"/>
              </w:rPr>
              <w:t>、</w:t>
            </w:r>
            <w:r>
              <w:rPr>
                <w:color w:val="0000FF"/>
              </w:rPr>
              <w:t>下盖需要进行喷漆处理，</w:t>
            </w:r>
            <w:r>
              <w:rPr>
                <w:rFonts w:hint="eastAsia"/>
                <w:color w:val="0000FF"/>
              </w:rPr>
              <w:t>10%的产品（含塑胶台灯、塑胶包装盒和塑胶零件）合计约14万个</w:t>
            </w:r>
            <w:r>
              <w:t>需要根据客户要求进行印刷（丝印或移印）商标或标识，另项目的注塑模具自行加工，不同产品的生产工艺流程如下：</w:t>
            </w:r>
          </w:p>
          <w:p w14:paraId="352C44D8">
            <w:pPr>
              <w:ind w:firstLine="480"/>
            </w:pPr>
            <w:r>
              <w:t>1.塑料件生产工艺流程及产排污</w:t>
            </w:r>
          </w:p>
          <w:p w14:paraId="20BDC7FE">
            <w:pPr>
              <w:pStyle w:val="29"/>
            </w:pPr>
            <w:r>
              <w:drawing>
                <wp:inline distT="0" distB="0" distL="0" distR="0">
                  <wp:extent cx="5644515" cy="3902075"/>
                  <wp:effectExtent l="0" t="0" r="0" b="3175"/>
                  <wp:docPr id="1289240894" name="图片 66" descr="图示, 示意图&#10;&#10;AI 生成的内容可能不正确。"/>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89240894" name="图片 66" descr="图示, 示意图&#10;&#10;AI 生成的内容可能不正确。"/>
                          <pic:cNvPicPr>
                            <a:picLocks noChangeAspect="1"/>
                          </pic:cNvPicPr>
                        </pic:nvPicPr>
                        <pic:blipFill>
                          <a:blip r:embed="rId26">
                            <a:extLst>
                              <a:ext uri="{28A0092B-C50C-407E-A947-70E740481C1C}">
                                <a14:useLocalDpi xmlns:a14="http://schemas.microsoft.com/office/drawing/2010/main" val="0"/>
                              </a:ext>
                            </a:extLst>
                          </a:blip>
                          <a:stretch>
                            <a:fillRect/>
                          </a:stretch>
                        </pic:blipFill>
                        <pic:spPr>
                          <a:xfrm>
                            <a:off x="0" y="0"/>
                            <a:ext cx="5644515" cy="3902075"/>
                          </a:xfrm>
                          <a:prstGeom prst="rect">
                            <a:avLst/>
                          </a:prstGeom>
                        </pic:spPr>
                      </pic:pic>
                    </a:graphicData>
                  </a:graphic>
                </wp:inline>
              </w:drawing>
            </w:r>
          </w:p>
          <w:p w14:paraId="37AD1BA8">
            <w:pPr>
              <w:pStyle w:val="11"/>
              <w:rPr>
                <w:bCs w:val="0"/>
              </w:rPr>
            </w:pPr>
            <w:r>
              <w:rPr>
                <w:bCs w:val="0"/>
              </w:rPr>
              <w:t>图2-3项目塑料件生产工艺流程图</w:t>
            </w:r>
          </w:p>
          <w:p w14:paraId="7553B707">
            <w:pPr>
              <w:ind w:firstLine="480"/>
              <w:rPr>
                <w:rFonts w:asciiTheme="majorBidi" w:hAnsiTheme="majorBidi" w:eastAsiaTheme="minorEastAsia" w:cstheme="majorBidi"/>
                <w:color w:val="000000" w:themeColor="text1"/>
                <w14:textFill>
                  <w14:solidFill>
                    <w14:schemeClr w14:val="tx1"/>
                  </w14:solidFill>
                </w14:textFill>
              </w:rPr>
            </w:pPr>
            <w:r>
              <w:rPr>
                <w:rFonts w:asciiTheme="majorBidi" w:hAnsiTheme="majorBidi" w:eastAsiaTheme="minorEastAsia" w:cstheme="majorBidi"/>
                <w:color w:val="000000" w:themeColor="text1"/>
                <w14:textFill>
                  <w14:solidFill>
                    <w14:schemeClr w14:val="tx1"/>
                  </w14:solidFill>
                </w14:textFill>
              </w:rPr>
              <w:t>生产工艺说明：</w:t>
            </w:r>
          </w:p>
          <w:p w14:paraId="1AA546F0">
            <w:pPr>
              <w:ind w:firstLine="480"/>
              <w:rPr>
                <w:rFonts w:asciiTheme="majorBidi" w:hAnsiTheme="majorBidi" w:eastAsiaTheme="minorEastAsia" w:cstheme="majorBidi"/>
                <w:color w:val="000000" w:themeColor="text1"/>
                <w14:textFill>
                  <w14:solidFill>
                    <w14:schemeClr w14:val="tx1"/>
                  </w14:solidFill>
                </w14:textFill>
              </w:rPr>
            </w:pPr>
            <w:r>
              <w:rPr>
                <w:rFonts w:ascii="Cambria Math" w:hAnsi="Cambria Math" w:cs="Cambria Math" w:eastAsiaTheme="minorEastAsia"/>
                <w:color w:val="000000" w:themeColor="text1"/>
                <w14:textFill>
                  <w14:solidFill>
                    <w14:schemeClr w14:val="tx1"/>
                  </w14:solidFill>
                </w14:textFill>
              </w:rPr>
              <w:t>①</w:t>
            </w:r>
            <w:r>
              <w:rPr>
                <w:rFonts w:hint="eastAsia" w:ascii="Cambria Math" w:hAnsi="Cambria Math" w:cs="Cambria Math" w:eastAsiaTheme="minorEastAsia"/>
                <w:color w:val="000000" w:themeColor="text1"/>
                <w14:textFill>
                  <w14:solidFill>
                    <w14:schemeClr w14:val="tx1"/>
                  </w14:solidFill>
                </w14:textFill>
              </w:rPr>
              <w:t>投料、</w:t>
            </w:r>
            <w:r>
              <w:rPr>
                <w:rFonts w:asciiTheme="majorBidi" w:hAnsiTheme="majorBidi" w:eastAsiaTheme="minorEastAsia" w:cstheme="majorBidi"/>
                <w:color w:val="000000" w:themeColor="text1"/>
                <w14:textFill>
                  <w14:solidFill>
                    <w14:schemeClr w14:val="tx1"/>
                  </w14:solidFill>
                </w14:textFill>
              </w:rPr>
              <w:t>混料：项目树脂为PP、ABS，皆为新料，不使用再生塑料。两种树脂不混用，</w:t>
            </w:r>
            <w:r>
              <w:rPr>
                <w:rFonts w:hint="eastAsia" w:asciiTheme="majorBidi" w:hAnsiTheme="majorBidi" w:eastAsiaTheme="minorEastAsia" w:cstheme="majorBidi"/>
                <w:color w:val="EE0000"/>
              </w:rPr>
              <w:t>手动将</w:t>
            </w:r>
            <w:r>
              <w:rPr>
                <w:rFonts w:hint="eastAsia" w:asciiTheme="majorBidi" w:hAnsiTheme="majorBidi" w:eastAsiaTheme="minorEastAsia" w:cstheme="majorBidi"/>
                <w:color w:val="000000" w:themeColor="text1"/>
                <w14:textFill>
                  <w14:solidFill>
                    <w14:schemeClr w14:val="tx1"/>
                  </w14:solidFill>
                </w14:textFill>
              </w:rPr>
              <w:t>树脂</w:t>
            </w:r>
            <w:r>
              <w:rPr>
                <w:rFonts w:asciiTheme="majorBidi" w:hAnsiTheme="majorBidi" w:eastAsiaTheme="minorEastAsia" w:cstheme="majorBidi"/>
                <w:color w:val="000000" w:themeColor="text1"/>
                <w14:textFill>
                  <w14:solidFill>
                    <w14:schemeClr w14:val="tx1"/>
                  </w14:solidFill>
                </w14:textFill>
              </w:rPr>
              <w:t>分别与辅料进行</w:t>
            </w:r>
            <w:r>
              <w:rPr>
                <w:rFonts w:hint="eastAsia" w:asciiTheme="majorBidi" w:hAnsiTheme="majorBidi" w:eastAsiaTheme="minorEastAsia" w:cstheme="majorBidi"/>
                <w:color w:val="EE0000"/>
              </w:rPr>
              <w:t>投料、</w:t>
            </w:r>
            <w:r>
              <w:rPr>
                <w:rFonts w:asciiTheme="majorBidi" w:hAnsiTheme="majorBidi" w:eastAsiaTheme="minorEastAsia" w:cstheme="majorBidi"/>
                <w:color w:val="000000" w:themeColor="text1"/>
                <w14:textFill>
                  <w14:solidFill>
                    <w14:schemeClr w14:val="tx1"/>
                  </w14:solidFill>
                </w14:textFill>
              </w:rPr>
              <w:t>混料</w:t>
            </w:r>
            <w:r>
              <w:rPr>
                <w:rFonts w:hint="eastAsia" w:asciiTheme="majorBidi" w:hAnsiTheme="majorBidi" w:eastAsiaTheme="minorEastAsia" w:cstheme="majorBidi"/>
                <w:color w:val="EE0000"/>
              </w:rPr>
              <w:t>，</w:t>
            </w:r>
            <w:r>
              <w:rPr>
                <w:rFonts w:hint="eastAsia" w:asciiTheme="majorBidi" w:hAnsiTheme="majorBidi" w:eastAsiaTheme="minorEastAsia" w:cstheme="majorBidi"/>
                <w:color w:val="0000FF"/>
              </w:rPr>
              <w:t>混料机为密闭型，只有在投料过程中会有少量粉尘逸出。</w:t>
            </w:r>
            <w:r>
              <w:rPr>
                <w:rFonts w:hint="eastAsia" w:asciiTheme="majorBidi" w:hAnsiTheme="majorBidi" w:eastAsiaTheme="minorEastAsia" w:cstheme="majorBidi"/>
                <w:color w:val="EE0000"/>
              </w:rPr>
              <w:t>该过程产生少量颗粒物、</w:t>
            </w:r>
            <w:r>
              <w:rPr>
                <w:rFonts w:hint="eastAsia" w:asciiTheme="majorBidi" w:hAnsiTheme="majorBidi" w:eastAsiaTheme="minorEastAsia" w:cstheme="majorBidi"/>
                <w:color w:val="0000FF"/>
              </w:rPr>
              <w:t>噪声和废包装材料</w:t>
            </w:r>
            <w:r>
              <w:rPr>
                <w:rFonts w:asciiTheme="majorBidi" w:hAnsiTheme="majorBidi" w:eastAsiaTheme="minorEastAsia" w:cstheme="majorBidi"/>
                <w:color w:val="000000" w:themeColor="text1"/>
                <w14:textFill>
                  <w14:solidFill>
                    <w14:schemeClr w14:val="tx1"/>
                  </w14:solidFill>
                </w14:textFill>
              </w:rPr>
              <w:t>。</w:t>
            </w:r>
          </w:p>
          <w:p w14:paraId="34CC6F76">
            <w:pPr>
              <w:pStyle w:val="12"/>
              <w:ind w:firstLine="480"/>
              <w:rPr>
                <w:rFonts w:asciiTheme="majorBidi" w:hAnsiTheme="majorBidi" w:cstheme="majorBidi"/>
                <w:color w:val="000000" w:themeColor="text1"/>
                <w14:textFill>
                  <w14:solidFill>
                    <w14:schemeClr w14:val="tx1"/>
                  </w14:solidFill>
                </w14:textFill>
              </w:rPr>
            </w:pPr>
            <w:r>
              <w:rPr>
                <w:rFonts w:ascii="Cambria Math" w:hAnsi="Cambria Math" w:cs="Cambria Math"/>
                <w:color w:val="000000" w:themeColor="text1"/>
                <w14:textFill>
                  <w14:solidFill>
                    <w14:schemeClr w14:val="tx1"/>
                  </w14:solidFill>
                </w14:textFill>
              </w:rPr>
              <w:t>②</w:t>
            </w:r>
            <w:r>
              <w:rPr>
                <w:rFonts w:asciiTheme="majorBidi" w:hAnsiTheme="majorBidi" w:cstheme="majorBidi"/>
                <w:color w:val="000000" w:themeColor="text1"/>
                <w14:textFill>
                  <w14:solidFill>
                    <w14:schemeClr w14:val="tx1"/>
                  </w14:solidFill>
                </w14:textFill>
              </w:rPr>
              <w:t>注塑：塑料颗粒经过注塑机负压系统抽吸入注塑机喂料口，经挤、注塑成型。</w:t>
            </w:r>
            <w:r>
              <w:rPr>
                <w:rFonts w:asciiTheme="majorBidi" w:hAnsiTheme="majorBidi" w:cstheme="majorBidi"/>
                <w:color w:val="EE0000"/>
              </w:rPr>
              <w:t>项目运营期注塑工序的控制温度在220~250℃，ABS塑胶粒的分解温度＞270℃，PS塑胶粒的分解温度＞300℃，因此不考虑ABS、PS的热分解污染物。但加热熔融过程中可能会有部分未完成聚合反应的游离单体产生，主要为苯乙烯、丙烯腈、1，3-丁二烯、甲苯、乙苯等污染物</w:t>
            </w:r>
            <w:r>
              <w:rPr>
                <w:rFonts w:asciiTheme="majorBidi" w:hAnsiTheme="majorBidi" w:cstheme="majorBidi"/>
                <w:color w:val="000000" w:themeColor="text1"/>
                <w14:textFill>
                  <w14:solidFill>
                    <w14:schemeClr w14:val="tx1"/>
                  </w14:solidFill>
                </w14:textFill>
              </w:rPr>
              <w:t>注塑机将塑料颗粒熔融挤入注塑模具内，熔融塑料注入模具后，瞬间通入循环冷却</w:t>
            </w:r>
            <w:r>
              <w:rPr>
                <w:rFonts w:hint="eastAsia" w:asciiTheme="majorBidi" w:hAnsiTheme="majorBidi" w:cstheme="majorBidi"/>
                <w:color w:val="000000" w:themeColor="text1"/>
                <w14:textFill>
                  <w14:solidFill>
                    <w14:schemeClr w14:val="tx1"/>
                  </w14:solidFill>
                </w14:textFill>
              </w:rPr>
              <w:t>系统</w:t>
            </w:r>
            <w:r>
              <w:rPr>
                <w:rFonts w:hint="eastAsia" w:asciiTheme="majorBidi" w:hAnsiTheme="majorBidi" w:cstheme="majorBidi"/>
                <w:color w:val="0000FF"/>
              </w:rPr>
              <w:t>间接冷却</w:t>
            </w:r>
            <w:r>
              <w:rPr>
                <w:rFonts w:asciiTheme="majorBidi" w:hAnsiTheme="majorBidi" w:cstheme="majorBidi"/>
                <w:color w:val="000000" w:themeColor="text1"/>
                <w14:textFill>
                  <w14:solidFill>
                    <w14:schemeClr w14:val="tx1"/>
                  </w14:solidFill>
                </w14:textFill>
              </w:rPr>
              <w:t>，促使注塑件尽快冷却成型。</w:t>
            </w:r>
            <w:r>
              <w:rPr>
                <w:rFonts w:asciiTheme="majorBidi" w:hAnsiTheme="majorBidi" w:cstheme="majorBidi"/>
                <w:color w:val="EE0000"/>
              </w:rPr>
              <w:t>注塑</w:t>
            </w:r>
            <w:r>
              <w:rPr>
                <w:rFonts w:hint="eastAsia" w:asciiTheme="majorBidi" w:hAnsiTheme="majorBidi" w:cstheme="majorBidi"/>
                <w:color w:val="EE0000"/>
              </w:rPr>
              <w:t>过程</w:t>
            </w:r>
            <w:r>
              <w:rPr>
                <w:rFonts w:asciiTheme="majorBidi" w:hAnsiTheme="majorBidi" w:cstheme="majorBidi"/>
                <w:color w:val="EE0000"/>
              </w:rPr>
              <w:t>产生废气</w:t>
            </w:r>
            <w:r>
              <w:rPr>
                <w:rFonts w:hint="eastAsia" w:asciiTheme="majorBidi" w:hAnsiTheme="majorBidi" w:cstheme="majorBidi"/>
                <w:color w:val="EE0000"/>
              </w:rPr>
              <w:t>非甲烷总烃、臭气浓度、</w:t>
            </w:r>
            <w:r>
              <w:rPr>
                <w:rFonts w:hint="eastAsia" w:asciiTheme="majorBidi" w:hAnsiTheme="majorBidi" w:cstheme="majorBidi"/>
                <w:color w:val="0000FF"/>
              </w:rPr>
              <w:t>噪声和废模具</w:t>
            </w:r>
            <w:r>
              <w:rPr>
                <w:rFonts w:asciiTheme="majorBidi" w:hAnsiTheme="majorBidi" w:cstheme="majorBidi"/>
                <w:color w:val="000000" w:themeColor="text1"/>
                <w14:textFill>
                  <w14:solidFill>
                    <w14:schemeClr w14:val="tx1"/>
                  </w14:solidFill>
                </w14:textFill>
              </w:rPr>
              <w:t>。</w:t>
            </w:r>
          </w:p>
          <w:p w14:paraId="12BA6C24">
            <w:pPr>
              <w:ind w:firstLine="480"/>
              <w:rPr>
                <w:rFonts w:asciiTheme="majorBidi" w:hAnsiTheme="majorBidi" w:eastAsiaTheme="minorEastAsia" w:cstheme="majorBidi"/>
                <w:color w:val="000000" w:themeColor="text1"/>
                <w14:textFill>
                  <w14:solidFill>
                    <w14:schemeClr w14:val="tx1"/>
                  </w14:solidFill>
                </w14:textFill>
              </w:rPr>
            </w:pPr>
            <w:r>
              <w:rPr>
                <w:rFonts w:ascii="Cambria Math" w:hAnsi="Cambria Math" w:cs="Cambria Math" w:eastAsiaTheme="minorEastAsia"/>
                <w:color w:val="000000" w:themeColor="text1"/>
                <w14:textFill>
                  <w14:solidFill>
                    <w14:schemeClr w14:val="tx1"/>
                  </w14:solidFill>
                </w14:textFill>
              </w:rPr>
              <w:t>③</w:t>
            </w:r>
            <w:r>
              <w:rPr>
                <w:rFonts w:asciiTheme="majorBidi" w:hAnsiTheme="majorBidi" w:eastAsiaTheme="minorEastAsia" w:cstheme="majorBidi"/>
                <w:color w:val="000000" w:themeColor="text1"/>
                <w14:textFill>
                  <w14:solidFill>
                    <w14:schemeClr w14:val="tx1"/>
                  </w14:solidFill>
                </w14:textFill>
              </w:rPr>
              <w:t>检验：注塑件冷却成型后，顶杆系统将注塑件推出，人工进行检验、修边。该过程会产生</w:t>
            </w:r>
            <w:r>
              <w:rPr>
                <w:rFonts w:asciiTheme="majorBidi" w:hAnsiTheme="majorBidi" w:eastAsiaTheme="minorEastAsia" w:cstheme="majorBidi"/>
                <w:color w:val="000000" w:themeColor="text1"/>
                <w:highlight w:val="green"/>
                <w14:textFill>
                  <w14:solidFill>
                    <w14:schemeClr w14:val="tx1"/>
                  </w14:solidFill>
                </w14:textFill>
              </w:rPr>
              <w:t>边角料、不合格品</w:t>
            </w:r>
            <w:r>
              <w:rPr>
                <w:rFonts w:asciiTheme="majorBidi" w:hAnsiTheme="majorBidi" w:eastAsiaTheme="minorEastAsia" w:cstheme="majorBidi"/>
                <w:color w:val="000000" w:themeColor="text1"/>
                <w14:textFill>
                  <w14:solidFill>
                    <w14:schemeClr w14:val="tx1"/>
                  </w14:solidFill>
                </w14:textFill>
              </w:rPr>
              <w:t>。</w:t>
            </w:r>
            <w:r>
              <w:rPr>
                <w:rFonts w:hint="eastAsia" w:asciiTheme="majorBidi" w:hAnsiTheme="majorBidi" w:eastAsiaTheme="minorEastAsia" w:cstheme="majorBidi"/>
                <w:color w:val="000000" w:themeColor="text1"/>
                <w14:textFill>
                  <w14:solidFill>
                    <w14:schemeClr w14:val="tx1"/>
                  </w14:solidFill>
                </w14:textFill>
              </w:rPr>
              <w:t>不合格品</w:t>
            </w:r>
            <w:r>
              <w:rPr>
                <w:rFonts w:hint="eastAsia" w:asciiTheme="majorBidi" w:hAnsiTheme="majorBidi" w:eastAsiaTheme="minorEastAsia" w:cstheme="majorBidi"/>
                <w:color w:val="EE0000"/>
              </w:rPr>
              <w:t>中</w:t>
            </w:r>
            <w:r>
              <w:rPr>
                <w:rFonts w:hint="eastAsia" w:asciiTheme="majorBidi" w:hAnsiTheme="majorBidi" w:eastAsiaTheme="minorEastAsia" w:cstheme="majorBidi"/>
                <w:color w:val="0000FF"/>
              </w:rPr>
              <w:t>塑料台灯不合格品喷涂后无法回用于生产，产生固体废物，</w:t>
            </w:r>
            <w:r>
              <w:rPr>
                <w:rFonts w:hint="eastAsia" w:eastAsiaTheme="minorEastAsia"/>
                <w:color w:val="0000FF"/>
              </w:rPr>
              <w:t>塑胶包装盒、塑胶零件</w:t>
            </w:r>
            <w:r>
              <w:rPr>
                <w:rFonts w:eastAsiaTheme="minorEastAsia"/>
                <w:color w:val="0000FF"/>
              </w:rPr>
              <w:t>不合格品</w:t>
            </w:r>
            <w:r>
              <w:rPr>
                <w:rFonts w:hint="eastAsia" w:eastAsiaTheme="minorEastAsia"/>
                <w:color w:val="0000FF"/>
              </w:rPr>
              <w:t>破碎</w:t>
            </w:r>
            <w:r>
              <w:rPr>
                <w:rFonts w:eastAsiaTheme="minorEastAsia"/>
                <w:color w:val="0000FF"/>
              </w:rPr>
              <w:t>回用于注塑件的生产</w:t>
            </w:r>
            <w:r>
              <w:rPr>
                <w:rFonts w:hint="eastAsia" w:asciiTheme="majorBidi" w:hAnsiTheme="majorBidi" w:eastAsiaTheme="minorEastAsia" w:cstheme="majorBidi"/>
                <w:color w:val="EE0000"/>
              </w:rPr>
              <w:t>；边角料收集后破碎并回用于注塑件的生产。</w:t>
            </w:r>
            <w:r>
              <w:rPr>
                <w:rFonts w:hint="eastAsia" w:asciiTheme="majorBidi" w:hAnsiTheme="majorBidi" w:eastAsiaTheme="minorEastAsia" w:cstheme="majorBidi"/>
                <w:color w:val="0000FF"/>
              </w:rPr>
              <w:t>本项目产生固体废物不合格品。</w:t>
            </w:r>
          </w:p>
          <w:p w14:paraId="1FD55083">
            <w:pPr>
              <w:ind w:firstLine="480"/>
              <w:rPr>
                <w:rFonts w:asciiTheme="majorBidi" w:hAnsiTheme="majorBidi" w:eastAsiaTheme="minorEastAsia" w:cstheme="majorBidi"/>
                <w:color w:val="000000" w:themeColor="text1"/>
                <w14:textFill>
                  <w14:solidFill>
                    <w14:schemeClr w14:val="tx1"/>
                  </w14:solidFill>
                </w14:textFill>
              </w:rPr>
            </w:pPr>
            <w:r>
              <w:rPr>
                <w:rFonts w:ascii="Cambria Math" w:hAnsi="Cambria Math" w:cs="Cambria Math" w:eastAsiaTheme="minorEastAsia"/>
                <w:color w:val="000000" w:themeColor="text1"/>
                <w14:textFill>
                  <w14:solidFill>
                    <w14:schemeClr w14:val="tx1"/>
                  </w14:solidFill>
                </w14:textFill>
              </w:rPr>
              <w:t>④</w:t>
            </w:r>
            <w:r>
              <w:rPr>
                <w:rFonts w:asciiTheme="majorBidi" w:hAnsiTheme="majorBidi" w:eastAsiaTheme="minorEastAsia" w:cstheme="majorBidi"/>
                <w:color w:val="000000" w:themeColor="text1"/>
                <w14:textFill>
                  <w14:solidFill>
                    <w14:schemeClr w14:val="tx1"/>
                  </w14:solidFill>
                </w14:textFill>
              </w:rPr>
              <w:t>破碎</w:t>
            </w:r>
            <w:r>
              <w:rPr>
                <w:rFonts w:hint="eastAsia" w:asciiTheme="majorBidi" w:hAnsiTheme="majorBidi" w:eastAsiaTheme="minorEastAsia" w:cstheme="majorBidi"/>
                <w:color w:val="0000FF"/>
              </w:rPr>
              <w:t>回用</w:t>
            </w:r>
            <w:r>
              <w:rPr>
                <w:rFonts w:asciiTheme="majorBidi" w:hAnsiTheme="majorBidi" w:eastAsiaTheme="minorEastAsia" w:cstheme="majorBidi"/>
                <w:color w:val="000000" w:themeColor="text1"/>
                <w14:textFill>
                  <w14:solidFill>
                    <w14:schemeClr w14:val="tx1"/>
                  </w14:solidFill>
                </w14:textFill>
              </w:rPr>
              <w:t>：检验过程中产生的边角料、不合格品经破碎后回用于注塑工序中</w:t>
            </w:r>
            <w:r>
              <w:rPr>
                <w:rFonts w:hint="eastAsia" w:asciiTheme="majorBidi" w:hAnsiTheme="majorBidi" w:eastAsiaTheme="minorEastAsia" w:cstheme="majorBidi"/>
                <w:color w:val="000000" w:themeColor="text1"/>
                <w14:textFill>
                  <w14:solidFill>
                    <w14:schemeClr w14:val="tx1"/>
                  </w14:solidFill>
                </w14:textFill>
              </w:rPr>
              <w:t>，</w:t>
            </w:r>
            <w:r>
              <w:rPr>
                <w:rFonts w:hint="eastAsia" w:asciiTheme="majorBidi" w:hAnsiTheme="majorBidi" w:eastAsiaTheme="minorEastAsia" w:cstheme="majorBidi"/>
                <w:color w:val="0000FF"/>
              </w:rPr>
              <w:t>塑胶包装盒、塑胶零件不合格品（约0.1t/a）破碎回用于注塑件的生产。</w:t>
            </w:r>
            <w:r>
              <w:rPr>
                <w:rFonts w:hint="eastAsia" w:asciiTheme="majorBidi" w:hAnsiTheme="majorBidi" w:eastAsiaTheme="minorEastAsia" w:cstheme="majorBidi"/>
                <w:color w:val="EE0000"/>
              </w:rPr>
              <w:t>破碎过程产生废气颗粒物、</w:t>
            </w:r>
            <w:r>
              <w:rPr>
                <w:rFonts w:hint="eastAsia" w:asciiTheme="majorBidi" w:hAnsiTheme="majorBidi" w:eastAsiaTheme="minorEastAsia" w:cstheme="majorBidi"/>
                <w:color w:val="0000FF"/>
              </w:rPr>
              <w:t>噪声</w:t>
            </w:r>
            <w:r>
              <w:rPr>
                <w:rFonts w:asciiTheme="majorBidi" w:hAnsiTheme="majorBidi" w:eastAsiaTheme="minorEastAsia" w:cstheme="majorBidi"/>
                <w:color w:val="000000" w:themeColor="text1"/>
                <w14:textFill>
                  <w14:solidFill>
                    <w14:schemeClr w14:val="tx1"/>
                  </w14:solidFill>
                </w14:textFill>
              </w:rPr>
              <w:t>。</w:t>
            </w:r>
          </w:p>
          <w:p w14:paraId="52C3772A">
            <w:pPr>
              <w:ind w:firstLine="480"/>
              <w:rPr>
                <w:rFonts w:asciiTheme="majorBidi" w:hAnsiTheme="majorBidi" w:eastAsiaTheme="minorEastAsia" w:cstheme="majorBidi"/>
                <w:color w:val="000000" w:themeColor="text1"/>
                <w:kern w:val="2"/>
                <w14:textFill>
                  <w14:solidFill>
                    <w14:schemeClr w14:val="tx1"/>
                  </w14:solidFill>
                </w14:textFill>
              </w:rPr>
            </w:pPr>
            <w:r>
              <w:rPr>
                <w:rFonts w:ascii="Cambria Math" w:hAnsi="Cambria Math" w:cs="Cambria Math" w:eastAsiaTheme="minorEastAsia"/>
                <w:color w:val="000000" w:themeColor="text1"/>
                <w:kern w:val="2"/>
                <w14:textFill>
                  <w14:solidFill>
                    <w14:schemeClr w14:val="tx1"/>
                  </w14:solidFill>
                </w14:textFill>
              </w:rPr>
              <w:t>⑤</w:t>
            </w:r>
            <w:r>
              <w:rPr>
                <w:rFonts w:asciiTheme="majorBidi" w:hAnsiTheme="majorBidi" w:eastAsiaTheme="minorEastAsia" w:cstheme="majorBidi"/>
                <w:color w:val="000000" w:themeColor="text1"/>
                <w:kern w:val="2"/>
                <w14:textFill>
                  <w14:solidFill>
                    <w14:schemeClr w14:val="tx1"/>
                  </w14:solidFill>
                </w14:textFill>
              </w:rPr>
              <w:t>喷漆及烘干：</w:t>
            </w:r>
            <w:r>
              <w:rPr>
                <w:rFonts w:asciiTheme="majorBidi" w:hAnsiTheme="majorBidi" w:eastAsiaTheme="minorEastAsia" w:cstheme="majorBidi"/>
                <w:color w:val="0000FF"/>
                <w:kern w:val="2"/>
              </w:rPr>
              <w:t>台灯塑料件</w:t>
            </w:r>
            <w:r>
              <w:rPr>
                <w:rFonts w:asciiTheme="majorBidi" w:hAnsiTheme="majorBidi" w:eastAsiaTheme="minorEastAsia" w:cstheme="majorBidi"/>
                <w:color w:val="000000" w:themeColor="text1"/>
                <w:kern w:val="2"/>
                <w14:textFill>
                  <w14:solidFill>
                    <w14:schemeClr w14:val="tx1"/>
                  </w14:solidFill>
                </w14:textFill>
              </w:rPr>
              <w:t>转至喷漆车间进行</w:t>
            </w:r>
            <w:r>
              <w:rPr>
                <w:rFonts w:hint="eastAsia" w:asciiTheme="majorBidi" w:hAnsiTheme="majorBidi" w:eastAsiaTheme="minorEastAsia" w:cstheme="majorBidi"/>
                <w:color w:val="0000FF"/>
                <w:kern w:val="2"/>
              </w:rPr>
              <w:t>双面</w:t>
            </w:r>
            <w:r>
              <w:rPr>
                <w:rFonts w:asciiTheme="majorBidi" w:hAnsiTheme="majorBidi" w:eastAsiaTheme="minorEastAsia" w:cstheme="majorBidi"/>
                <w:color w:val="000000" w:themeColor="text1"/>
                <w:kern w:val="2"/>
                <w14:textFill>
                  <w14:solidFill>
                    <w14:schemeClr w14:val="tx1"/>
                  </w14:solidFill>
                </w14:textFill>
              </w:rPr>
              <w:t>喷涂面漆，产品经过喷漆后经喷漆线配套的隧道炉进行烤漆烘干</w:t>
            </w:r>
            <w:r>
              <w:rPr>
                <w:rFonts w:hint="eastAsia" w:asciiTheme="majorBidi" w:hAnsiTheme="majorBidi" w:eastAsiaTheme="minorEastAsia" w:cstheme="majorBidi"/>
                <w:color w:val="000000" w:themeColor="text1"/>
                <w:kern w:val="2"/>
                <w14:textFill>
                  <w14:solidFill>
                    <w14:schemeClr w14:val="tx1"/>
                  </w14:solidFill>
                </w14:textFill>
              </w:rPr>
              <w:t>，</w:t>
            </w:r>
            <w:r>
              <w:rPr>
                <w:rFonts w:hint="eastAsia"/>
                <w:color w:val="EE0000"/>
                <w:lang w:bidi="ar"/>
              </w:rPr>
              <w:t>烘干温度约60</w:t>
            </w:r>
            <w:r>
              <w:rPr>
                <w:color w:val="EE0000"/>
                <w:lang w:bidi="ar"/>
              </w:rPr>
              <w:t>℃~80℃</w:t>
            </w:r>
            <w:r>
              <w:rPr>
                <w:rFonts w:hint="eastAsia"/>
                <w:color w:val="EE0000"/>
                <w:lang w:bidi="ar"/>
              </w:rPr>
              <w:t>，时长约15-30</w:t>
            </w:r>
            <w:r>
              <w:rPr>
                <w:color w:val="EE0000"/>
                <w:lang w:bidi="ar"/>
              </w:rPr>
              <w:t>min</w:t>
            </w:r>
            <w:r>
              <w:rPr>
                <w:rFonts w:asciiTheme="majorBidi" w:hAnsiTheme="majorBidi" w:eastAsiaTheme="minorEastAsia" w:cstheme="majorBidi"/>
                <w:color w:val="EE0000"/>
                <w:kern w:val="2"/>
              </w:rPr>
              <w:t>，</w:t>
            </w:r>
            <w:r>
              <w:rPr>
                <w:rFonts w:hint="eastAsia" w:asciiTheme="majorBidi" w:hAnsiTheme="majorBidi" w:eastAsiaTheme="minorEastAsia" w:cstheme="majorBidi"/>
                <w:color w:val="000000" w:themeColor="text1"/>
                <w:kern w:val="2"/>
                <w14:textFill>
                  <w14:solidFill>
                    <w14:schemeClr w14:val="tx1"/>
                  </w14:solidFill>
                </w14:textFill>
              </w:rPr>
              <w:t>喷漆</w:t>
            </w:r>
            <w:r>
              <w:rPr>
                <w:rFonts w:asciiTheme="majorBidi" w:hAnsiTheme="majorBidi" w:eastAsiaTheme="minorEastAsia" w:cstheme="majorBidi"/>
                <w:color w:val="EE0000"/>
              </w:rPr>
              <w:t>过程会产生</w:t>
            </w:r>
            <w:r>
              <w:rPr>
                <w:rFonts w:hint="eastAsia" w:asciiTheme="majorBidi" w:hAnsiTheme="majorBidi" w:eastAsiaTheme="minorEastAsia" w:cstheme="majorBidi"/>
                <w:color w:val="EE0000"/>
              </w:rPr>
              <w:t>废气非甲烷总烃、臭气浓度、颗粒物以及固体废物</w:t>
            </w:r>
            <w:r>
              <w:rPr>
                <w:rFonts w:hint="eastAsia" w:asciiTheme="majorBidi" w:hAnsiTheme="majorBidi" w:eastAsiaTheme="minorEastAsia" w:cstheme="majorBidi"/>
                <w:color w:val="EE0000"/>
                <w:kern w:val="2"/>
              </w:rPr>
              <w:t>废漆桶，喷漆过程使用抹布和手套辅助持握喷枪，产生废抹布及手套，烘干过</w:t>
            </w:r>
            <w:r>
              <w:rPr>
                <w:rFonts w:asciiTheme="majorBidi" w:hAnsiTheme="majorBidi" w:eastAsiaTheme="minorEastAsia" w:cstheme="majorBidi"/>
                <w:color w:val="EE0000"/>
              </w:rPr>
              <w:t>程会产生</w:t>
            </w:r>
            <w:r>
              <w:rPr>
                <w:rFonts w:hint="eastAsia" w:asciiTheme="majorBidi" w:hAnsiTheme="majorBidi" w:eastAsiaTheme="minorEastAsia" w:cstheme="majorBidi"/>
                <w:color w:val="EE0000"/>
              </w:rPr>
              <w:t>废气非甲烷总烃、TVOC、臭气浓度</w:t>
            </w:r>
            <w:r>
              <w:rPr>
                <w:rFonts w:asciiTheme="majorBidi" w:hAnsiTheme="majorBidi" w:eastAsiaTheme="minorEastAsia" w:cstheme="majorBidi"/>
                <w:color w:val="000000" w:themeColor="text1"/>
                <w:kern w:val="2"/>
                <w14:textFill>
                  <w14:solidFill>
                    <w14:schemeClr w14:val="tx1"/>
                  </w14:solidFill>
                </w14:textFill>
              </w:rPr>
              <w:t>。</w:t>
            </w:r>
          </w:p>
          <w:p w14:paraId="3C93AF3D">
            <w:pPr>
              <w:ind w:firstLine="480"/>
            </w:pPr>
            <w:r>
              <w:rPr>
                <w:rFonts w:ascii="Cambria Math" w:hAnsi="Cambria Math" w:cs="Cambria Math"/>
              </w:rPr>
              <w:t>⑥</w:t>
            </w:r>
            <w:r>
              <w:t>胶合：约10%</w:t>
            </w:r>
            <w:r>
              <w:rPr>
                <w:rFonts w:hint="eastAsia"/>
                <w:color w:val="0000FF"/>
              </w:rPr>
              <w:t>塑料件零件</w:t>
            </w:r>
            <w:r>
              <w:t>需要小超音波</w:t>
            </w:r>
            <w:r>
              <w:rPr>
                <w:color w:val="EE0000"/>
              </w:rPr>
              <w:t>塑料胶合机</w:t>
            </w:r>
            <w:r>
              <w:t>对塑料</w:t>
            </w:r>
            <w:r>
              <w:rPr>
                <w:rFonts w:hint="eastAsia"/>
              </w:rPr>
              <w:t>半成品</w:t>
            </w:r>
            <w:r>
              <w:t>边缘进行胶合，主要原理为超声波作用于热塑性的塑料接触面时，会产生每秒几万次的高频振动，这种达到一定振幅的高频振动，通过上焊件把超声能量传送到焊区，由于焊区即两个焊接的交界面处声阻大，因此会产生局部高温。又由于塑料导热性差，一时还不能及时散发，聚集在</w:t>
            </w:r>
            <w:r>
              <w:rPr>
                <w:rFonts w:hint="eastAsia"/>
                <w:color w:val="EE0000"/>
              </w:rPr>
              <w:t>胶合区</w:t>
            </w:r>
            <w:r>
              <w:t>，致使垫片的边缘接触面迅速熔化，加上一定压力后，使其融合成一体，该工序无需使用焊料</w:t>
            </w:r>
            <w:r>
              <w:rPr>
                <w:rFonts w:hint="eastAsia"/>
              </w:rPr>
              <w:t>、胶粘剂及其他助剂</w:t>
            </w:r>
            <w:r>
              <w:t>。当超声波停止作用后，让压力持续几秒钟，使其凝固成型，这样就形成一个坚固的分子链，达到</w:t>
            </w:r>
            <w:r>
              <w:rPr>
                <w:rFonts w:hint="eastAsia"/>
                <w:color w:val="EE0000"/>
              </w:rPr>
              <w:t>将两个塑料半成品相接</w:t>
            </w:r>
            <w:r>
              <w:t>的目的，焊接强度能接近于原材料强度。</w:t>
            </w:r>
            <w:r>
              <w:rPr>
                <w:color w:val="EE0000"/>
              </w:rPr>
              <w:t>胶合</w:t>
            </w:r>
            <w:r>
              <w:t>温度一般在85℃左右，此工序产生极少量</w:t>
            </w:r>
            <w:r>
              <w:rPr>
                <w:rFonts w:hint="eastAsia"/>
                <w:color w:val="EE0000"/>
              </w:rPr>
              <w:t>非甲烷总烃、</w:t>
            </w:r>
            <w:r>
              <w:t>噪声。</w:t>
            </w:r>
          </w:p>
          <w:p w14:paraId="466664BD">
            <w:pPr>
              <w:ind w:firstLine="480"/>
            </w:pPr>
            <w:r>
              <w:rPr>
                <w:rFonts w:ascii="Cambria Math" w:hAnsi="Cambria Math" w:cs="Cambria Math"/>
              </w:rPr>
              <w:t>⑦</w:t>
            </w:r>
            <w:r>
              <w:t>组装：根据产品要求</w:t>
            </w:r>
            <w:r>
              <w:rPr>
                <w:rFonts w:hint="eastAsia"/>
              </w:rPr>
              <w:t>将</w:t>
            </w:r>
            <w:r>
              <w:rPr>
                <w:rFonts w:hint="eastAsia"/>
                <w:color w:val="EE0000"/>
              </w:rPr>
              <w:t>线路板、塑料台灯上下盖通过螺丝</w:t>
            </w:r>
            <w:r>
              <w:t>手工组装后包装出货</w:t>
            </w:r>
            <w:r>
              <w:rPr>
                <w:rFonts w:hint="eastAsia"/>
              </w:rPr>
              <w:t>，</w:t>
            </w:r>
            <w:r>
              <w:rPr>
                <w:rFonts w:hint="eastAsia"/>
                <w:color w:val="0000FF"/>
              </w:rPr>
              <w:t>该工序仅用于台灯塑料件，塑料件包装盒及塑料件零件无需组装</w:t>
            </w:r>
            <w:r>
              <w:t>。</w:t>
            </w:r>
          </w:p>
          <w:p w14:paraId="2BEFB98F">
            <w:pPr>
              <w:ind w:firstLine="480"/>
              <w:rPr>
                <w:rFonts w:asciiTheme="majorBidi" w:hAnsiTheme="majorBidi" w:eastAsiaTheme="minorEastAsia" w:cstheme="majorBidi"/>
                <w:color w:val="000000" w:themeColor="text1"/>
                <w14:textFill>
                  <w14:solidFill>
                    <w14:schemeClr w14:val="tx1"/>
                  </w14:solidFill>
                </w14:textFill>
              </w:rPr>
            </w:pPr>
            <w:r>
              <w:rPr>
                <w:rFonts w:hint="eastAsia"/>
              </w:rPr>
              <w:t>⑧印刷：</w:t>
            </w:r>
            <w:r>
              <w:rPr>
                <w:rFonts w:asciiTheme="majorBidi" w:hAnsiTheme="majorBidi" w:eastAsiaTheme="minorEastAsia" w:cstheme="majorBidi"/>
                <w:color w:val="000000" w:themeColor="text1"/>
                <w14:textFill>
                  <w14:solidFill>
                    <w14:schemeClr w14:val="tx1"/>
                  </w14:solidFill>
                </w14:textFill>
              </w:rPr>
              <w:t>根据客户需求</w:t>
            </w:r>
            <w:r>
              <w:rPr>
                <w:rFonts w:hint="eastAsia" w:asciiTheme="majorBidi" w:hAnsiTheme="majorBidi" w:eastAsiaTheme="minorEastAsia" w:cstheme="majorBidi"/>
                <w:color w:val="000000" w:themeColor="text1"/>
                <w14:textFill>
                  <w14:solidFill>
                    <w14:schemeClr w14:val="tx1"/>
                  </w14:solidFill>
                </w14:textFill>
              </w:rPr>
              <w:t>，</w:t>
            </w:r>
            <w:r>
              <w:rPr>
                <w:rFonts w:hint="eastAsia" w:asciiTheme="majorBidi" w:hAnsiTheme="majorBidi" w:eastAsiaTheme="minorEastAsia" w:cstheme="majorBidi"/>
                <w:color w:val="EE0000"/>
              </w:rPr>
              <w:t>本项目约有10%</w:t>
            </w:r>
            <w:r>
              <w:rPr>
                <w:rFonts w:hint="eastAsia" w:asciiTheme="majorBidi" w:hAnsiTheme="majorBidi" w:eastAsiaTheme="minorEastAsia" w:cstheme="majorBidi"/>
                <w:color w:val="000000" w:themeColor="text1"/>
                <w14:textFill>
                  <w14:solidFill>
                    <w14:schemeClr w14:val="tx1"/>
                  </w14:solidFill>
                </w14:textFill>
              </w:rPr>
              <w:t>的</w:t>
            </w:r>
            <w:r>
              <w:rPr>
                <w:rFonts w:asciiTheme="majorBidi" w:hAnsiTheme="majorBidi" w:eastAsiaTheme="minorEastAsia" w:cstheme="majorBidi"/>
                <w:color w:val="0000FF"/>
                <w:kern w:val="2"/>
              </w:rPr>
              <w:t>台灯塑料件</w:t>
            </w:r>
            <w:r>
              <w:rPr>
                <w:rFonts w:hint="eastAsia" w:asciiTheme="majorBidi" w:hAnsiTheme="majorBidi" w:eastAsiaTheme="minorEastAsia" w:cstheme="majorBidi"/>
                <w:color w:val="0000FF"/>
                <w:kern w:val="2"/>
              </w:rPr>
              <w:t>、</w:t>
            </w:r>
            <w:r>
              <w:rPr>
                <w:rFonts w:hint="eastAsia" w:asciiTheme="majorBidi" w:hAnsiTheme="majorBidi" w:eastAsiaTheme="minorEastAsia" w:cstheme="majorBidi"/>
                <w:color w:val="0000FF"/>
              </w:rPr>
              <w:t>塑料件包装盒、塑料件零</w:t>
            </w:r>
            <w:r>
              <w:rPr>
                <w:rFonts w:hint="eastAsia" w:asciiTheme="majorBidi" w:hAnsiTheme="majorBidi" w:eastAsiaTheme="minorEastAsia" w:cstheme="majorBidi"/>
                <w:color w:val="000000" w:themeColor="text1"/>
                <w14:textFill>
                  <w14:solidFill>
                    <w14:schemeClr w14:val="tx1"/>
                  </w14:solidFill>
                </w14:textFill>
              </w:rPr>
              <w:t>件</w:t>
            </w:r>
            <w:r>
              <w:rPr>
                <w:rFonts w:asciiTheme="majorBidi" w:hAnsiTheme="majorBidi" w:eastAsiaTheme="minorEastAsia" w:cstheme="majorBidi"/>
                <w:color w:val="000000" w:themeColor="text1"/>
                <w14:textFill>
                  <w14:solidFill>
                    <w14:schemeClr w14:val="tx1"/>
                  </w14:solidFill>
                </w14:textFill>
              </w:rPr>
              <w:t>需要在表面印刷上商标或产品标志，该部分产品经丝印机、移印机在表面印刷上相应图案</w:t>
            </w:r>
            <w:r>
              <w:rPr>
                <w:rFonts w:hint="eastAsia" w:asciiTheme="majorBidi" w:hAnsiTheme="majorBidi" w:eastAsiaTheme="minorEastAsia" w:cstheme="majorBidi"/>
                <w:color w:val="0000FF"/>
              </w:rPr>
              <w:t>并在常温下自然固化</w:t>
            </w:r>
            <w:r>
              <w:rPr>
                <w:rFonts w:asciiTheme="majorBidi" w:hAnsiTheme="majorBidi" w:eastAsiaTheme="minorEastAsia" w:cstheme="majorBidi"/>
                <w:color w:val="000000" w:themeColor="text1"/>
                <w14:textFill>
                  <w14:solidFill>
                    <w14:schemeClr w14:val="tx1"/>
                  </w14:solidFill>
                </w14:textFill>
              </w:rPr>
              <w:t>，该过程中会产生</w:t>
            </w:r>
            <w:r>
              <w:rPr>
                <w:rFonts w:hint="eastAsia" w:asciiTheme="majorBidi" w:hAnsiTheme="majorBidi" w:eastAsiaTheme="minorEastAsia" w:cstheme="majorBidi"/>
                <w:color w:val="000000" w:themeColor="text1"/>
                <w14:textFill>
                  <w14:solidFill>
                    <w14:schemeClr w14:val="tx1"/>
                  </w14:solidFill>
                </w14:textFill>
              </w:rPr>
              <w:t>非甲烷总烃</w:t>
            </w:r>
            <w:r>
              <w:rPr>
                <w:rFonts w:asciiTheme="majorBidi" w:hAnsiTheme="majorBidi" w:eastAsiaTheme="minorEastAsia" w:cstheme="majorBidi"/>
                <w:color w:val="000000" w:themeColor="text1"/>
                <w14:textFill>
                  <w14:solidFill>
                    <w14:schemeClr w14:val="tx1"/>
                  </w14:solidFill>
                </w14:textFill>
              </w:rPr>
              <w:t>。</w:t>
            </w:r>
            <w:r>
              <w:rPr>
                <w:rFonts w:hint="eastAsia" w:asciiTheme="majorBidi" w:hAnsiTheme="majorBidi" w:eastAsiaTheme="minorEastAsia" w:cstheme="majorBidi"/>
                <w:color w:val="000000" w:themeColor="text1"/>
                <w14:textFill>
                  <w14:solidFill>
                    <w14:schemeClr w14:val="tx1"/>
                  </w14:solidFill>
                </w14:textFill>
              </w:rPr>
              <w:t>设备清洗过程使用半水基清洗剂，会产生非甲烷总烃、废清洗剂和</w:t>
            </w:r>
            <w:r>
              <w:rPr>
                <w:rFonts w:hint="eastAsia" w:asciiTheme="majorBidi" w:hAnsiTheme="majorBidi" w:eastAsiaTheme="minorEastAsia" w:cstheme="majorBidi"/>
                <w:color w:val="0000FF"/>
              </w:rPr>
              <w:t>含清洗剂废抹布</w:t>
            </w:r>
            <w:r>
              <w:rPr>
                <w:rFonts w:hint="eastAsia" w:asciiTheme="majorBidi" w:hAnsiTheme="majorBidi" w:eastAsiaTheme="minorEastAsia" w:cstheme="majorBidi"/>
                <w:color w:val="000000" w:themeColor="text1"/>
                <w14:textFill>
                  <w14:solidFill>
                    <w14:schemeClr w14:val="tx1"/>
                  </w14:solidFill>
                </w14:textFill>
              </w:rPr>
              <w:t>。</w:t>
            </w:r>
            <w:r>
              <w:rPr>
                <w:rFonts w:asciiTheme="majorBidi" w:hAnsiTheme="majorBidi" w:eastAsiaTheme="minorEastAsia" w:cstheme="majorBidi"/>
                <w:color w:val="000000" w:themeColor="text1"/>
                <w14:textFill>
                  <w14:solidFill>
                    <w14:schemeClr w14:val="tx1"/>
                  </w14:solidFill>
                </w14:textFill>
              </w:rPr>
              <w:t>该过程中会产</w:t>
            </w:r>
            <w:r>
              <w:rPr>
                <w:rFonts w:asciiTheme="majorBidi" w:hAnsiTheme="majorBidi" w:eastAsiaTheme="minorEastAsia" w:cstheme="majorBidi"/>
                <w:color w:val="EE0000"/>
              </w:rPr>
              <w:t>生</w:t>
            </w:r>
            <w:r>
              <w:rPr>
                <w:rFonts w:hint="eastAsia" w:asciiTheme="majorBidi" w:hAnsiTheme="majorBidi" w:eastAsiaTheme="minorEastAsia" w:cstheme="majorBidi"/>
                <w:color w:val="EE0000"/>
              </w:rPr>
              <w:t>非甲烷总烃、</w:t>
            </w:r>
            <w:r>
              <w:rPr>
                <w:rFonts w:hint="eastAsia" w:asciiTheme="majorBidi" w:hAnsiTheme="majorBidi" w:eastAsiaTheme="minorEastAsia" w:cstheme="majorBidi"/>
                <w:color w:val="0000FF"/>
              </w:rPr>
              <w:t>总VOCs、</w:t>
            </w:r>
            <w:r>
              <w:rPr>
                <w:rFonts w:hint="eastAsia" w:asciiTheme="majorBidi" w:hAnsiTheme="majorBidi" w:eastAsiaTheme="minorEastAsia" w:cstheme="majorBidi"/>
                <w:color w:val="EE0000"/>
              </w:rPr>
              <w:t>废清洗剂、废空桶、</w:t>
            </w:r>
            <w:r>
              <w:rPr>
                <w:rFonts w:hint="eastAsia" w:asciiTheme="majorBidi" w:hAnsiTheme="majorBidi" w:eastAsiaTheme="minorEastAsia" w:cstheme="majorBidi"/>
                <w:color w:val="0000FF"/>
              </w:rPr>
              <w:t>含清洗剂废抹布</w:t>
            </w:r>
            <w:r>
              <w:rPr>
                <w:rFonts w:asciiTheme="majorBidi" w:hAnsiTheme="majorBidi" w:eastAsiaTheme="minorEastAsia" w:cstheme="majorBidi"/>
                <w:color w:val="000000" w:themeColor="text1"/>
                <w14:textFill>
                  <w14:solidFill>
                    <w14:schemeClr w14:val="tx1"/>
                  </w14:solidFill>
                </w14:textFill>
              </w:rPr>
              <w:t>。</w:t>
            </w:r>
          </w:p>
          <w:p w14:paraId="58AF467A">
            <w:pPr>
              <w:ind w:firstLine="480"/>
              <w:rPr>
                <w:rFonts w:asciiTheme="majorBidi" w:hAnsiTheme="majorBidi" w:eastAsiaTheme="minorEastAsia" w:cstheme="majorBidi"/>
                <w:color w:val="000000" w:themeColor="text1"/>
                <w14:textFill>
                  <w14:solidFill>
                    <w14:schemeClr w14:val="tx1"/>
                  </w14:solidFill>
                </w14:textFill>
              </w:rPr>
            </w:pPr>
            <w:r>
              <w:rPr>
                <w:rFonts w:hint="eastAsia" w:asciiTheme="majorBidi" w:hAnsiTheme="majorBidi" w:eastAsiaTheme="minorEastAsia" w:cstheme="majorBidi"/>
                <w:color w:val="000000" w:themeColor="text1"/>
                <w14:textFill>
                  <w14:solidFill>
                    <w14:schemeClr w14:val="tx1"/>
                  </w14:solidFill>
                </w14:textFill>
              </w:rPr>
              <w:t>⑨检查：</w:t>
            </w:r>
            <w:r>
              <w:rPr>
                <w:rFonts w:asciiTheme="majorBidi" w:hAnsiTheme="majorBidi" w:eastAsiaTheme="minorEastAsia" w:cstheme="majorBidi"/>
                <w:color w:val="000000" w:themeColor="text1"/>
                <w14:textFill>
                  <w14:solidFill>
                    <w14:schemeClr w14:val="tx1"/>
                  </w14:solidFill>
                </w14:textFill>
              </w:rPr>
              <w:t>人工对产品印刷</w:t>
            </w:r>
            <w:r>
              <w:rPr>
                <w:rFonts w:hint="eastAsia" w:asciiTheme="majorBidi" w:hAnsiTheme="majorBidi" w:eastAsiaTheme="minorEastAsia" w:cstheme="majorBidi"/>
                <w:color w:val="000000" w:themeColor="text1"/>
                <w14:textFill>
                  <w14:solidFill>
                    <w14:schemeClr w14:val="tx1"/>
                  </w14:solidFill>
                </w14:textFill>
              </w:rPr>
              <w:t>、喷涂</w:t>
            </w:r>
            <w:r>
              <w:rPr>
                <w:rFonts w:asciiTheme="majorBidi" w:hAnsiTheme="majorBidi" w:eastAsiaTheme="minorEastAsia" w:cstheme="majorBidi"/>
                <w:color w:val="000000" w:themeColor="text1"/>
                <w14:textFill>
                  <w14:solidFill>
                    <w14:schemeClr w14:val="tx1"/>
                  </w14:solidFill>
                </w14:textFill>
              </w:rPr>
              <w:t>效果进行检查，</w:t>
            </w:r>
            <w:r>
              <w:rPr>
                <w:rFonts w:hint="eastAsia" w:asciiTheme="majorBidi" w:hAnsiTheme="majorBidi" w:eastAsiaTheme="minorEastAsia" w:cstheme="majorBidi"/>
                <w:color w:val="000000" w:themeColor="text1"/>
                <w14:textFill>
                  <w14:solidFill>
                    <w14:schemeClr w14:val="tx1"/>
                  </w14:solidFill>
                </w14:textFill>
              </w:rPr>
              <w:t>该过程中会产生</w:t>
            </w:r>
            <w:r>
              <w:rPr>
                <w:rFonts w:asciiTheme="majorBidi" w:hAnsiTheme="majorBidi" w:eastAsiaTheme="minorEastAsia" w:cstheme="majorBidi"/>
                <w:color w:val="000000" w:themeColor="text1"/>
                <w14:textFill>
                  <w14:solidFill>
                    <w14:schemeClr w14:val="tx1"/>
                  </w14:solidFill>
                </w14:textFill>
              </w:rPr>
              <w:t>不合格品</w:t>
            </w:r>
            <w:r>
              <w:rPr>
                <w:rFonts w:hint="eastAsia" w:asciiTheme="majorBidi" w:hAnsiTheme="majorBidi" w:eastAsiaTheme="minorEastAsia" w:cstheme="majorBidi"/>
                <w:color w:val="000000" w:themeColor="text1"/>
                <w14:textFill>
                  <w14:solidFill>
                    <w14:schemeClr w14:val="tx1"/>
                  </w14:solidFill>
                </w14:textFill>
              </w:rPr>
              <w:t>，</w:t>
            </w:r>
            <w:r>
              <w:rPr>
                <w:rFonts w:hint="eastAsia" w:asciiTheme="majorBidi" w:hAnsiTheme="majorBidi" w:eastAsiaTheme="minorEastAsia" w:cstheme="majorBidi"/>
                <w:color w:val="0000FF"/>
              </w:rPr>
              <w:t>印刷不合格品因印刷面积小，油墨用量少，可回收利用。喷涂不合格台灯不可回用，作为固体废物处置。</w:t>
            </w:r>
          </w:p>
          <w:p w14:paraId="69E43385">
            <w:pPr>
              <w:ind w:firstLine="480"/>
            </w:pPr>
            <w:r>
              <w:rPr>
                <w:rFonts w:hint="eastAsia"/>
              </w:rPr>
              <w:t>2</w:t>
            </w:r>
            <w:r>
              <w:t>.</w:t>
            </w:r>
            <w:r>
              <w:rPr>
                <w:rFonts w:hint="eastAsia"/>
              </w:rPr>
              <w:t>自用</w:t>
            </w:r>
            <w:r>
              <w:t>模具生产工艺流程及产排污环节</w:t>
            </w:r>
          </w:p>
          <w:p w14:paraId="7C02EBA7">
            <w:pPr>
              <w:ind w:firstLine="480"/>
              <w:jc w:val="center"/>
              <w:rPr>
                <w:rFonts w:asciiTheme="majorBidi" w:hAnsiTheme="majorBidi" w:eastAsiaTheme="minorEastAsia" w:cstheme="majorBidi"/>
                <w:color w:val="000000" w:themeColor="text1"/>
                <w14:textFill>
                  <w14:solidFill>
                    <w14:schemeClr w14:val="tx1"/>
                  </w14:solidFill>
                </w14:textFill>
              </w:rPr>
            </w:pPr>
            <w:r>
              <w:rPr>
                <w:rFonts w:asciiTheme="majorBidi" w:hAnsiTheme="majorBidi" w:eastAsiaTheme="minorEastAsia" w:cstheme="majorBidi"/>
                <w:color w:val="000000" w:themeColor="text1"/>
                <w14:textFill>
                  <w14:solidFill>
                    <w14:schemeClr w14:val="tx1"/>
                  </w14:solidFill>
                </w14:textFill>
              </w:rPr>
              <mc:AlternateContent>
                <mc:Choice Requires="wpc">
                  <w:drawing>
                    <wp:inline distT="0" distB="0" distL="0" distR="0">
                      <wp:extent cx="5061585" cy="1597660"/>
                      <wp:effectExtent l="0" t="0" r="5715" b="2540"/>
                      <wp:docPr id="1557800847" name="画布 1557800847"/>
                      <wp:cNvGraphicFramePr>
                        <a:graphicFrameLocks xmlns:a="http://schemas.openxmlformats.org/drawingml/2006/main" noChangeAspect="1"/>
                      </wp:cNvGraphicFramePr>
                      <a:graphic xmlns:a="http://schemas.openxmlformats.org/drawingml/2006/main">
                        <a:graphicData uri="http://schemas.microsoft.com/office/word/2010/wordprocessingCanvas">
                          <wpc:wpc>
                            <wpc:bg>
                              <a:solidFill>
                                <a:prstClr val="white"/>
                              </a:solidFill>
                            </wpc:bg>
                            <wpc:whole/>
                            <wps:wsp>
                              <wps:cNvPr id="378406312" name="文本框 378406312"/>
                              <wps:cNvSpPr txBox="1"/>
                              <wps:spPr>
                                <a:xfrm>
                                  <a:off x="1287884" y="36003"/>
                                  <a:ext cx="995680" cy="179070"/>
                                </a:xfrm>
                                <a:prstGeom prst="rect">
                                  <a:avLst/>
                                </a:prstGeom>
                                <a:solidFill>
                                  <a:schemeClr val="lt1"/>
                                </a:solidFill>
                                <a:ln w="6350">
                                  <a:solidFill>
                                    <a:schemeClr val="tx1"/>
                                  </a:solidFill>
                                </a:ln>
                              </wps:spPr>
                              <wps:txbx>
                                <w:txbxContent>
                                  <w:p w14:paraId="4DB4DA74">
                                    <w:pPr>
                                      <w:pStyle w:val="29"/>
                                    </w:pPr>
                                    <w:r>
                                      <w:rPr>
                                        <w:rFonts w:hint="eastAsia"/>
                                      </w:rPr>
                                      <w:t>机加工</w:t>
                                    </w:r>
                                  </w:p>
                                </w:txbxContent>
                              </wps:txbx>
                              <wps:bodyPr rot="0" spcFirstLastPara="0" vertOverflow="overflow" horzOverflow="overflow" vert="horz" wrap="square" lIns="0" tIns="0" rIns="0" bIns="0" numCol="1" spcCol="0" rtlCol="0" fromWordArt="0" anchor="t" anchorCtr="0" forceAA="0" compatLnSpc="1">
                                <a:spAutoFit/>
                              </wps:bodyPr>
                            </wps:wsp>
                            <wps:wsp>
                              <wps:cNvPr id="1970570573" name="文本框 228"/>
                              <wps:cNvSpPr txBox="1"/>
                              <wps:spPr>
                                <a:xfrm>
                                  <a:off x="1287943" y="471127"/>
                                  <a:ext cx="995680" cy="179070"/>
                                </a:xfrm>
                                <a:prstGeom prst="rect">
                                  <a:avLst/>
                                </a:prstGeom>
                                <a:solidFill>
                                  <a:schemeClr val="lt1"/>
                                </a:solidFill>
                                <a:ln w="6350">
                                  <a:solidFill>
                                    <a:prstClr val="black"/>
                                  </a:solidFill>
                                </a:ln>
                              </wps:spPr>
                              <wps:txbx>
                                <w:txbxContent>
                                  <w:p w14:paraId="1FA78A72">
                                    <w:pPr>
                                      <w:pStyle w:val="29"/>
                                    </w:pPr>
                                    <w:r>
                                      <w:rPr>
                                        <w:rFonts w:hint="eastAsia"/>
                                      </w:rPr>
                                      <w:t>火花加工</w:t>
                                    </w:r>
                                  </w:p>
                                </w:txbxContent>
                              </wps:txbx>
                              <wps:bodyPr rot="0" spcFirstLastPara="0" vert="horz" wrap="square" lIns="0" tIns="0" rIns="0" bIns="0" numCol="1" spcCol="0" rtlCol="0" fromWordArt="0" anchor="t" anchorCtr="0" forceAA="0" compatLnSpc="1">
                                <a:spAutoFit/>
                              </wps:bodyPr>
                            </wps:wsp>
                            <wps:wsp>
                              <wps:cNvPr id="1940382413" name="直接箭头连接符 1940382413"/>
                              <wps:cNvCnPr/>
                              <wps:spPr>
                                <a:xfrm>
                                  <a:off x="1817527" y="228859"/>
                                  <a:ext cx="0" cy="242277"/>
                                </a:xfrm>
                                <a:prstGeom prst="straightConnector1">
                                  <a:avLst/>
                                </a:prstGeom>
                                <a:ln>
                                  <a:tailEnd type="triangle"/>
                                </a:ln>
                              </wps:spPr>
                              <wps:style>
                                <a:lnRef idx="1">
                                  <a:schemeClr val="dk1"/>
                                </a:lnRef>
                                <a:fillRef idx="0">
                                  <a:schemeClr val="dk1"/>
                                </a:fillRef>
                                <a:effectRef idx="0">
                                  <a:schemeClr val="dk1"/>
                                </a:effectRef>
                                <a:fontRef idx="minor">
                                  <a:schemeClr val="tx1"/>
                                </a:fontRef>
                              </wps:style>
                              <wps:bodyPr/>
                            </wps:wsp>
                            <wps:wsp>
                              <wps:cNvPr id="1386498092" name="文本框 228"/>
                              <wps:cNvSpPr txBox="1"/>
                              <wps:spPr>
                                <a:xfrm>
                                  <a:off x="1287943" y="1002126"/>
                                  <a:ext cx="995680" cy="179070"/>
                                </a:xfrm>
                                <a:prstGeom prst="rect">
                                  <a:avLst/>
                                </a:prstGeom>
                                <a:solidFill>
                                  <a:schemeClr val="lt1"/>
                                </a:solidFill>
                                <a:ln w="6350">
                                  <a:solidFill>
                                    <a:schemeClr val="tx1"/>
                                  </a:solidFill>
                                </a:ln>
                              </wps:spPr>
                              <wps:txbx>
                                <w:txbxContent>
                                  <w:p w14:paraId="7976F022">
                                    <w:pPr>
                                      <w:pStyle w:val="29"/>
                                    </w:pPr>
                                    <w:r>
                                      <w:rPr>
                                        <w:rFonts w:hint="eastAsia"/>
                                      </w:rPr>
                                      <w:t>焊接</w:t>
                                    </w:r>
                                  </w:p>
                                </w:txbxContent>
                              </wps:txbx>
                              <wps:bodyPr rot="0" spcFirstLastPara="0" vert="horz" wrap="square" lIns="0" tIns="0" rIns="0" bIns="0" numCol="1" spcCol="0" rtlCol="0" fromWordArt="0" anchor="ctr" anchorCtr="0" forceAA="0" compatLnSpc="1">
                                <a:spAutoFit/>
                              </wps:bodyPr>
                            </wps:wsp>
                            <wps:wsp>
                              <wps:cNvPr id="923047233" name="直接箭头连接符 923047233"/>
                              <wps:cNvCnPr/>
                              <wps:spPr>
                                <a:xfrm flipH="1">
                                  <a:off x="1812566" y="787766"/>
                                  <a:ext cx="2483" cy="214370"/>
                                </a:xfrm>
                                <a:prstGeom prst="straightConnector1">
                                  <a:avLst/>
                                </a:prstGeom>
                                <a:ln>
                                  <a:tailEnd type="triangle"/>
                                </a:ln>
                              </wps:spPr>
                              <wps:style>
                                <a:lnRef idx="1">
                                  <a:schemeClr val="dk1"/>
                                </a:lnRef>
                                <a:fillRef idx="0">
                                  <a:schemeClr val="dk1"/>
                                </a:fillRef>
                                <a:effectRef idx="0">
                                  <a:schemeClr val="dk1"/>
                                </a:effectRef>
                                <a:fontRef idx="minor">
                                  <a:schemeClr val="tx1"/>
                                </a:fontRef>
                              </wps:style>
                              <wps:bodyPr/>
                            </wps:wsp>
                            <wps:wsp>
                              <wps:cNvPr id="137753710" name="文本框 137753710"/>
                              <wps:cNvSpPr txBox="1"/>
                              <wps:spPr>
                                <a:xfrm>
                                  <a:off x="2709100" y="35999"/>
                                  <a:ext cx="1970405" cy="179070"/>
                                </a:xfrm>
                                <a:prstGeom prst="rect">
                                  <a:avLst/>
                                </a:prstGeom>
                                <a:solidFill>
                                  <a:schemeClr val="lt1"/>
                                </a:solidFill>
                                <a:ln w="6350">
                                  <a:solidFill>
                                    <a:prstClr val="black"/>
                                  </a:solidFill>
                                  <a:prstDash val="dash"/>
                                </a:ln>
                              </wps:spPr>
                              <wps:txbx>
                                <w:txbxContent>
                                  <w:p w14:paraId="62E73572">
                                    <w:pPr>
                                      <w:pStyle w:val="29"/>
                                    </w:pPr>
                                    <w:r>
                                      <w:rPr>
                                        <w:rFonts w:hint="eastAsia"/>
                                        <w:color w:val="000000" w:themeColor="text1"/>
                                        <w14:textFill>
                                          <w14:solidFill>
                                            <w14:schemeClr w14:val="tx1"/>
                                          </w14:solidFill>
                                        </w14:textFill>
                                      </w:rPr>
                                      <w:t>颗粒物、钢废料、</w:t>
                                    </w:r>
                                    <w:r>
                                      <w:rPr>
                                        <w:rFonts w:hint="eastAsia"/>
                                      </w:rPr>
                                      <w:t>噪声</w:t>
                                    </w:r>
                                  </w:p>
                                </w:txbxContent>
                              </wps:txbx>
                              <wps:bodyPr rot="0" spcFirstLastPara="0" vertOverflow="overflow" horzOverflow="overflow" vert="horz" wrap="square" lIns="0" tIns="0" rIns="0" bIns="0" numCol="1" spcCol="0" rtlCol="0" fromWordArt="0" anchor="t" anchorCtr="0" forceAA="0" compatLnSpc="1">
                                <a:spAutoFit/>
                              </wps:bodyPr>
                            </wps:wsp>
                            <wps:wsp>
                              <wps:cNvPr id="1588245809" name="文本框 252"/>
                              <wps:cNvSpPr txBox="1"/>
                              <wps:spPr>
                                <a:xfrm>
                                  <a:off x="2711008" y="460258"/>
                                  <a:ext cx="1932940" cy="352425"/>
                                </a:xfrm>
                                <a:prstGeom prst="rect">
                                  <a:avLst/>
                                </a:prstGeom>
                                <a:solidFill>
                                  <a:schemeClr val="lt1"/>
                                </a:solidFill>
                                <a:ln w="6350">
                                  <a:solidFill>
                                    <a:prstClr val="black"/>
                                  </a:solidFill>
                                  <a:prstDash val="dash"/>
                                </a:ln>
                              </wps:spPr>
                              <wps:txbx>
                                <w:txbxContent>
                                  <w:p w14:paraId="5AFA423C">
                                    <w:pPr>
                                      <w:pStyle w:val="29"/>
                                      <w:rPr>
                                        <w:color w:val="000000" w:themeColor="text1"/>
                                        <w14:textFill>
                                          <w14:solidFill>
                                            <w14:schemeClr w14:val="tx1"/>
                                          </w14:solidFill>
                                        </w14:textFill>
                                      </w:rPr>
                                    </w:pPr>
                                    <w:r>
                                      <w:rPr>
                                        <w:rFonts w:hint="eastAsia"/>
                                        <w:color w:val="000000" w:themeColor="text1"/>
                                        <w14:textFill>
                                          <w14:solidFill>
                                            <w14:schemeClr w14:val="tx1"/>
                                          </w14:solidFill>
                                        </w14:textFill>
                                      </w:rPr>
                                      <w:t>非甲烷总烃、颗粒物、废火花油、废油桶、噪声</w:t>
                                    </w:r>
                                  </w:p>
                                </w:txbxContent>
                              </wps:txbx>
                              <wps:bodyPr rot="0" spcFirstLastPara="0" vert="horz" wrap="square" lIns="0" tIns="0" rIns="0" bIns="0" numCol="1" spcCol="0" rtlCol="0" fromWordArt="0" anchor="t" anchorCtr="0" forceAA="0" compatLnSpc="1">
                                <a:spAutoFit/>
                              </wps:bodyPr>
                            </wps:wsp>
                            <wps:wsp>
                              <wps:cNvPr id="1857620838" name="直接箭头连接符 1857620838"/>
                              <wps:cNvCnPr/>
                              <wps:spPr>
                                <a:xfrm>
                                  <a:off x="2310434" y="146338"/>
                                  <a:ext cx="400579" cy="0"/>
                                </a:xfrm>
                                <a:prstGeom prst="straightConnector1">
                                  <a:avLst/>
                                </a:prstGeom>
                                <a:ln>
                                  <a:prstDash val="dash"/>
                                  <a:tailEnd type="triangle"/>
                                </a:ln>
                              </wps:spPr>
                              <wps:style>
                                <a:lnRef idx="1">
                                  <a:schemeClr val="dk1"/>
                                </a:lnRef>
                                <a:fillRef idx="0">
                                  <a:schemeClr val="dk1"/>
                                </a:fillRef>
                                <a:effectRef idx="0">
                                  <a:schemeClr val="dk1"/>
                                </a:effectRef>
                                <a:fontRef idx="minor">
                                  <a:schemeClr val="tx1"/>
                                </a:fontRef>
                              </wps:style>
                              <wps:bodyPr/>
                            </wps:wsp>
                            <wps:wsp>
                              <wps:cNvPr id="413219865" name="直接箭头连接符 413219865"/>
                              <wps:cNvCnPr/>
                              <wps:spPr>
                                <a:xfrm>
                                  <a:off x="2310433" y="561874"/>
                                  <a:ext cx="398671" cy="0"/>
                                </a:xfrm>
                                <a:prstGeom prst="straightConnector1">
                                  <a:avLst/>
                                </a:prstGeom>
                                <a:ln>
                                  <a:prstDash val="dash"/>
                                  <a:tailEnd type="triangle"/>
                                </a:ln>
                              </wps:spPr>
                              <wps:style>
                                <a:lnRef idx="1">
                                  <a:schemeClr val="dk1"/>
                                </a:lnRef>
                                <a:fillRef idx="0">
                                  <a:schemeClr val="dk1"/>
                                </a:fillRef>
                                <a:effectRef idx="0">
                                  <a:schemeClr val="dk1"/>
                                </a:effectRef>
                                <a:fontRef idx="minor">
                                  <a:schemeClr val="tx1"/>
                                </a:fontRef>
                              </wps:style>
                              <wps:bodyPr/>
                            </wps:wsp>
                            <wps:wsp>
                              <wps:cNvPr id="1699393480" name="文本框 228"/>
                              <wps:cNvSpPr txBox="1"/>
                              <wps:spPr>
                                <a:xfrm>
                                  <a:off x="295274" y="58843"/>
                                  <a:ext cx="695960" cy="179070"/>
                                </a:xfrm>
                                <a:prstGeom prst="rect">
                                  <a:avLst/>
                                </a:prstGeom>
                                <a:solidFill>
                                  <a:schemeClr val="lt1"/>
                                </a:solidFill>
                                <a:ln w="6350">
                                  <a:noFill/>
                                </a:ln>
                              </wps:spPr>
                              <wps:txbx>
                                <w:txbxContent>
                                  <w:p w14:paraId="0769C354">
                                    <w:pPr>
                                      <w:pStyle w:val="29"/>
                                    </w:pPr>
                                    <w:r>
                                      <w:rPr>
                                        <w:rFonts w:hint="eastAsia"/>
                                      </w:rPr>
                                      <w:t>钢材</w:t>
                                    </w:r>
                                  </w:p>
                                </w:txbxContent>
                              </wps:txbx>
                              <wps:bodyPr rot="0" spcFirstLastPara="0" vert="horz" wrap="square" lIns="0" tIns="0" rIns="0" bIns="0" numCol="1" spcCol="0" rtlCol="0" fromWordArt="0" anchor="t" anchorCtr="0" forceAA="0" compatLnSpc="1">
                                <a:spAutoFit/>
                              </wps:bodyPr>
                            </wps:wsp>
                            <wps:wsp>
                              <wps:cNvPr id="1644955148" name="直接箭头连接符 1644955148"/>
                              <wps:cNvCnPr/>
                              <wps:spPr>
                                <a:xfrm>
                                  <a:off x="990811" y="116007"/>
                                  <a:ext cx="287547" cy="0"/>
                                </a:xfrm>
                                <a:prstGeom prst="straightConnector1">
                                  <a:avLst/>
                                </a:prstGeom>
                                <a:ln>
                                  <a:tailEnd type="triangle"/>
                                </a:ln>
                              </wps:spPr>
                              <wps:style>
                                <a:lnRef idx="1">
                                  <a:schemeClr val="dk1"/>
                                </a:lnRef>
                                <a:fillRef idx="0">
                                  <a:schemeClr val="dk1"/>
                                </a:fillRef>
                                <a:effectRef idx="0">
                                  <a:schemeClr val="dk1"/>
                                </a:effectRef>
                                <a:fontRef idx="minor">
                                  <a:schemeClr val="tx1"/>
                                </a:fontRef>
                              </wps:style>
                              <wps:bodyPr/>
                            </wps:wsp>
                            <wps:wsp>
                              <wps:cNvPr id="1785112615" name="直接箭头连接符 1785112615"/>
                              <wps:cNvCnPr/>
                              <wps:spPr>
                                <a:xfrm>
                                  <a:off x="2302374" y="1077268"/>
                                  <a:ext cx="398145" cy="0"/>
                                </a:xfrm>
                                <a:prstGeom prst="straightConnector1">
                                  <a:avLst/>
                                </a:prstGeom>
                                <a:ln>
                                  <a:prstDash val="dash"/>
                                  <a:tailEnd type="triangle"/>
                                </a:ln>
                              </wps:spPr>
                              <wps:style>
                                <a:lnRef idx="1">
                                  <a:schemeClr val="dk1"/>
                                </a:lnRef>
                                <a:fillRef idx="0">
                                  <a:schemeClr val="dk1"/>
                                </a:fillRef>
                                <a:effectRef idx="0">
                                  <a:schemeClr val="dk1"/>
                                </a:effectRef>
                                <a:fontRef idx="minor">
                                  <a:schemeClr val="tx1"/>
                                </a:fontRef>
                              </wps:style>
                              <wps:bodyPr/>
                            </wps:wsp>
                            <wps:wsp>
                              <wps:cNvPr id="316569038" name="文本框 252"/>
                              <wps:cNvSpPr txBox="1"/>
                              <wps:spPr>
                                <a:xfrm>
                                  <a:off x="2747201" y="1003163"/>
                                  <a:ext cx="1932305" cy="179070"/>
                                </a:xfrm>
                                <a:prstGeom prst="rect">
                                  <a:avLst/>
                                </a:prstGeom>
                                <a:solidFill>
                                  <a:schemeClr val="lt1"/>
                                </a:solidFill>
                                <a:ln w="6350">
                                  <a:solidFill>
                                    <a:prstClr val="black"/>
                                  </a:solidFill>
                                  <a:prstDash val="dash"/>
                                </a:ln>
                              </wps:spPr>
                              <wps:txbx>
                                <w:txbxContent>
                                  <w:p w14:paraId="415B17B2">
                                    <w:pPr>
                                      <w:pStyle w:val="29"/>
                                    </w:pPr>
                                    <w:r>
                                      <w:rPr>
                                        <w:rFonts w:hint="eastAsia"/>
                                      </w:rPr>
                                      <w:t>焊接烟尘、噪声</w:t>
                                    </w:r>
                                  </w:p>
                                </w:txbxContent>
                              </wps:txbx>
                              <wps:bodyPr rot="0" spcFirstLastPara="0" vert="horz" wrap="square" lIns="0" tIns="0" rIns="0" bIns="0" numCol="1" spcCol="0" rtlCol="0" fromWordArt="0" anchor="t" anchorCtr="0" forceAA="0" compatLnSpc="1">
                                <a:spAutoFit/>
                              </wps:bodyPr>
                            </wps:wsp>
                            <wps:wsp>
                              <wps:cNvPr id="239048610" name="直接箭头连接符 239048610"/>
                              <wps:cNvCnPr/>
                              <wps:spPr>
                                <a:xfrm flipH="1">
                                  <a:off x="1808002" y="1185479"/>
                                  <a:ext cx="1905" cy="213995"/>
                                </a:xfrm>
                                <a:prstGeom prst="straightConnector1">
                                  <a:avLst/>
                                </a:prstGeom>
                                <a:ln>
                                  <a:tailEnd type="triangle"/>
                                </a:ln>
                              </wps:spPr>
                              <wps:style>
                                <a:lnRef idx="1">
                                  <a:schemeClr val="dk1"/>
                                </a:lnRef>
                                <a:fillRef idx="0">
                                  <a:schemeClr val="dk1"/>
                                </a:fillRef>
                                <a:effectRef idx="0">
                                  <a:schemeClr val="dk1"/>
                                </a:effectRef>
                                <a:fontRef idx="minor">
                                  <a:schemeClr val="tx1"/>
                                </a:fontRef>
                              </wps:style>
                              <wps:bodyPr/>
                            </wps:wsp>
                            <wps:wsp>
                              <wps:cNvPr id="85385758" name="文本框 228"/>
                              <wps:cNvSpPr txBox="1"/>
                              <wps:spPr>
                                <a:xfrm>
                                  <a:off x="1197438" y="1418515"/>
                                  <a:ext cx="1183005" cy="179070"/>
                                </a:xfrm>
                                <a:prstGeom prst="rect">
                                  <a:avLst/>
                                </a:prstGeom>
                                <a:solidFill>
                                  <a:schemeClr val="lt1"/>
                                </a:solidFill>
                                <a:ln w="6350">
                                  <a:noFill/>
                                </a:ln>
                              </wps:spPr>
                              <wps:txbx>
                                <w:txbxContent>
                                  <w:p w14:paraId="3B1BC08A">
                                    <w:pPr>
                                      <w:pStyle w:val="29"/>
                                    </w:pPr>
                                    <w:r>
                                      <w:rPr>
                                        <w:rFonts w:hint="eastAsia"/>
                                      </w:rPr>
                                      <w:t>模具</w:t>
                                    </w:r>
                                  </w:p>
                                </w:txbxContent>
                              </wps:txbx>
                              <wps:bodyPr rot="0" spcFirstLastPara="0" vert="horz" wrap="square" lIns="0" tIns="0" rIns="0" bIns="0" numCol="1" spcCol="0" rtlCol="0" fromWordArt="0" anchor="t" anchorCtr="0" forceAA="0" compatLnSpc="1">
                                <a:spAutoFit/>
                              </wps:bodyPr>
                            </wps:wsp>
                            <wps:wsp>
                              <wps:cNvPr id="1347427166" name="直接箭头连接符 1347427166"/>
                              <wps:cNvCnPr/>
                              <wps:spPr>
                                <a:xfrm>
                                  <a:off x="990977" y="561838"/>
                                  <a:ext cx="287020" cy="0"/>
                                </a:xfrm>
                                <a:prstGeom prst="straightConnector1">
                                  <a:avLst/>
                                </a:prstGeom>
                                <a:ln>
                                  <a:tailEnd type="triangle"/>
                                </a:ln>
                              </wps:spPr>
                              <wps:style>
                                <a:lnRef idx="1">
                                  <a:schemeClr val="dk1"/>
                                </a:lnRef>
                                <a:fillRef idx="0">
                                  <a:schemeClr val="dk1"/>
                                </a:fillRef>
                                <a:effectRef idx="0">
                                  <a:schemeClr val="dk1"/>
                                </a:effectRef>
                                <a:fontRef idx="minor">
                                  <a:schemeClr val="tx1"/>
                                </a:fontRef>
                              </wps:style>
                              <wps:bodyPr/>
                            </wps:wsp>
                            <wps:wsp>
                              <wps:cNvPr id="940450697" name="直接箭头连接符 940450697"/>
                              <wps:cNvCnPr/>
                              <wps:spPr>
                                <a:xfrm>
                                  <a:off x="1008528" y="1077229"/>
                                  <a:ext cx="287020" cy="0"/>
                                </a:xfrm>
                                <a:prstGeom prst="straightConnector1">
                                  <a:avLst/>
                                </a:prstGeom>
                                <a:ln>
                                  <a:tailEnd type="triangle"/>
                                </a:ln>
                              </wps:spPr>
                              <wps:style>
                                <a:lnRef idx="1">
                                  <a:schemeClr val="dk1"/>
                                </a:lnRef>
                                <a:fillRef idx="0">
                                  <a:schemeClr val="dk1"/>
                                </a:fillRef>
                                <a:effectRef idx="0">
                                  <a:schemeClr val="dk1"/>
                                </a:effectRef>
                                <a:fontRef idx="minor">
                                  <a:schemeClr val="tx1"/>
                                </a:fontRef>
                              </wps:style>
                              <wps:bodyPr/>
                            </wps:wsp>
                            <wps:wsp>
                              <wps:cNvPr id="1322335869" name="文本框 228"/>
                              <wps:cNvSpPr txBox="1"/>
                              <wps:spPr>
                                <a:xfrm>
                                  <a:off x="295274" y="455929"/>
                                  <a:ext cx="683260" cy="179070"/>
                                </a:xfrm>
                                <a:prstGeom prst="rect">
                                  <a:avLst/>
                                </a:prstGeom>
                                <a:solidFill>
                                  <a:schemeClr val="lt1"/>
                                </a:solidFill>
                                <a:ln w="6350">
                                  <a:noFill/>
                                </a:ln>
                              </wps:spPr>
                              <wps:txbx>
                                <w:txbxContent>
                                  <w:p w14:paraId="2EE66E9F">
                                    <w:pPr>
                                      <w:pStyle w:val="29"/>
                                    </w:pPr>
                                    <w:r>
                                      <w:rPr>
                                        <w:rFonts w:hint="eastAsia"/>
                                      </w:rPr>
                                      <w:t>火花油</w:t>
                                    </w:r>
                                  </w:p>
                                </w:txbxContent>
                              </wps:txbx>
                              <wps:bodyPr rot="0" spcFirstLastPara="0" vert="horz" wrap="square" lIns="0" tIns="0" rIns="0" bIns="0" numCol="1" spcCol="0" rtlCol="0" fromWordArt="0" anchor="t" anchorCtr="0" forceAA="0" compatLnSpc="1">
                                <a:spAutoFit/>
                              </wps:bodyPr>
                            </wps:wsp>
                            <wps:wsp>
                              <wps:cNvPr id="1586175450" name="文本框 228"/>
                              <wps:cNvSpPr txBox="1"/>
                              <wps:spPr>
                                <a:xfrm>
                                  <a:off x="200025" y="938011"/>
                                  <a:ext cx="895350" cy="352425"/>
                                </a:xfrm>
                                <a:prstGeom prst="rect">
                                  <a:avLst/>
                                </a:prstGeom>
                                <a:solidFill>
                                  <a:schemeClr val="lt1"/>
                                </a:solidFill>
                                <a:ln w="6350">
                                  <a:noFill/>
                                </a:ln>
                              </wps:spPr>
                              <wps:txbx>
                                <w:txbxContent>
                                  <w:p w14:paraId="52A6669F">
                                    <w:pPr>
                                      <w:pStyle w:val="29"/>
                                      <w:rPr>
                                        <w:rFonts w:hint="eastAsia" w:ascii="宋体" w:hAnsi="宋体"/>
                                      </w:rPr>
                                    </w:pPr>
                                    <w:r>
                                      <w:t>无铅焊丝、CO</w:t>
                                    </w:r>
                                    <w:r>
                                      <w:rPr>
                                        <w:vertAlign w:val="subscript"/>
                                      </w:rPr>
                                      <w:t>2</w:t>
                                    </w:r>
                                    <w:r>
                                      <w:rPr>
                                        <w:rFonts w:hint="eastAsia" w:ascii="宋体" w:hAnsi="宋体"/>
                                      </w:rPr>
                                      <w:t>、</w:t>
                                    </w:r>
                                  </w:p>
                                </w:txbxContent>
                              </wps:txbx>
                              <wps:bodyPr rot="0" spcFirstLastPara="0" vert="horz" wrap="square" lIns="0" tIns="0" rIns="0" bIns="0" numCol="1" spcCol="0" rtlCol="0" fromWordArt="0" anchor="t" anchorCtr="0" forceAA="0" compatLnSpc="1">
                                <a:spAutoFit/>
                              </wps:bodyPr>
                            </wps:wsp>
                          </wpc:wpc>
                        </a:graphicData>
                      </a:graphic>
                    </wp:inline>
                  </w:drawing>
                </mc:Choice>
                <mc:Fallback>
                  <w:pict>
                    <v:group id="_x0000_s1026" o:spid="_x0000_s1026" o:spt="203" style="height:125.8pt;width:398.55pt;" coordsize="5061585,1597660" editas="canvas" o:gfxdata="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">
                      <o:lock v:ext="edit" aspectratio="f"/>
                      <v:shape id="_x0000_s1026" o:spid="_x0000_s1026" style="position:absolute;left:0;top:0;height:1597660;width:5061585;" fillcolor="#FFFFFF" filled="t" stroked="f" coordsize="21600,21600" o:gfxdata="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">
                        <v:fill on="t" focussize="0,0"/>
                        <v:stroke on="f"/>
                        <v:imagedata o:title=""/>
                        <o:lock v:ext="edit" aspectratio="t"/>
                      </v:shape>
                      <v:shape id="_x0000_s1026" o:spid="_x0000_s1026" o:spt="202" type="#_x0000_t202" style="position:absolute;left:1287884;top:36003;height:179070;width:995680;" fillcolor="#FFFFFF [3201]" filled="t" stroked="t" coordsize="21600,21600" o:gfxdata="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">
                        <v:fill on="t" focussize="0,0"/>
                        <v:stroke weight="0.5pt" color="#000000 [3213]" joinstyle="round"/>
                        <v:imagedata o:title=""/>
                        <o:lock v:ext="edit" aspectratio="f"/>
                        <v:textbox inset="0mm,0mm,0mm,0mm" style="mso-fit-shape-to-text:t;">
                          <w:txbxContent>
                            <w:p w14:paraId="4DB4DA74">
                              <w:pPr>
                                <w:pStyle w:val="29"/>
                              </w:pPr>
                              <w:r>
                                <w:rPr>
                                  <w:rFonts w:hint="eastAsia"/>
                                </w:rPr>
                                <w:t>机加工</w:t>
                              </w:r>
                            </w:p>
                          </w:txbxContent>
                        </v:textbox>
                      </v:shape>
                      <v:shape id="文本框 228" o:spid="_x0000_s1026" o:spt="202" type="#_x0000_t202" style="position:absolute;left:1287943;top:471127;height:179070;width:995680;" fillcolor="#FFFFFF [3201]" filled="t" stroked="t" coordsize="21600,21600" o:gfxdata="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">
                        <v:fill on="t" focussize="0,0"/>
                        <v:stroke weight="0.5pt" color="#000000" joinstyle="round"/>
                        <v:imagedata o:title=""/>
                        <o:lock v:ext="edit" aspectratio="f"/>
                        <v:textbox inset="0mm,0mm,0mm,0mm" style="mso-fit-shape-to-text:t;">
                          <w:txbxContent>
                            <w:p w14:paraId="1FA78A72">
                              <w:pPr>
                                <w:pStyle w:val="29"/>
                              </w:pPr>
                              <w:r>
                                <w:rPr>
                                  <w:rFonts w:hint="eastAsia"/>
                                </w:rPr>
                                <w:t>火花加工</w:t>
                              </w:r>
                            </w:p>
                          </w:txbxContent>
                        </v:textbox>
                      </v:shape>
                      <v:shape id="_x0000_s1026" o:spid="_x0000_s1026" o:spt="32" type="#_x0000_t32" style="position:absolute;left:1817527;top:228859;height:242277;width:0;" filled="f" stroked="t" coordsize="21600,21600" o:gfxdata="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">
                        <v:fill on="f" focussize="0,0"/>
                        <v:stroke color="#000000 [3200]" joinstyle="round" endarrow="block"/>
                        <v:imagedata o:title=""/>
                        <o:lock v:ext="edit" aspectratio="f"/>
                      </v:shape>
                      <v:shape id="文本框 228" o:spid="_x0000_s1026" o:spt="202" type="#_x0000_t202" style="position:absolute;left:1287943;top:1002126;height:179070;width:995680;v-text-anchor:middle;" fillcolor="#FFFFFF [3201]" filled="t" stroked="t" coordsize="21600,21600" o:gfxdata="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">
                        <v:fill on="t" focussize="0,0"/>
                        <v:stroke weight="0.5pt" color="#000000 [3213]" joinstyle="round"/>
                        <v:imagedata o:title=""/>
                        <o:lock v:ext="edit" aspectratio="f"/>
                        <v:textbox inset="0mm,0mm,0mm,0mm" style="mso-fit-shape-to-text:t;">
                          <w:txbxContent>
                            <w:p w14:paraId="7976F022">
                              <w:pPr>
                                <w:pStyle w:val="29"/>
                              </w:pPr>
                              <w:r>
                                <w:rPr>
                                  <w:rFonts w:hint="eastAsia"/>
                                </w:rPr>
                                <w:t>焊接</w:t>
                              </w:r>
                            </w:p>
                          </w:txbxContent>
                        </v:textbox>
                      </v:shape>
                      <v:shape id="_x0000_s1026" o:spid="_x0000_s1026" o:spt="32" type="#_x0000_t32" style="position:absolute;left:1812566;top:787766;flip:x;height:214370;width:2483;" filled="f" stroked="t" coordsize="21600,21600" o:gfxdata="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">
                        <v:fill on="f" focussize="0,0"/>
                        <v:stroke color="#000000 [3200]" joinstyle="round" endarrow="block"/>
                        <v:imagedata o:title=""/>
                        <o:lock v:ext="edit" aspectratio="f"/>
                      </v:shape>
                      <v:shape id="_x0000_s1026" o:spid="_x0000_s1026" o:spt="202" type="#_x0000_t202" style="position:absolute;left:2709100;top:35999;height:179070;width:1970405;" fillcolor="#FFFFFF [3201]" filled="t" stroked="t" coordsize="21600,21600" o:gfxdata="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">
                        <v:fill on="t" focussize="0,0"/>
                        <v:stroke weight="0.5pt" color="#000000" joinstyle="round" dashstyle="dash"/>
                        <v:imagedata o:title=""/>
                        <o:lock v:ext="edit" aspectratio="f"/>
                        <v:textbox inset="0mm,0mm,0mm,0mm" style="mso-fit-shape-to-text:t;">
                          <w:txbxContent>
                            <w:p w14:paraId="62E73572">
                              <w:pPr>
                                <w:pStyle w:val="29"/>
                              </w:pPr>
                              <w:r>
                                <w:rPr>
                                  <w:rFonts w:hint="eastAsia"/>
                                  <w:color w:val="000000" w:themeColor="text1"/>
                                  <w14:textFill>
                                    <w14:solidFill>
                                      <w14:schemeClr w14:val="tx1"/>
                                    </w14:solidFill>
                                  </w14:textFill>
                                </w:rPr>
                                <w:t>颗粒物、钢废料、</w:t>
                              </w:r>
                              <w:r>
                                <w:rPr>
                                  <w:rFonts w:hint="eastAsia"/>
                                </w:rPr>
                                <w:t>噪声</w:t>
                              </w:r>
                            </w:p>
                          </w:txbxContent>
                        </v:textbox>
                      </v:shape>
                      <v:shape id="文本框 252" o:spid="_x0000_s1026" o:spt="202" type="#_x0000_t202" style="position:absolute;left:2711008;top:460258;height:352425;width:1932940;" fillcolor="#FFFFFF [3201]" filled="t" stroked="t" coordsize="21600,21600" o:gfxdata="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">
                        <v:fill on="t" focussize="0,0"/>
                        <v:stroke weight="0.5pt" color="#000000" joinstyle="round" dashstyle="dash"/>
                        <v:imagedata o:title=""/>
                        <o:lock v:ext="edit" aspectratio="f"/>
                        <v:textbox inset="0mm,0mm,0mm,0mm" style="mso-fit-shape-to-text:t;">
                          <w:txbxContent>
                            <w:p w14:paraId="5AFA423C">
                              <w:pPr>
                                <w:pStyle w:val="29"/>
                                <w:rPr>
                                  <w:color w:val="000000" w:themeColor="text1"/>
                                  <w14:textFill>
                                    <w14:solidFill>
                                      <w14:schemeClr w14:val="tx1"/>
                                    </w14:solidFill>
                                  </w14:textFill>
                                </w:rPr>
                              </w:pPr>
                              <w:r>
                                <w:rPr>
                                  <w:rFonts w:hint="eastAsia"/>
                                  <w:color w:val="000000" w:themeColor="text1"/>
                                  <w14:textFill>
                                    <w14:solidFill>
                                      <w14:schemeClr w14:val="tx1"/>
                                    </w14:solidFill>
                                  </w14:textFill>
                                </w:rPr>
                                <w:t>非甲烷总烃、颗粒物、废火花油、废油桶、噪声</w:t>
                              </w:r>
                            </w:p>
                          </w:txbxContent>
                        </v:textbox>
                      </v:shape>
                      <v:shape id="_x0000_s1026" o:spid="_x0000_s1026" o:spt="32" type="#_x0000_t32" style="position:absolute;left:2310434;top:146338;height:0;width:400579;" filled="f" stroked="t" coordsize="21600,21600" o:gfxdata="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">
                        <v:fill on="f" focussize="0,0"/>
                        <v:stroke color="#000000 [3200]" joinstyle="round" dashstyle="dash" endarrow="block"/>
                        <v:imagedata o:title=""/>
                        <o:lock v:ext="edit" aspectratio="f"/>
                      </v:shape>
                      <v:shape id="_x0000_s1026" o:spid="_x0000_s1026" o:spt="32" type="#_x0000_t32" style="position:absolute;left:2310433;top:561874;height:0;width:398671;" filled="f" stroked="t" coordsize="21600,21600" o:gfxdata="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">
                        <v:fill on="f" focussize="0,0"/>
                        <v:stroke color="#000000 [3200]" joinstyle="round" dashstyle="dash" endarrow="block"/>
                        <v:imagedata o:title=""/>
                        <o:lock v:ext="edit" aspectratio="f"/>
                      </v:shape>
                      <v:shape id="文本框 228" o:spid="_x0000_s1026" o:spt="202" type="#_x0000_t202" style="position:absolute;left:295274;top:58843;height:179070;width:695960;" fillcolor="#FFFFFF [3201]" filled="t" stroked="f" coordsize="21600,21600" o:gfxdata="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">
                        <v:fill on="t" focussize="0,0"/>
                        <v:stroke on="f" weight="0.5pt"/>
                        <v:imagedata o:title=""/>
                        <o:lock v:ext="edit" aspectratio="f"/>
                        <v:textbox inset="0mm,0mm,0mm,0mm" style="mso-fit-shape-to-text:t;">
                          <w:txbxContent>
                            <w:p w14:paraId="0769C354">
                              <w:pPr>
                                <w:pStyle w:val="29"/>
                              </w:pPr>
                              <w:r>
                                <w:rPr>
                                  <w:rFonts w:hint="eastAsia"/>
                                </w:rPr>
                                <w:t>钢材</w:t>
                              </w:r>
                            </w:p>
                          </w:txbxContent>
                        </v:textbox>
                      </v:shape>
                      <v:shape id="_x0000_s1026" o:spid="_x0000_s1026" o:spt="32" type="#_x0000_t32" style="position:absolute;left:990811;top:116007;height:0;width:287547;" filled="f" stroked="t" coordsize="21600,21600" o:gfxdata="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">
                        <v:fill on="f" focussize="0,0"/>
                        <v:stroke color="#000000 [3200]" joinstyle="round" endarrow="block"/>
                        <v:imagedata o:title=""/>
                        <o:lock v:ext="edit" aspectratio="f"/>
                      </v:shape>
                      <v:shape id="_x0000_s1026" o:spid="_x0000_s1026" o:spt="32" type="#_x0000_t32" style="position:absolute;left:2302374;top:1077268;height:0;width:398145;" filled="f" stroked="t" coordsize="21600,21600" o:gfxdata="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">
                        <v:fill on="f" focussize="0,0"/>
                        <v:stroke color="#000000 [3200]" joinstyle="round" dashstyle="dash" endarrow="block"/>
                        <v:imagedata o:title=""/>
                        <o:lock v:ext="edit" aspectratio="f"/>
                      </v:shape>
                      <v:shape id="文本框 252" o:spid="_x0000_s1026" o:spt="202" type="#_x0000_t202" style="position:absolute;left:2747201;top:1003163;height:179070;width:1932305;" fillcolor="#FFFFFF [3201]" filled="t" stroked="t" coordsize="21600,21600" o:gfxdata="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">
                        <v:fill on="t" focussize="0,0"/>
                        <v:stroke weight="0.5pt" color="#000000" joinstyle="round" dashstyle="dash"/>
                        <v:imagedata o:title=""/>
                        <o:lock v:ext="edit" aspectratio="f"/>
                        <v:textbox inset="0mm,0mm,0mm,0mm" style="mso-fit-shape-to-text:t;">
                          <w:txbxContent>
                            <w:p w14:paraId="415B17B2">
                              <w:pPr>
                                <w:pStyle w:val="29"/>
                              </w:pPr>
                              <w:r>
                                <w:rPr>
                                  <w:rFonts w:hint="eastAsia"/>
                                </w:rPr>
                                <w:t>焊接烟尘、噪声</w:t>
                              </w:r>
                            </w:p>
                          </w:txbxContent>
                        </v:textbox>
                      </v:shape>
                      <v:shape id="_x0000_s1026" o:spid="_x0000_s1026" o:spt="32" type="#_x0000_t32" style="position:absolute;left:1808002;top:1185479;flip:x;height:213995;width:1905;" filled="f" stroked="t" coordsize="21600,21600" o:gfxdata="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">
                        <v:fill on="f" focussize="0,0"/>
                        <v:stroke color="#000000 [3200]" joinstyle="round" endarrow="block"/>
                        <v:imagedata o:title=""/>
                        <o:lock v:ext="edit" aspectratio="f"/>
                      </v:shape>
                      <v:shape id="文本框 228" o:spid="_x0000_s1026" o:spt="202" type="#_x0000_t202" style="position:absolute;left:1197438;top:1418515;height:179070;width:1183005;" fillcolor="#FFFFFF [3201]" filled="t" stroked="f" coordsize="21600,21600" o:gfxdata="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">
                        <v:fill on="t" focussize="0,0"/>
                        <v:stroke on="f" weight="0.5pt"/>
                        <v:imagedata o:title=""/>
                        <o:lock v:ext="edit" aspectratio="f"/>
                        <v:textbox inset="0mm,0mm,0mm,0mm" style="mso-fit-shape-to-text:t;">
                          <w:txbxContent>
                            <w:p w14:paraId="3B1BC08A">
                              <w:pPr>
                                <w:pStyle w:val="29"/>
                              </w:pPr>
                              <w:r>
                                <w:rPr>
                                  <w:rFonts w:hint="eastAsia"/>
                                </w:rPr>
                                <w:t>模具</w:t>
                              </w:r>
                            </w:p>
                          </w:txbxContent>
                        </v:textbox>
                      </v:shape>
                      <v:shape id="_x0000_s1026" o:spid="_x0000_s1026" o:spt="32" type="#_x0000_t32" style="position:absolute;left:990977;top:561838;height:0;width:287020;" filled="f" stroked="t" coordsize="21600,21600" o:gfxdata="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">
                        <v:fill on="f" focussize="0,0"/>
                        <v:stroke color="#000000 [3200]" joinstyle="round" endarrow="block"/>
                        <v:imagedata o:title=""/>
                        <o:lock v:ext="edit" aspectratio="f"/>
                      </v:shape>
                      <v:shape id="_x0000_s1026" o:spid="_x0000_s1026" o:spt="32" type="#_x0000_t32" style="position:absolute;left:1008528;top:1077229;height:0;width:287020;" filled="f" stroked="t" coordsize="21600,21600" o:gfxdata="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">
                        <v:fill on="f" focussize="0,0"/>
                        <v:stroke color="#000000 [3200]" joinstyle="round" endarrow="block"/>
                        <v:imagedata o:title=""/>
                        <o:lock v:ext="edit" aspectratio="f"/>
                      </v:shape>
                      <v:shape id="文本框 228" o:spid="_x0000_s1026" o:spt="202" type="#_x0000_t202" style="position:absolute;left:295274;top:455929;height:179070;width:683260;" fillcolor="#FFFFFF [3201]" filled="t" stroked="f" coordsize="21600,21600" o:gfxdata="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">
                        <v:fill on="t" focussize="0,0"/>
                        <v:stroke on="f" weight="0.5pt"/>
                        <v:imagedata o:title=""/>
                        <o:lock v:ext="edit" aspectratio="f"/>
                        <v:textbox inset="0mm,0mm,0mm,0mm" style="mso-fit-shape-to-text:t;">
                          <w:txbxContent>
                            <w:p w14:paraId="2EE66E9F">
                              <w:pPr>
                                <w:pStyle w:val="29"/>
                              </w:pPr>
                              <w:r>
                                <w:rPr>
                                  <w:rFonts w:hint="eastAsia"/>
                                </w:rPr>
                                <w:t>火花油</w:t>
                              </w:r>
                            </w:p>
                          </w:txbxContent>
                        </v:textbox>
                      </v:shape>
                      <v:shape id="文本框 228" o:spid="_x0000_s1026" o:spt="202" type="#_x0000_t202" style="position:absolute;left:200025;top:938011;height:352425;width:895350;" fillcolor="#FFFFFF [3201]" filled="t" stroked="f" coordsize="21600,21600" o:gfxdata="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">
                        <v:fill on="t" focussize="0,0"/>
                        <v:stroke on="f" weight="0.5pt"/>
                        <v:imagedata o:title=""/>
                        <o:lock v:ext="edit" aspectratio="f"/>
                        <v:textbox inset="0mm,0mm,0mm,0mm" style="mso-fit-shape-to-text:t;">
                          <w:txbxContent>
                            <w:p w14:paraId="52A6669F">
                              <w:pPr>
                                <w:pStyle w:val="29"/>
                                <w:rPr>
                                  <w:rFonts w:hint="eastAsia" w:ascii="宋体" w:hAnsi="宋体"/>
                                </w:rPr>
                              </w:pPr>
                              <w:r>
                                <w:t>无铅焊丝、CO</w:t>
                              </w:r>
                              <w:r>
                                <w:rPr>
                                  <w:vertAlign w:val="subscript"/>
                                </w:rPr>
                                <w:t>2</w:t>
                              </w:r>
                              <w:r>
                                <w:rPr>
                                  <w:rFonts w:hint="eastAsia" w:ascii="宋体" w:hAnsi="宋体"/>
                                </w:rPr>
                                <w:t>、</w:t>
                              </w:r>
                            </w:p>
                          </w:txbxContent>
                        </v:textbox>
                      </v:shape>
                      <w10:wrap type="none"/>
                      <w10:anchorlock/>
                    </v:group>
                  </w:pict>
                </mc:Fallback>
              </mc:AlternateContent>
            </w:r>
          </w:p>
          <w:p w14:paraId="4ED740B3">
            <w:pPr>
              <w:pStyle w:val="11"/>
              <w:rPr>
                <w:bCs w:val="0"/>
              </w:rPr>
            </w:pPr>
            <w:r>
              <w:rPr>
                <w:bCs w:val="0"/>
              </w:rPr>
              <w:t>图2-</w:t>
            </w:r>
            <w:r>
              <w:rPr>
                <w:rFonts w:hint="eastAsia"/>
                <w:bCs w:val="0"/>
              </w:rPr>
              <w:t>4</w:t>
            </w:r>
            <w:r>
              <w:rPr>
                <w:bCs w:val="0"/>
              </w:rPr>
              <w:t>项目模具生产工艺流程图</w:t>
            </w:r>
          </w:p>
          <w:p w14:paraId="47612DA7">
            <w:pPr>
              <w:ind w:firstLine="480"/>
              <w:rPr>
                <w:rFonts w:asciiTheme="majorBidi" w:hAnsiTheme="majorBidi" w:eastAsiaTheme="minorEastAsia" w:cstheme="majorBidi"/>
                <w:color w:val="000000" w:themeColor="text1"/>
                <w14:textFill>
                  <w14:solidFill>
                    <w14:schemeClr w14:val="tx1"/>
                  </w14:solidFill>
                </w14:textFill>
              </w:rPr>
            </w:pPr>
            <w:r>
              <w:rPr>
                <w:rFonts w:asciiTheme="majorBidi" w:hAnsiTheme="majorBidi" w:eastAsiaTheme="minorEastAsia" w:cstheme="majorBidi"/>
                <w:color w:val="000000" w:themeColor="text1"/>
                <w14:textFill>
                  <w14:solidFill>
                    <w14:schemeClr w14:val="tx1"/>
                  </w14:solidFill>
                </w14:textFill>
              </w:rPr>
              <w:t>生产工艺说明：</w:t>
            </w:r>
          </w:p>
          <w:p w14:paraId="732880D7">
            <w:pPr>
              <w:ind w:firstLine="482"/>
              <w:rPr>
                <w:rFonts w:asciiTheme="majorBidi" w:hAnsiTheme="majorBidi" w:eastAsiaTheme="minorEastAsia" w:cstheme="majorBidi"/>
                <w:color w:val="000000" w:themeColor="text1"/>
                <w14:textFill>
                  <w14:solidFill>
                    <w14:schemeClr w14:val="tx1"/>
                  </w14:solidFill>
                </w14:textFill>
              </w:rPr>
            </w:pPr>
            <w:r>
              <w:rPr>
                <w:rFonts w:asciiTheme="majorBidi" w:hAnsiTheme="majorBidi" w:eastAsiaTheme="minorEastAsia" w:cstheme="majorBidi"/>
                <w:b/>
                <w:bCs/>
                <w:color w:val="000000" w:themeColor="text1"/>
                <w14:textFill>
                  <w14:solidFill>
                    <w14:schemeClr w14:val="tx1"/>
                  </w14:solidFill>
                </w14:textFill>
              </w:rPr>
              <w:t>机加工</w:t>
            </w:r>
            <w:r>
              <w:rPr>
                <w:rFonts w:asciiTheme="majorBidi" w:hAnsiTheme="majorBidi" w:eastAsiaTheme="minorEastAsia" w:cstheme="majorBidi"/>
                <w:color w:val="000000" w:themeColor="text1"/>
                <w14:textFill>
                  <w14:solidFill>
                    <w14:schemeClr w14:val="tx1"/>
                  </w14:solidFill>
                </w14:textFill>
              </w:rPr>
              <w:t>：通过磨刀机、磨床、锣床（铣床）等设备对钢材进行机加工。机加工过程会产生、</w:t>
            </w:r>
            <w:r>
              <w:rPr>
                <w:rFonts w:hint="eastAsia" w:asciiTheme="majorBidi" w:hAnsiTheme="majorBidi" w:eastAsiaTheme="minorEastAsia" w:cstheme="majorBidi"/>
                <w:color w:val="EE0000"/>
              </w:rPr>
              <w:t>钢废料</w:t>
            </w:r>
            <w:r>
              <w:rPr>
                <w:rFonts w:asciiTheme="majorBidi" w:hAnsiTheme="majorBidi" w:eastAsiaTheme="minorEastAsia" w:cstheme="majorBidi"/>
                <w:color w:val="000000" w:themeColor="text1"/>
                <w14:textFill>
                  <w14:solidFill>
                    <w14:schemeClr w14:val="tx1"/>
                  </w14:solidFill>
                </w14:textFill>
              </w:rPr>
              <w:t>以及噪声。</w:t>
            </w:r>
          </w:p>
          <w:p w14:paraId="779DFC6A">
            <w:pPr>
              <w:ind w:firstLine="482"/>
              <w:rPr>
                <w:rFonts w:asciiTheme="majorBidi" w:hAnsiTheme="majorBidi" w:eastAsiaTheme="minorEastAsia" w:cstheme="majorBidi"/>
                <w:color w:val="000000" w:themeColor="text1"/>
                <w14:textFill>
                  <w14:solidFill>
                    <w14:schemeClr w14:val="tx1"/>
                  </w14:solidFill>
                </w14:textFill>
              </w:rPr>
            </w:pPr>
            <w:r>
              <w:rPr>
                <w:rFonts w:asciiTheme="majorBidi" w:hAnsiTheme="majorBidi" w:eastAsiaTheme="minorEastAsia" w:cstheme="majorBidi"/>
                <w:b/>
                <w:bCs/>
                <w:color w:val="0000FF"/>
              </w:rPr>
              <w:t>电火花机</w:t>
            </w:r>
            <w:r>
              <w:rPr>
                <w:rFonts w:asciiTheme="majorBidi" w:hAnsiTheme="majorBidi" w:eastAsiaTheme="minorEastAsia" w:cstheme="majorBidi"/>
                <w:b/>
                <w:bCs/>
                <w:color w:val="000000" w:themeColor="text1"/>
                <w14:textFill>
                  <w14:solidFill>
                    <w14:schemeClr w14:val="tx1"/>
                  </w14:solidFill>
                </w14:textFill>
              </w:rPr>
              <w:t>加工</w:t>
            </w:r>
            <w:r>
              <w:rPr>
                <w:rFonts w:asciiTheme="majorBidi" w:hAnsiTheme="majorBidi" w:eastAsiaTheme="minorEastAsia" w:cstheme="majorBidi"/>
                <w:color w:val="000000" w:themeColor="text1"/>
                <w14:textFill>
                  <w14:solidFill>
                    <w14:schemeClr w14:val="tx1"/>
                  </w14:solidFill>
                </w14:textFill>
              </w:rPr>
              <w:t>：将完成</w:t>
            </w:r>
            <w:r>
              <w:rPr>
                <w:rFonts w:hint="eastAsia" w:asciiTheme="majorBidi" w:hAnsiTheme="majorBidi" w:eastAsiaTheme="minorEastAsia" w:cstheme="majorBidi"/>
                <w:color w:val="EE0000"/>
              </w:rPr>
              <w:t>机加</w:t>
            </w:r>
            <w:r>
              <w:rPr>
                <w:rFonts w:asciiTheme="majorBidi" w:hAnsiTheme="majorBidi" w:eastAsiaTheme="minorEastAsia" w:cstheme="majorBidi"/>
                <w:color w:val="EE0000"/>
              </w:rPr>
              <w:t>工</w:t>
            </w:r>
            <w:r>
              <w:rPr>
                <w:rFonts w:asciiTheme="majorBidi" w:hAnsiTheme="majorBidi" w:eastAsiaTheme="minorEastAsia" w:cstheme="majorBidi"/>
                <w:color w:val="000000" w:themeColor="text1"/>
                <w14:textFill>
                  <w14:solidFill>
                    <w14:schemeClr w14:val="tx1"/>
                  </w14:solidFill>
                </w14:textFill>
              </w:rPr>
              <w:t>的工件通过</w:t>
            </w:r>
            <w:r>
              <w:rPr>
                <w:rFonts w:asciiTheme="majorBidi" w:hAnsiTheme="majorBidi" w:eastAsiaTheme="minorEastAsia" w:cstheme="majorBidi"/>
                <w:color w:val="0000FF"/>
              </w:rPr>
              <w:t>电火花机</w:t>
            </w:r>
            <w:r>
              <w:rPr>
                <w:rFonts w:asciiTheme="majorBidi" w:hAnsiTheme="majorBidi" w:eastAsiaTheme="minorEastAsia" w:cstheme="majorBidi"/>
                <w:color w:val="000000" w:themeColor="text1"/>
                <w14:textFill>
                  <w14:solidFill>
                    <w14:schemeClr w14:val="tx1"/>
                  </w14:solidFill>
                </w14:textFill>
              </w:rPr>
              <w:t>进行电火花机加工，电火花机加工时，脉冲电源的一极接</w:t>
            </w:r>
            <w:r>
              <w:rPr>
                <w:rFonts w:asciiTheme="majorBidi" w:hAnsiTheme="majorBidi" w:eastAsiaTheme="minorEastAsia" w:cstheme="majorBidi"/>
                <w:color w:val="0000FF"/>
              </w:rPr>
              <w:t>电火花机</w:t>
            </w:r>
            <w:r>
              <w:rPr>
                <w:rFonts w:asciiTheme="majorBidi" w:hAnsiTheme="majorBidi" w:eastAsiaTheme="minorEastAsia" w:cstheme="majorBidi"/>
                <w:color w:val="000000" w:themeColor="text1"/>
                <w14:textFill>
                  <w14:solidFill>
                    <w14:schemeClr w14:val="tx1"/>
                  </w14:solidFill>
                </w14:textFill>
              </w:rPr>
              <w:t>的工具电极，另一端接工件，两极均浸入</w:t>
            </w:r>
            <w:r>
              <w:rPr>
                <w:rFonts w:asciiTheme="majorBidi" w:hAnsiTheme="majorBidi" w:eastAsiaTheme="minorEastAsia" w:cstheme="majorBidi"/>
                <w:color w:val="0000FF"/>
              </w:rPr>
              <w:t>电火花机</w:t>
            </w:r>
            <w:r>
              <w:rPr>
                <w:rFonts w:asciiTheme="majorBidi" w:hAnsiTheme="majorBidi" w:eastAsiaTheme="minorEastAsia" w:cstheme="majorBidi"/>
                <w:color w:val="000000" w:themeColor="text1"/>
                <w14:textFill>
                  <w14:solidFill>
                    <w14:schemeClr w14:val="tx1"/>
                  </w14:solidFill>
                </w14:textFill>
              </w:rPr>
              <w:t>油中</w:t>
            </w:r>
            <w:r>
              <w:rPr>
                <w:rFonts w:hint="eastAsia" w:asciiTheme="majorBidi" w:hAnsiTheme="majorBidi" w:eastAsiaTheme="minorEastAsia" w:cstheme="majorBidi"/>
                <w:color w:val="000000" w:themeColor="text1"/>
                <w14:textFill>
                  <w14:solidFill>
                    <w14:schemeClr w14:val="tx1"/>
                  </w14:solidFill>
                </w14:textFill>
              </w:rPr>
              <w:t>，</w:t>
            </w:r>
            <w:r>
              <w:rPr>
                <w:rFonts w:hint="eastAsia" w:asciiTheme="majorBidi" w:hAnsiTheme="majorBidi" w:eastAsiaTheme="minorEastAsia" w:cstheme="majorBidi"/>
                <w:color w:val="EE0000"/>
              </w:rPr>
              <w:t>由于电源两极均浸润在</w:t>
            </w:r>
            <w:r>
              <w:rPr>
                <w:rFonts w:hint="eastAsia" w:asciiTheme="majorBidi" w:hAnsiTheme="majorBidi" w:eastAsiaTheme="minorEastAsia" w:cstheme="majorBidi"/>
                <w:color w:val="0000FF"/>
              </w:rPr>
              <w:t>电火花机</w:t>
            </w:r>
            <w:r>
              <w:rPr>
                <w:rFonts w:hint="eastAsia" w:asciiTheme="majorBidi" w:hAnsiTheme="majorBidi" w:eastAsiaTheme="minorEastAsia" w:cstheme="majorBidi"/>
                <w:color w:val="EE0000"/>
              </w:rPr>
              <w:t>油中，</w:t>
            </w:r>
            <w:r>
              <w:rPr>
                <w:rFonts w:hint="eastAsia" w:asciiTheme="majorBidi" w:hAnsiTheme="majorBidi" w:eastAsiaTheme="minorEastAsia" w:cstheme="majorBidi"/>
                <w:color w:val="0000FF"/>
              </w:rPr>
              <w:t>电火花机</w:t>
            </w:r>
            <w:r>
              <w:rPr>
                <w:rFonts w:hint="eastAsia" w:asciiTheme="majorBidi" w:hAnsiTheme="majorBidi" w:eastAsiaTheme="minorEastAsia" w:cstheme="majorBidi"/>
                <w:color w:val="EE0000"/>
              </w:rPr>
              <w:t>油同时起到导电介质和冷却介质的作用，</w:t>
            </w:r>
            <w:r>
              <w:rPr>
                <w:rFonts w:asciiTheme="majorBidi" w:hAnsiTheme="majorBidi" w:eastAsiaTheme="minorEastAsia" w:cstheme="majorBidi"/>
                <w:color w:val="0000FF"/>
              </w:rPr>
              <w:t>油雾产生量较少，加强通风后于车间内无组织排放；同时对于沉降在车间生产设备表面的电火花油雾颗粒可通过抹布简单擦拭清洁</w:t>
            </w:r>
            <w:r>
              <w:rPr>
                <w:rFonts w:asciiTheme="majorBidi" w:hAnsiTheme="majorBidi" w:eastAsiaTheme="minorEastAsia" w:cstheme="majorBidi"/>
                <w:color w:val="000000" w:themeColor="text1"/>
                <w14:textFill>
                  <w14:solidFill>
                    <w14:schemeClr w14:val="tx1"/>
                  </w14:solidFill>
                </w14:textFill>
              </w:rPr>
              <w:t>。工具电极由自动进给调节装置控制，以保证工具与工件在正常加工时维持很小的放电间隙(0.01~0.05mm)。当脉冲电压加到两极之间，便将当时条件下极间最近点的液体介质击穿，形成放电通道。由于通道的截面积很小，放电时间极短，致使能量高度集中(10~107W/mm)，放电区域产生的瞬时高温足以使材料熔化甚至蒸发，以致形成一个小凹坑。第一次脉冲放电结束之后，经过很短的间隔时间，第二个脉冲又在另一极间最近点击穿放电。如此周而复始高频率地循环下去，工具电极不断地向工件进给，它的形状最终就复制在工件上，形成所需要的加工表面。与此同时，总能量的一小部分也释放到工具电极上，从而造成工具损耗。</w:t>
            </w:r>
            <w:r>
              <w:rPr>
                <w:rFonts w:hint="eastAsia" w:asciiTheme="majorBidi" w:hAnsiTheme="majorBidi" w:eastAsiaTheme="minorEastAsia" w:cstheme="majorBidi"/>
                <w:color w:val="0000FF"/>
              </w:rPr>
              <w:t>电火花机</w:t>
            </w:r>
            <w:r>
              <w:rPr>
                <w:rFonts w:hint="eastAsia" w:asciiTheme="majorBidi" w:hAnsiTheme="majorBidi" w:eastAsiaTheme="minorEastAsia" w:cstheme="majorBidi"/>
                <w:color w:val="EE0000"/>
              </w:rPr>
              <w:t>加工</w:t>
            </w:r>
            <w:r>
              <w:rPr>
                <w:rFonts w:asciiTheme="majorBidi" w:hAnsiTheme="majorBidi" w:eastAsiaTheme="minorEastAsia" w:cstheme="majorBidi"/>
                <w:color w:val="EE0000"/>
              </w:rPr>
              <w:t>过程中会</w:t>
            </w:r>
            <w:r>
              <w:rPr>
                <w:rFonts w:hint="eastAsia" w:asciiTheme="majorBidi" w:hAnsiTheme="majorBidi" w:eastAsiaTheme="minorEastAsia" w:cstheme="majorBidi"/>
                <w:color w:val="EE0000"/>
              </w:rPr>
              <w:t>产生油雾、</w:t>
            </w:r>
            <w:r>
              <w:rPr>
                <w:rFonts w:asciiTheme="majorBidi" w:hAnsiTheme="majorBidi" w:eastAsiaTheme="minorEastAsia" w:cstheme="majorBidi"/>
                <w:color w:val="EE0000"/>
              </w:rPr>
              <w:t>废</w:t>
            </w:r>
            <w:r>
              <w:rPr>
                <w:rFonts w:asciiTheme="majorBidi" w:hAnsiTheme="majorBidi" w:eastAsiaTheme="minorEastAsia" w:cstheme="majorBidi"/>
                <w:color w:val="0000FF"/>
              </w:rPr>
              <w:t>电火花机</w:t>
            </w:r>
            <w:r>
              <w:rPr>
                <w:rFonts w:asciiTheme="majorBidi" w:hAnsiTheme="majorBidi" w:eastAsiaTheme="minorEastAsia" w:cstheme="majorBidi"/>
                <w:color w:val="EE0000"/>
              </w:rPr>
              <w:t>油</w:t>
            </w:r>
            <w:r>
              <w:rPr>
                <w:rFonts w:hint="eastAsia" w:asciiTheme="majorBidi" w:hAnsiTheme="majorBidi" w:eastAsiaTheme="minorEastAsia" w:cstheme="majorBidi"/>
                <w:color w:val="EE0000"/>
              </w:rPr>
              <w:t>、废油桶、废含油抹布、</w:t>
            </w:r>
            <w:r>
              <w:rPr>
                <w:rFonts w:asciiTheme="majorBidi" w:hAnsiTheme="majorBidi" w:eastAsiaTheme="minorEastAsia" w:cstheme="majorBidi"/>
                <w:color w:val="EE0000"/>
              </w:rPr>
              <w:t>噪声</w:t>
            </w:r>
            <w:r>
              <w:rPr>
                <w:rFonts w:asciiTheme="majorBidi" w:hAnsiTheme="majorBidi" w:eastAsiaTheme="minorEastAsia" w:cstheme="majorBidi"/>
                <w:color w:val="000000" w:themeColor="text1"/>
                <w14:textFill>
                  <w14:solidFill>
                    <w14:schemeClr w14:val="tx1"/>
                  </w14:solidFill>
                </w14:textFill>
              </w:rPr>
              <w:t>。</w:t>
            </w:r>
          </w:p>
          <w:p w14:paraId="557D40CF">
            <w:pPr>
              <w:ind w:firstLine="482"/>
              <w:rPr>
                <w:rFonts w:asciiTheme="majorBidi" w:hAnsiTheme="majorBidi" w:eastAsiaTheme="minorEastAsia" w:cstheme="majorBidi"/>
                <w:color w:val="000000" w:themeColor="text1"/>
                <w14:textFill>
                  <w14:solidFill>
                    <w14:schemeClr w14:val="tx1"/>
                  </w14:solidFill>
                </w14:textFill>
              </w:rPr>
            </w:pPr>
            <w:r>
              <w:rPr>
                <w:rFonts w:asciiTheme="majorBidi" w:hAnsiTheme="majorBidi" w:eastAsiaTheme="minorEastAsia" w:cstheme="majorBidi"/>
                <w:b/>
                <w:bCs/>
                <w:color w:val="000000" w:themeColor="text1"/>
                <w14:textFill>
                  <w14:solidFill>
                    <w14:schemeClr w14:val="tx1"/>
                  </w14:solidFill>
                </w14:textFill>
              </w:rPr>
              <w:t>焊接</w:t>
            </w:r>
            <w:r>
              <w:rPr>
                <w:rFonts w:asciiTheme="majorBidi" w:hAnsiTheme="majorBidi" w:eastAsiaTheme="minorEastAsia" w:cstheme="majorBidi"/>
                <w:color w:val="000000" w:themeColor="text1"/>
                <w14:textFill>
                  <w14:solidFill>
                    <w14:schemeClr w14:val="tx1"/>
                  </w14:solidFill>
                </w14:textFill>
              </w:rPr>
              <w:t>：使用无铅焊条（不含锡）进行焊接，焊接使用二氧化碳气体保护焊机，需要用到二氧化碳气体作为保护气体。该过程主要产生</w:t>
            </w:r>
            <w:r>
              <w:rPr>
                <w:rFonts w:hint="eastAsia" w:asciiTheme="majorBidi" w:hAnsiTheme="majorBidi" w:eastAsiaTheme="minorEastAsia" w:cstheme="majorBidi"/>
                <w:color w:val="EE0000"/>
              </w:rPr>
              <w:t>颗粒物</w:t>
            </w:r>
            <w:r>
              <w:rPr>
                <w:rFonts w:hint="eastAsia" w:asciiTheme="majorBidi" w:hAnsiTheme="majorBidi" w:eastAsiaTheme="minorEastAsia" w:cstheme="majorBidi"/>
                <w:color w:val="000000" w:themeColor="text1"/>
                <w14:textFill>
                  <w14:solidFill>
                    <w14:schemeClr w14:val="tx1"/>
                  </w14:solidFill>
                </w14:textFill>
              </w:rPr>
              <w:t>（</w:t>
            </w:r>
            <w:r>
              <w:rPr>
                <w:rFonts w:asciiTheme="majorBidi" w:hAnsiTheme="majorBidi" w:eastAsiaTheme="minorEastAsia" w:cstheme="majorBidi"/>
                <w:color w:val="000000" w:themeColor="text1"/>
                <w14:textFill>
                  <w14:solidFill>
                    <w14:schemeClr w14:val="tx1"/>
                  </w14:solidFill>
                </w14:textFill>
              </w:rPr>
              <w:t>焊接烟尘</w:t>
            </w:r>
            <w:r>
              <w:rPr>
                <w:rFonts w:hint="eastAsia" w:asciiTheme="majorBidi" w:hAnsiTheme="majorBidi" w:eastAsiaTheme="minorEastAsia" w:cstheme="majorBidi"/>
                <w:color w:val="000000" w:themeColor="text1"/>
                <w14:textFill>
                  <w14:solidFill>
                    <w14:schemeClr w14:val="tx1"/>
                  </w14:solidFill>
                </w14:textFill>
              </w:rPr>
              <w:t>）</w:t>
            </w:r>
            <w:r>
              <w:rPr>
                <w:rFonts w:asciiTheme="majorBidi" w:hAnsiTheme="majorBidi" w:eastAsiaTheme="minorEastAsia" w:cstheme="majorBidi"/>
                <w:color w:val="000000" w:themeColor="text1"/>
                <w14:textFill>
                  <w14:solidFill>
                    <w14:schemeClr w14:val="tx1"/>
                  </w14:solidFill>
                </w14:textFill>
              </w:rPr>
              <w:t>、噪声。</w:t>
            </w:r>
          </w:p>
          <w:p w14:paraId="13B6768B">
            <w:pPr>
              <w:adjustRightInd/>
              <w:snapToGrid/>
              <w:ind w:firstLine="482"/>
              <w:rPr>
                <w:rFonts w:asciiTheme="majorBidi" w:hAnsiTheme="majorBidi" w:eastAsiaTheme="minorEastAsia" w:cstheme="majorBidi"/>
                <w:b/>
                <w:bCs/>
                <w:color w:val="000000" w:themeColor="text1"/>
                <w:kern w:val="2"/>
                <w14:textFill>
                  <w14:solidFill>
                    <w14:schemeClr w14:val="tx1"/>
                  </w14:solidFill>
                </w14:textFill>
              </w:rPr>
            </w:pPr>
            <w:r>
              <w:rPr>
                <w:rFonts w:asciiTheme="majorBidi" w:hAnsiTheme="majorBidi" w:eastAsiaTheme="minorEastAsia" w:cstheme="majorBidi"/>
                <w:b/>
                <w:bCs/>
                <w:color w:val="000000" w:themeColor="text1"/>
                <w:kern w:val="2"/>
                <w14:textFill>
                  <w14:solidFill>
                    <w14:schemeClr w14:val="tx1"/>
                  </w14:solidFill>
                </w14:textFill>
              </w:rPr>
              <w:t>（二）项目主要污染物产生环节及污染因子</w:t>
            </w:r>
          </w:p>
          <w:p w14:paraId="0E9E90FC">
            <w:pPr>
              <w:pStyle w:val="11"/>
              <w:rPr>
                <w:bCs w:val="0"/>
              </w:rPr>
            </w:pPr>
            <w:r>
              <w:rPr>
                <w:bCs w:val="0"/>
              </w:rPr>
              <w:t>表2-9 项目污染物产生情况一览表</w:t>
            </w:r>
          </w:p>
          <w:tbl>
            <w:tblPr>
              <w:tblStyle w:val="21"/>
              <w:tblW w:w="8998" w:type="dxa"/>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28" w:type="dxa"/>
                <w:bottom w:w="0" w:type="dxa"/>
                <w:right w:w="28" w:type="dxa"/>
              </w:tblCellMar>
            </w:tblPr>
            <w:tblGrid>
              <w:gridCol w:w="339"/>
              <w:gridCol w:w="650"/>
              <w:gridCol w:w="1857"/>
              <w:gridCol w:w="2115"/>
              <w:gridCol w:w="1618"/>
              <w:gridCol w:w="2419"/>
            </w:tblGrid>
            <w:tr w14:paraId="2B80270E">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340" w:hRule="atLeast"/>
                <w:jc w:val="center"/>
              </w:trPr>
              <w:tc>
                <w:tcPr>
                  <w:tcW w:w="188" w:type="pct"/>
                  <w:vAlign w:val="center"/>
                </w:tcPr>
                <w:p w14:paraId="4E36DC63">
                  <w:pPr>
                    <w:pStyle w:val="29"/>
                    <w:rPr>
                      <w:b/>
                      <w:bCs/>
                    </w:rPr>
                  </w:pPr>
                  <w:r>
                    <w:rPr>
                      <w:b/>
                      <w:bCs/>
                    </w:rPr>
                    <w:t>类别</w:t>
                  </w:r>
                </w:p>
              </w:tc>
              <w:tc>
                <w:tcPr>
                  <w:tcW w:w="1393" w:type="pct"/>
                  <w:gridSpan w:val="2"/>
                  <w:vAlign w:val="center"/>
                </w:tcPr>
                <w:p w14:paraId="29B19E47">
                  <w:pPr>
                    <w:pStyle w:val="29"/>
                    <w:rPr>
                      <w:b/>
                      <w:bCs/>
                    </w:rPr>
                  </w:pPr>
                  <w:r>
                    <w:rPr>
                      <w:b/>
                      <w:bCs/>
                    </w:rPr>
                    <w:t>污染源</w:t>
                  </w:r>
                </w:p>
              </w:tc>
              <w:tc>
                <w:tcPr>
                  <w:tcW w:w="1175" w:type="pct"/>
                  <w:vAlign w:val="center"/>
                </w:tcPr>
                <w:p w14:paraId="19BAACF7">
                  <w:pPr>
                    <w:pStyle w:val="29"/>
                    <w:rPr>
                      <w:b/>
                      <w:bCs/>
                    </w:rPr>
                  </w:pPr>
                  <w:r>
                    <w:rPr>
                      <w:b/>
                      <w:bCs/>
                    </w:rPr>
                    <w:t>污染因子</w:t>
                  </w:r>
                </w:p>
              </w:tc>
              <w:tc>
                <w:tcPr>
                  <w:tcW w:w="899" w:type="pct"/>
                  <w:vAlign w:val="center"/>
                </w:tcPr>
                <w:p w14:paraId="2E149E02">
                  <w:pPr>
                    <w:pStyle w:val="29"/>
                    <w:rPr>
                      <w:b/>
                      <w:bCs/>
                    </w:rPr>
                  </w:pPr>
                  <w:r>
                    <w:rPr>
                      <w:b/>
                      <w:bCs/>
                    </w:rPr>
                    <w:t>产生环节</w:t>
                  </w:r>
                </w:p>
              </w:tc>
              <w:tc>
                <w:tcPr>
                  <w:tcW w:w="1344" w:type="pct"/>
                  <w:vAlign w:val="center"/>
                </w:tcPr>
                <w:p w14:paraId="67FE8D50">
                  <w:pPr>
                    <w:pStyle w:val="29"/>
                    <w:rPr>
                      <w:b/>
                      <w:bCs/>
                    </w:rPr>
                  </w:pPr>
                  <w:r>
                    <w:rPr>
                      <w:b/>
                      <w:bCs/>
                    </w:rPr>
                    <w:t>治理措施</w:t>
                  </w:r>
                </w:p>
              </w:tc>
            </w:tr>
            <w:tr w14:paraId="7A47254C">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340" w:hRule="atLeast"/>
                <w:jc w:val="center"/>
              </w:trPr>
              <w:tc>
                <w:tcPr>
                  <w:tcW w:w="188" w:type="pct"/>
                  <w:vAlign w:val="center"/>
                </w:tcPr>
                <w:p w14:paraId="79153F79">
                  <w:pPr>
                    <w:pStyle w:val="29"/>
                  </w:pPr>
                  <w:r>
                    <w:t>废水</w:t>
                  </w:r>
                </w:p>
              </w:tc>
              <w:tc>
                <w:tcPr>
                  <w:tcW w:w="1393" w:type="pct"/>
                  <w:gridSpan w:val="2"/>
                  <w:vAlign w:val="center"/>
                </w:tcPr>
                <w:p w14:paraId="3F30F46A">
                  <w:pPr>
                    <w:pStyle w:val="29"/>
                  </w:pPr>
                  <w:r>
                    <w:t>生活污水</w:t>
                  </w:r>
                </w:p>
              </w:tc>
              <w:tc>
                <w:tcPr>
                  <w:tcW w:w="1175" w:type="pct"/>
                  <w:vAlign w:val="center"/>
                </w:tcPr>
                <w:p w14:paraId="3548F71A">
                  <w:pPr>
                    <w:pStyle w:val="29"/>
                  </w:pPr>
                  <w:r>
                    <w:rPr>
                      <w:color w:val="EE0000"/>
                    </w:rPr>
                    <w:t>COD</w:t>
                  </w:r>
                  <w:r>
                    <w:rPr>
                      <w:color w:val="EE0000"/>
                      <w:vertAlign w:val="subscript"/>
                    </w:rPr>
                    <w:t>Cr</w:t>
                  </w:r>
                  <w:r>
                    <w:rPr>
                      <w:color w:val="EE0000"/>
                    </w:rPr>
                    <w:t>、BOD</w:t>
                  </w:r>
                  <w:r>
                    <w:rPr>
                      <w:color w:val="EE0000"/>
                      <w:vertAlign w:val="subscript"/>
                    </w:rPr>
                    <w:t>5</w:t>
                  </w:r>
                  <w:r>
                    <w:rPr>
                      <w:color w:val="EE0000"/>
                    </w:rPr>
                    <w:t>、SS、</w:t>
                  </w:r>
                  <w:r>
                    <w:rPr>
                      <w:rFonts w:hint="eastAsia"/>
                      <w:color w:val="EE0000"/>
                    </w:rPr>
                    <w:t>氨氮、总磷、总氮</w:t>
                  </w:r>
                </w:p>
              </w:tc>
              <w:tc>
                <w:tcPr>
                  <w:tcW w:w="899" w:type="pct"/>
                  <w:vAlign w:val="center"/>
                </w:tcPr>
                <w:p w14:paraId="043FDC71">
                  <w:pPr>
                    <w:pStyle w:val="29"/>
                  </w:pPr>
                  <w:r>
                    <w:t>员工生活</w:t>
                  </w:r>
                </w:p>
              </w:tc>
              <w:tc>
                <w:tcPr>
                  <w:tcW w:w="1344" w:type="pct"/>
                  <w:vAlign w:val="center"/>
                </w:tcPr>
                <w:p w14:paraId="20F88D08">
                  <w:pPr>
                    <w:pStyle w:val="29"/>
                  </w:pPr>
                  <w:r>
                    <w:t>三级化粪池+市政截污管网</w:t>
                  </w:r>
                </w:p>
              </w:tc>
            </w:tr>
            <w:tr w14:paraId="1A28DD1B">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340" w:hRule="atLeast"/>
                <w:jc w:val="center"/>
              </w:trPr>
              <w:tc>
                <w:tcPr>
                  <w:tcW w:w="188" w:type="pct"/>
                  <w:vMerge w:val="restart"/>
                  <w:vAlign w:val="center"/>
                </w:tcPr>
                <w:p w14:paraId="0D4EB02D">
                  <w:pPr>
                    <w:pStyle w:val="29"/>
                  </w:pPr>
                  <w:r>
                    <w:t>废气</w:t>
                  </w:r>
                </w:p>
              </w:tc>
              <w:tc>
                <w:tcPr>
                  <w:tcW w:w="1393" w:type="pct"/>
                  <w:gridSpan w:val="2"/>
                  <w:vAlign w:val="center"/>
                </w:tcPr>
                <w:p w14:paraId="1EC97455">
                  <w:pPr>
                    <w:pStyle w:val="29"/>
                    <w:rPr>
                      <w:color w:val="EE0000"/>
                    </w:rPr>
                  </w:pPr>
                  <w:r>
                    <w:rPr>
                      <w:rFonts w:hint="eastAsia"/>
                      <w:color w:val="EE0000"/>
                    </w:rPr>
                    <w:t>投</w:t>
                  </w:r>
                  <w:r>
                    <w:rPr>
                      <w:color w:val="EE0000"/>
                    </w:rPr>
                    <w:t>料</w:t>
                  </w:r>
                  <w:r>
                    <w:rPr>
                      <w:rFonts w:hint="eastAsia"/>
                      <w:color w:val="EE0000"/>
                    </w:rPr>
                    <w:t>、</w:t>
                  </w:r>
                  <w:r>
                    <w:rPr>
                      <w:color w:val="EE0000"/>
                    </w:rPr>
                    <w:t>混料</w:t>
                  </w:r>
                </w:p>
              </w:tc>
              <w:tc>
                <w:tcPr>
                  <w:tcW w:w="1175" w:type="pct"/>
                  <w:vAlign w:val="center"/>
                </w:tcPr>
                <w:p w14:paraId="3180AD62">
                  <w:pPr>
                    <w:pStyle w:val="29"/>
                    <w:rPr>
                      <w:color w:val="EE0000"/>
                    </w:rPr>
                  </w:pPr>
                  <w:r>
                    <w:rPr>
                      <w:color w:val="EE0000"/>
                    </w:rPr>
                    <w:t>颗粒物</w:t>
                  </w:r>
                </w:p>
              </w:tc>
              <w:tc>
                <w:tcPr>
                  <w:tcW w:w="899" w:type="pct"/>
                  <w:vAlign w:val="center"/>
                </w:tcPr>
                <w:p w14:paraId="30884D89">
                  <w:pPr>
                    <w:pStyle w:val="29"/>
                    <w:rPr>
                      <w:color w:val="EE0000"/>
                    </w:rPr>
                  </w:pPr>
                  <w:r>
                    <w:rPr>
                      <w:rFonts w:hint="eastAsia"/>
                      <w:color w:val="EE0000"/>
                    </w:rPr>
                    <w:t>投</w:t>
                  </w:r>
                  <w:r>
                    <w:rPr>
                      <w:color w:val="EE0000"/>
                    </w:rPr>
                    <w:t>料</w:t>
                  </w:r>
                  <w:r>
                    <w:rPr>
                      <w:rFonts w:hint="eastAsia"/>
                      <w:color w:val="EE0000"/>
                    </w:rPr>
                    <w:t>、</w:t>
                  </w:r>
                  <w:r>
                    <w:rPr>
                      <w:color w:val="EE0000"/>
                    </w:rPr>
                    <w:t>混料工序</w:t>
                  </w:r>
                </w:p>
              </w:tc>
              <w:tc>
                <w:tcPr>
                  <w:tcW w:w="1344" w:type="pct"/>
                </w:tcPr>
                <w:p w14:paraId="78135ECD">
                  <w:pPr>
                    <w:pStyle w:val="29"/>
                    <w:rPr>
                      <w:color w:val="0000FF"/>
                    </w:rPr>
                  </w:pPr>
                  <w:r>
                    <w:rPr>
                      <w:rFonts w:hint="eastAsia"/>
                      <w:color w:val="0000FF"/>
                    </w:rPr>
                    <w:t>无组织</w:t>
                  </w:r>
                </w:p>
              </w:tc>
            </w:tr>
            <w:tr w14:paraId="555985EB">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340" w:hRule="atLeast"/>
                <w:jc w:val="center"/>
              </w:trPr>
              <w:tc>
                <w:tcPr>
                  <w:tcW w:w="188" w:type="pct"/>
                  <w:vMerge w:val="continue"/>
                  <w:vAlign w:val="center"/>
                </w:tcPr>
                <w:p w14:paraId="73D86151">
                  <w:pPr>
                    <w:pStyle w:val="29"/>
                  </w:pPr>
                </w:p>
              </w:tc>
              <w:tc>
                <w:tcPr>
                  <w:tcW w:w="1393" w:type="pct"/>
                  <w:gridSpan w:val="2"/>
                  <w:vAlign w:val="center"/>
                </w:tcPr>
                <w:p w14:paraId="4F1A596F">
                  <w:pPr>
                    <w:pStyle w:val="29"/>
                  </w:pPr>
                  <w:r>
                    <w:t>破碎</w:t>
                  </w:r>
                </w:p>
              </w:tc>
              <w:tc>
                <w:tcPr>
                  <w:tcW w:w="1175" w:type="pct"/>
                  <w:vAlign w:val="center"/>
                </w:tcPr>
                <w:p w14:paraId="40E5DEA7">
                  <w:pPr>
                    <w:pStyle w:val="29"/>
                  </w:pPr>
                  <w:r>
                    <w:t>颗粒物</w:t>
                  </w:r>
                </w:p>
              </w:tc>
              <w:tc>
                <w:tcPr>
                  <w:tcW w:w="899" w:type="pct"/>
                  <w:vAlign w:val="center"/>
                </w:tcPr>
                <w:p w14:paraId="4D9B72A7">
                  <w:pPr>
                    <w:pStyle w:val="29"/>
                  </w:pPr>
                  <w:r>
                    <w:t>破碎工序</w:t>
                  </w:r>
                </w:p>
              </w:tc>
              <w:tc>
                <w:tcPr>
                  <w:tcW w:w="1344" w:type="pct"/>
                </w:tcPr>
                <w:p w14:paraId="5F8A3D2B">
                  <w:pPr>
                    <w:pStyle w:val="29"/>
                    <w:rPr>
                      <w:color w:val="0000FF"/>
                    </w:rPr>
                  </w:pPr>
                  <w:r>
                    <w:rPr>
                      <w:rFonts w:hint="eastAsia"/>
                      <w:color w:val="0000FF"/>
                    </w:rPr>
                    <w:t>无组织</w:t>
                  </w:r>
                </w:p>
              </w:tc>
            </w:tr>
            <w:tr w14:paraId="6BA0180B">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340" w:hRule="atLeast"/>
                <w:jc w:val="center"/>
              </w:trPr>
              <w:tc>
                <w:tcPr>
                  <w:tcW w:w="188" w:type="pct"/>
                  <w:vMerge w:val="continue"/>
                  <w:vAlign w:val="center"/>
                </w:tcPr>
                <w:p w14:paraId="4A55755C">
                  <w:pPr>
                    <w:pStyle w:val="29"/>
                  </w:pPr>
                </w:p>
              </w:tc>
              <w:tc>
                <w:tcPr>
                  <w:tcW w:w="1393" w:type="pct"/>
                  <w:gridSpan w:val="2"/>
                  <w:vAlign w:val="center"/>
                </w:tcPr>
                <w:p w14:paraId="4B84315F">
                  <w:pPr>
                    <w:pStyle w:val="29"/>
                  </w:pPr>
                  <w:r>
                    <w:rPr>
                      <w:rFonts w:hint="eastAsia"/>
                      <w:color w:val="0000FF"/>
                    </w:rPr>
                    <w:t>电火花</w:t>
                  </w:r>
                  <w:r>
                    <w:rPr>
                      <w:color w:val="0000FF"/>
                    </w:rPr>
                    <w:t>机</w:t>
                  </w:r>
                  <w:r>
                    <w:t>加工</w:t>
                  </w:r>
                </w:p>
              </w:tc>
              <w:tc>
                <w:tcPr>
                  <w:tcW w:w="1175" w:type="pct"/>
                  <w:vAlign w:val="center"/>
                </w:tcPr>
                <w:p w14:paraId="2966F962">
                  <w:pPr>
                    <w:pStyle w:val="29"/>
                  </w:pPr>
                  <w:r>
                    <w:t>颗粒物</w:t>
                  </w:r>
                  <w:r>
                    <w:rPr>
                      <w:rFonts w:hint="eastAsia"/>
                      <w:color w:val="EE0000"/>
                    </w:rPr>
                    <w:t>、油雾</w:t>
                  </w:r>
                </w:p>
              </w:tc>
              <w:tc>
                <w:tcPr>
                  <w:tcW w:w="899" w:type="pct"/>
                  <w:vAlign w:val="center"/>
                </w:tcPr>
                <w:p w14:paraId="6E79DF58">
                  <w:pPr>
                    <w:pStyle w:val="29"/>
                  </w:pPr>
                  <w:r>
                    <w:rPr>
                      <w:rFonts w:hint="eastAsia"/>
                      <w:color w:val="0000FF"/>
                    </w:rPr>
                    <w:t>电火花机加工</w:t>
                  </w:r>
                </w:p>
              </w:tc>
              <w:tc>
                <w:tcPr>
                  <w:tcW w:w="1344" w:type="pct"/>
                  <w:vAlign w:val="center"/>
                </w:tcPr>
                <w:p w14:paraId="547A1C64">
                  <w:pPr>
                    <w:pStyle w:val="29"/>
                    <w:rPr>
                      <w:color w:val="0000FF"/>
                    </w:rPr>
                  </w:pPr>
                  <w:r>
                    <w:rPr>
                      <w:rFonts w:hint="eastAsia"/>
                      <w:color w:val="0000FF"/>
                    </w:rPr>
                    <w:t>无组织</w:t>
                  </w:r>
                </w:p>
              </w:tc>
            </w:tr>
            <w:tr w14:paraId="5F92A6D4">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340" w:hRule="atLeast"/>
                <w:jc w:val="center"/>
              </w:trPr>
              <w:tc>
                <w:tcPr>
                  <w:tcW w:w="188" w:type="pct"/>
                  <w:vMerge w:val="continue"/>
                  <w:vAlign w:val="center"/>
                </w:tcPr>
                <w:p w14:paraId="75D695F9">
                  <w:pPr>
                    <w:pStyle w:val="29"/>
                  </w:pPr>
                </w:p>
              </w:tc>
              <w:tc>
                <w:tcPr>
                  <w:tcW w:w="1393" w:type="pct"/>
                  <w:gridSpan w:val="2"/>
                  <w:vAlign w:val="center"/>
                </w:tcPr>
                <w:p w14:paraId="44446F09">
                  <w:pPr>
                    <w:pStyle w:val="29"/>
                  </w:pPr>
                  <w:r>
                    <w:t>焊接烟尘</w:t>
                  </w:r>
                </w:p>
              </w:tc>
              <w:tc>
                <w:tcPr>
                  <w:tcW w:w="1175" w:type="pct"/>
                  <w:vAlign w:val="center"/>
                </w:tcPr>
                <w:p w14:paraId="10649699">
                  <w:pPr>
                    <w:pStyle w:val="29"/>
                  </w:pPr>
                  <w:r>
                    <w:t>颗粒物</w:t>
                  </w:r>
                </w:p>
              </w:tc>
              <w:tc>
                <w:tcPr>
                  <w:tcW w:w="899" w:type="pct"/>
                  <w:vAlign w:val="center"/>
                </w:tcPr>
                <w:p w14:paraId="7DF21563">
                  <w:pPr>
                    <w:pStyle w:val="29"/>
                  </w:pPr>
                  <w:r>
                    <w:t>焊接</w:t>
                  </w:r>
                  <w:r>
                    <w:rPr>
                      <w:rFonts w:hint="eastAsia"/>
                      <w:color w:val="0000FF"/>
                    </w:rPr>
                    <w:t>工序</w:t>
                  </w:r>
                </w:p>
              </w:tc>
              <w:tc>
                <w:tcPr>
                  <w:tcW w:w="1344" w:type="pct"/>
                  <w:vAlign w:val="center"/>
                </w:tcPr>
                <w:p w14:paraId="4B2B84CE">
                  <w:pPr>
                    <w:pStyle w:val="29"/>
                    <w:rPr>
                      <w:color w:val="0000FF"/>
                    </w:rPr>
                  </w:pPr>
                  <w:r>
                    <w:rPr>
                      <w:rFonts w:hint="eastAsia"/>
                      <w:color w:val="0000FF"/>
                    </w:rPr>
                    <w:t>无组织</w:t>
                  </w:r>
                </w:p>
              </w:tc>
            </w:tr>
            <w:tr w14:paraId="252166EB">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340" w:hRule="atLeast"/>
                <w:jc w:val="center"/>
              </w:trPr>
              <w:tc>
                <w:tcPr>
                  <w:tcW w:w="188" w:type="pct"/>
                  <w:vMerge w:val="continue"/>
                  <w:vAlign w:val="center"/>
                </w:tcPr>
                <w:p w14:paraId="65ED19C6">
                  <w:pPr>
                    <w:pStyle w:val="29"/>
                  </w:pPr>
                </w:p>
              </w:tc>
              <w:tc>
                <w:tcPr>
                  <w:tcW w:w="1393" w:type="pct"/>
                  <w:gridSpan w:val="2"/>
                  <w:vAlign w:val="center"/>
                </w:tcPr>
                <w:p w14:paraId="5402A3FC">
                  <w:pPr>
                    <w:pStyle w:val="29"/>
                  </w:pPr>
                  <w:r>
                    <w:t>注塑</w:t>
                  </w:r>
                </w:p>
              </w:tc>
              <w:tc>
                <w:tcPr>
                  <w:tcW w:w="1175" w:type="pct"/>
                  <w:vAlign w:val="center"/>
                </w:tcPr>
                <w:p w14:paraId="0459D956">
                  <w:pPr>
                    <w:pStyle w:val="29"/>
                  </w:pPr>
                  <w:r>
                    <w:t>非甲烷总烃、苯乙烯、丙烯腈、1，3-丁二烯、甲苯、乙苯、臭气浓度</w:t>
                  </w:r>
                </w:p>
              </w:tc>
              <w:tc>
                <w:tcPr>
                  <w:tcW w:w="899" w:type="pct"/>
                  <w:vAlign w:val="center"/>
                </w:tcPr>
                <w:p w14:paraId="05F3631B">
                  <w:pPr>
                    <w:pStyle w:val="29"/>
                  </w:pPr>
                  <w:r>
                    <w:t>注塑工序</w:t>
                  </w:r>
                </w:p>
              </w:tc>
              <w:tc>
                <w:tcPr>
                  <w:tcW w:w="1344" w:type="pct"/>
                  <w:vMerge w:val="restart"/>
                  <w:vAlign w:val="center"/>
                </w:tcPr>
                <w:p w14:paraId="652DB263">
                  <w:pPr>
                    <w:pStyle w:val="29"/>
                  </w:pPr>
                  <w:r>
                    <w:rPr>
                      <w:rFonts w:ascii="宋体" w:hAnsi="宋体"/>
                    </w:rPr>
                    <w:t>“</w:t>
                  </w:r>
                  <w:r>
                    <w:t>水喷淋+干式过滤器+二级活性炭吸附</w:t>
                  </w:r>
                  <w:r>
                    <w:rPr>
                      <w:rFonts w:ascii="宋体" w:hAnsi="宋体"/>
                    </w:rPr>
                    <w:t>”</w:t>
                  </w:r>
                  <w:r>
                    <w:t>处理后经由一根65m排气筒高空排放（DA001）</w:t>
                  </w:r>
                </w:p>
              </w:tc>
            </w:tr>
            <w:tr w14:paraId="1A2633CB">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340" w:hRule="atLeast"/>
                <w:jc w:val="center"/>
              </w:trPr>
              <w:tc>
                <w:tcPr>
                  <w:tcW w:w="188" w:type="pct"/>
                  <w:vMerge w:val="continue"/>
                  <w:vAlign w:val="center"/>
                </w:tcPr>
                <w:p w14:paraId="0E101020">
                  <w:pPr>
                    <w:pStyle w:val="29"/>
                  </w:pPr>
                </w:p>
              </w:tc>
              <w:tc>
                <w:tcPr>
                  <w:tcW w:w="1393" w:type="pct"/>
                  <w:gridSpan w:val="2"/>
                  <w:vAlign w:val="center"/>
                </w:tcPr>
                <w:p w14:paraId="19474450">
                  <w:pPr>
                    <w:pStyle w:val="29"/>
                  </w:pPr>
                  <w:r>
                    <w:t>胶合</w:t>
                  </w:r>
                </w:p>
              </w:tc>
              <w:tc>
                <w:tcPr>
                  <w:tcW w:w="1175" w:type="pct"/>
                  <w:vAlign w:val="center"/>
                </w:tcPr>
                <w:p w14:paraId="5E147CBD">
                  <w:pPr>
                    <w:pStyle w:val="29"/>
                  </w:pPr>
                  <w:r>
                    <w:t>非甲烷总烃</w:t>
                  </w:r>
                </w:p>
              </w:tc>
              <w:tc>
                <w:tcPr>
                  <w:tcW w:w="899" w:type="pct"/>
                  <w:vAlign w:val="center"/>
                </w:tcPr>
                <w:p w14:paraId="53024A08">
                  <w:pPr>
                    <w:pStyle w:val="29"/>
                  </w:pPr>
                  <w:r>
                    <w:t>胶合工序</w:t>
                  </w:r>
                </w:p>
              </w:tc>
              <w:tc>
                <w:tcPr>
                  <w:tcW w:w="1344" w:type="pct"/>
                  <w:vMerge w:val="continue"/>
                  <w:vAlign w:val="center"/>
                </w:tcPr>
                <w:p w14:paraId="19DEF9EA">
                  <w:pPr>
                    <w:pStyle w:val="29"/>
                  </w:pPr>
                </w:p>
              </w:tc>
            </w:tr>
            <w:tr w14:paraId="173014C7">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340" w:hRule="atLeast"/>
                <w:jc w:val="center"/>
              </w:trPr>
              <w:tc>
                <w:tcPr>
                  <w:tcW w:w="188" w:type="pct"/>
                  <w:vMerge w:val="continue"/>
                  <w:vAlign w:val="center"/>
                </w:tcPr>
                <w:p w14:paraId="420C8EA5">
                  <w:pPr>
                    <w:pStyle w:val="29"/>
                  </w:pPr>
                </w:p>
              </w:tc>
              <w:tc>
                <w:tcPr>
                  <w:tcW w:w="1393" w:type="pct"/>
                  <w:gridSpan w:val="2"/>
                  <w:vAlign w:val="center"/>
                </w:tcPr>
                <w:p w14:paraId="76C938FD">
                  <w:pPr>
                    <w:pStyle w:val="29"/>
                  </w:pPr>
                  <w:r>
                    <w:t>喷漆及烘干</w:t>
                  </w:r>
                </w:p>
              </w:tc>
              <w:tc>
                <w:tcPr>
                  <w:tcW w:w="1175" w:type="pct"/>
                  <w:vAlign w:val="center"/>
                </w:tcPr>
                <w:p w14:paraId="209C3514">
                  <w:pPr>
                    <w:pStyle w:val="29"/>
                  </w:pPr>
                  <w:r>
                    <w:t>非甲烷总烃</w:t>
                  </w:r>
                  <w:r>
                    <w:rPr>
                      <w:rFonts w:hint="eastAsia"/>
                    </w:rPr>
                    <w:t>、</w:t>
                  </w:r>
                  <w:r>
                    <w:rPr>
                      <w:rFonts w:hint="eastAsia"/>
                      <w:color w:val="EE0000"/>
                    </w:rPr>
                    <w:t>TVOC</w:t>
                  </w:r>
                  <w:r>
                    <w:t>、颗粒物</w:t>
                  </w:r>
                </w:p>
              </w:tc>
              <w:tc>
                <w:tcPr>
                  <w:tcW w:w="899" w:type="pct"/>
                  <w:vAlign w:val="center"/>
                </w:tcPr>
                <w:p w14:paraId="23ACFAC9">
                  <w:pPr>
                    <w:pStyle w:val="29"/>
                    <w:rPr>
                      <w:color w:val="EE0000"/>
                    </w:rPr>
                  </w:pPr>
                  <w:r>
                    <w:rPr>
                      <w:color w:val="0000FF"/>
                    </w:rPr>
                    <w:t>喷漆及烘干</w:t>
                  </w:r>
                  <w:r>
                    <w:rPr>
                      <w:color w:val="EE0000"/>
                    </w:rPr>
                    <w:t>工序</w:t>
                  </w:r>
                </w:p>
              </w:tc>
              <w:tc>
                <w:tcPr>
                  <w:tcW w:w="1344" w:type="pct"/>
                  <w:vMerge w:val="continue"/>
                  <w:vAlign w:val="center"/>
                </w:tcPr>
                <w:p w14:paraId="3E1DC58A">
                  <w:pPr>
                    <w:pStyle w:val="29"/>
                  </w:pPr>
                </w:p>
              </w:tc>
            </w:tr>
            <w:tr w14:paraId="4A3BCF05">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340" w:hRule="atLeast"/>
                <w:jc w:val="center"/>
              </w:trPr>
              <w:tc>
                <w:tcPr>
                  <w:tcW w:w="188" w:type="pct"/>
                  <w:vMerge w:val="continue"/>
                  <w:vAlign w:val="center"/>
                </w:tcPr>
                <w:p w14:paraId="7941FBCD">
                  <w:pPr>
                    <w:pStyle w:val="29"/>
                  </w:pPr>
                </w:p>
              </w:tc>
              <w:tc>
                <w:tcPr>
                  <w:tcW w:w="1393" w:type="pct"/>
                  <w:gridSpan w:val="2"/>
                  <w:vAlign w:val="center"/>
                </w:tcPr>
                <w:p w14:paraId="7365D1F1">
                  <w:pPr>
                    <w:pStyle w:val="29"/>
                  </w:pPr>
                  <w:r>
                    <w:t>印刷</w:t>
                  </w:r>
                </w:p>
              </w:tc>
              <w:tc>
                <w:tcPr>
                  <w:tcW w:w="1175" w:type="pct"/>
                  <w:vAlign w:val="center"/>
                </w:tcPr>
                <w:p w14:paraId="24340F1A">
                  <w:pPr>
                    <w:pStyle w:val="29"/>
                  </w:pPr>
                  <w:r>
                    <w:t>非甲烷总烃/总VOCs</w:t>
                  </w:r>
                </w:p>
              </w:tc>
              <w:tc>
                <w:tcPr>
                  <w:tcW w:w="899" w:type="pct"/>
                  <w:vAlign w:val="center"/>
                </w:tcPr>
                <w:p w14:paraId="7C34185B">
                  <w:pPr>
                    <w:pStyle w:val="29"/>
                    <w:rPr>
                      <w:color w:val="EE0000"/>
                    </w:rPr>
                  </w:pPr>
                  <w:r>
                    <w:rPr>
                      <w:color w:val="EE0000"/>
                    </w:rPr>
                    <w:t>印刷工序</w:t>
                  </w:r>
                </w:p>
              </w:tc>
              <w:tc>
                <w:tcPr>
                  <w:tcW w:w="1344" w:type="pct"/>
                  <w:vMerge w:val="continue"/>
                  <w:vAlign w:val="center"/>
                </w:tcPr>
                <w:p w14:paraId="759758EF">
                  <w:pPr>
                    <w:pStyle w:val="29"/>
                  </w:pPr>
                </w:p>
              </w:tc>
            </w:tr>
            <w:tr w14:paraId="2E264F1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340" w:hRule="atLeast"/>
                <w:jc w:val="center"/>
              </w:trPr>
              <w:tc>
                <w:tcPr>
                  <w:tcW w:w="188" w:type="pct"/>
                  <w:vMerge w:val="continue"/>
                  <w:vAlign w:val="center"/>
                </w:tcPr>
                <w:p w14:paraId="3A51175B">
                  <w:pPr>
                    <w:pStyle w:val="29"/>
                  </w:pPr>
                </w:p>
              </w:tc>
              <w:tc>
                <w:tcPr>
                  <w:tcW w:w="1393" w:type="pct"/>
                  <w:gridSpan w:val="2"/>
                  <w:vAlign w:val="center"/>
                </w:tcPr>
                <w:p w14:paraId="53F9C0AB">
                  <w:pPr>
                    <w:pStyle w:val="29"/>
                  </w:pPr>
                  <w:r>
                    <w:rPr>
                      <w:rFonts w:hint="eastAsia"/>
                    </w:rPr>
                    <w:t>清洗废气</w:t>
                  </w:r>
                </w:p>
              </w:tc>
              <w:tc>
                <w:tcPr>
                  <w:tcW w:w="1175" w:type="pct"/>
                  <w:vAlign w:val="center"/>
                </w:tcPr>
                <w:p w14:paraId="2F614C52">
                  <w:pPr>
                    <w:pStyle w:val="29"/>
                  </w:pPr>
                  <w:r>
                    <w:t>非甲烷总烃</w:t>
                  </w:r>
                  <w:r>
                    <w:rPr>
                      <w:rFonts w:hint="eastAsia"/>
                    </w:rPr>
                    <w:t>、</w:t>
                  </w:r>
                  <w:r>
                    <w:rPr>
                      <w:rFonts w:hint="eastAsia"/>
                      <w:color w:val="EE0000"/>
                    </w:rPr>
                    <w:t>TVOC</w:t>
                  </w:r>
                </w:p>
              </w:tc>
              <w:tc>
                <w:tcPr>
                  <w:tcW w:w="899" w:type="pct"/>
                  <w:vAlign w:val="center"/>
                </w:tcPr>
                <w:p w14:paraId="42B9A45B">
                  <w:pPr>
                    <w:pStyle w:val="29"/>
                    <w:rPr>
                      <w:color w:val="EE0000"/>
                    </w:rPr>
                  </w:pPr>
                  <w:r>
                    <w:rPr>
                      <w:rFonts w:hint="eastAsia"/>
                      <w:color w:val="EE0000"/>
                    </w:rPr>
                    <w:t>印刷设备清洗</w:t>
                  </w:r>
                </w:p>
              </w:tc>
              <w:tc>
                <w:tcPr>
                  <w:tcW w:w="1344" w:type="pct"/>
                  <w:vMerge w:val="continue"/>
                  <w:vAlign w:val="center"/>
                </w:tcPr>
                <w:p w14:paraId="66E3043C">
                  <w:pPr>
                    <w:pStyle w:val="29"/>
                  </w:pPr>
                </w:p>
              </w:tc>
            </w:tr>
            <w:tr w14:paraId="28609AF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340" w:hRule="atLeast"/>
                <w:jc w:val="center"/>
              </w:trPr>
              <w:tc>
                <w:tcPr>
                  <w:tcW w:w="188" w:type="pct"/>
                  <w:vMerge w:val="restart"/>
                  <w:vAlign w:val="center"/>
                </w:tcPr>
                <w:p w14:paraId="37EBC771">
                  <w:pPr>
                    <w:pStyle w:val="29"/>
                  </w:pPr>
                  <w:r>
                    <w:t>固体废物</w:t>
                  </w:r>
                </w:p>
              </w:tc>
              <w:tc>
                <w:tcPr>
                  <w:tcW w:w="361" w:type="pct"/>
                  <w:vMerge w:val="restart"/>
                  <w:vAlign w:val="center"/>
                </w:tcPr>
                <w:p w14:paraId="6B4F0F3E">
                  <w:pPr>
                    <w:pStyle w:val="29"/>
                  </w:pPr>
                  <w:r>
                    <w:t>一般固体废物</w:t>
                  </w:r>
                </w:p>
              </w:tc>
              <w:tc>
                <w:tcPr>
                  <w:tcW w:w="1032" w:type="pct"/>
                  <w:vAlign w:val="center"/>
                </w:tcPr>
                <w:p w14:paraId="5308AB84">
                  <w:pPr>
                    <w:pStyle w:val="29"/>
                  </w:pPr>
                  <w:r>
                    <w:t>边角料、不合格品</w:t>
                  </w:r>
                </w:p>
              </w:tc>
              <w:tc>
                <w:tcPr>
                  <w:tcW w:w="1175" w:type="pct"/>
                  <w:vAlign w:val="center"/>
                </w:tcPr>
                <w:p w14:paraId="0EA8D9AC">
                  <w:pPr>
                    <w:pStyle w:val="29"/>
                  </w:pPr>
                  <w:r>
                    <w:t>—</w:t>
                  </w:r>
                </w:p>
              </w:tc>
              <w:tc>
                <w:tcPr>
                  <w:tcW w:w="899" w:type="pct"/>
                  <w:vAlign w:val="center"/>
                </w:tcPr>
                <w:p w14:paraId="7EB3527A">
                  <w:pPr>
                    <w:pStyle w:val="29"/>
                  </w:pPr>
                  <w:r>
                    <w:t>检验工序</w:t>
                  </w:r>
                </w:p>
              </w:tc>
              <w:tc>
                <w:tcPr>
                  <w:tcW w:w="1344" w:type="pct"/>
                  <w:vAlign w:val="center"/>
                </w:tcPr>
                <w:p w14:paraId="40701EF6">
                  <w:pPr>
                    <w:pStyle w:val="29"/>
                  </w:pPr>
                  <w:r>
                    <w:t>回用于生产</w:t>
                  </w:r>
                </w:p>
              </w:tc>
            </w:tr>
            <w:tr w14:paraId="14D0A369">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340" w:hRule="atLeast"/>
                <w:jc w:val="center"/>
              </w:trPr>
              <w:tc>
                <w:tcPr>
                  <w:tcW w:w="188" w:type="pct"/>
                  <w:vMerge w:val="continue"/>
                  <w:vAlign w:val="center"/>
                </w:tcPr>
                <w:p w14:paraId="666BF7D6">
                  <w:pPr>
                    <w:pStyle w:val="29"/>
                  </w:pPr>
                </w:p>
              </w:tc>
              <w:tc>
                <w:tcPr>
                  <w:tcW w:w="361" w:type="pct"/>
                  <w:vMerge w:val="continue"/>
                  <w:vAlign w:val="center"/>
                </w:tcPr>
                <w:p w14:paraId="570FC7D9">
                  <w:pPr>
                    <w:pStyle w:val="29"/>
                  </w:pPr>
                </w:p>
              </w:tc>
              <w:tc>
                <w:tcPr>
                  <w:tcW w:w="1032" w:type="pct"/>
                  <w:vAlign w:val="center"/>
                </w:tcPr>
                <w:p w14:paraId="1372BA62">
                  <w:pPr>
                    <w:pStyle w:val="29"/>
                    <w:rPr>
                      <w:color w:val="0000FF"/>
                    </w:rPr>
                  </w:pPr>
                  <w:r>
                    <w:rPr>
                      <w:rFonts w:hint="eastAsia"/>
                      <w:color w:val="0000FF"/>
                    </w:rPr>
                    <w:t>喷漆不合格品</w:t>
                  </w:r>
                </w:p>
              </w:tc>
              <w:tc>
                <w:tcPr>
                  <w:tcW w:w="1175" w:type="pct"/>
                  <w:vAlign w:val="center"/>
                </w:tcPr>
                <w:p w14:paraId="33650051">
                  <w:pPr>
                    <w:pStyle w:val="29"/>
                    <w:rPr>
                      <w:color w:val="0000FF"/>
                    </w:rPr>
                  </w:pPr>
                  <w:r>
                    <w:rPr>
                      <w:color w:val="0000FF"/>
                    </w:rPr>
                    <w:t>—</w:t>
                  </w:r>
                </w:p>
              </w:tc>
              <w:tc>
                <w:tcPr>
                  <w:tcW w:w="899" w:type="pct"/>
                  <w:vAlign w:val="center"/>
                </w:tcPr>
                <w:p w14:paraId="44C9FE8A">
                  <w:pPr>
                    <w:pStyle w:val="29"/>
                    <w:rPr>
                      <w:color w:val="0000FF"/>
                    </w:rPr>
                  </w:pPr>
                  <w:r>
                    <w:rPr>
                      <w:rFonts w:hint="eastAsia"/>
                      <w:color w:val="0000FF"/>
                    </w:rPr>
                    <w:t>检验工序</w:t>
                  </w:r>
                </w:p>
              </w:tc>
              <w:tc>
                <w:tcPr>
                  <w:tcW w:w="1344" w:type="pct"/>
                  <w:vMerge w:val="restart"/>
                  <w:vAlign w:val="center"/>
                </w:tcPr>
                <w:p w14:paraId="1436C92E">
                  <w:pPr>
                    <w:pStyle w:val="29"/>
                    <w:rPr>
                      <w:color w:val="0000FF"/>
                    </w:rPr>
                  </w:pPr>
                  <w:r>
                    <w:t>专门回收的企业进行回收</w:t>
                  </w:r>
                </w:p>
              </w:tc>
            </w:tr>
            <w:tr w14:paraId="6C2210FA">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340" w:hRule="atLeast"/>
                <w:jc w:val="center"/>
              </w:trPr>
              <w:tc>
                <w:tcPr>
                  <w:tcW w:w="188" w:type="pct"/>
                  <w:vMerge w:val="continue"/>
                  <w:vAlign w:val="center"/>
                </w:tcPr>
                <w:p w14:paraId="43F0A664">
                  <w:pPr>
                    <w:pStyle w:val="29"/>
                  </w:pPr>
                </w:p>
              </w:tc>
              <w:tc>
                <w:tcPr>
                  <w:tcW w:w="361" w:type="pct"/>
                  <w:vMerge w:val="continue"/>
                  <w:vAlign w:val="center"/>
                </w:tcPr>
                <w:p w14:paraId="022C237F">
                  <w:pPr>
                    <w:pStyle w:val="29"/>
                  </w:pPr>
                </w:p>
              </w:tc>
              <w:tc>
                <w:tcPr>
                  <w:tcW w:w="1032" w:type="pct"/>
                  <w:vAlign w:val="center"/>
                </w:tcPr>
                <w:p w14:paraId="725A7874">
                  <w:pPr>
                    <w:pStyle w:val="29"/>
                  </w:pPr>
                  <w:r>
                    <w:t>废包装材料</w:t>
                  </w:r>
                </w:p>
              </w:tc>
              <w:tc>
                <w:tcPr>
                  <w:tcW w:w="1175" w:type="pct"/>
                  <w:vAlign w:val="center"/>
                </w:tcPr>
                <w:p w14:paraId="13CBF8A0">
                  <w:pPr>
                    <w:pStyle w:val="29"/>
                  </w:pPr>
                  <w:r>
                    <w:t>—</w:t>
                  </w:r>
                </w:p>
              </w:tc>
              <w:tc>
                <w:tcPr>
                  <w:tcW w:w="899" w:type="pct"/>
                  <w:vAlign w:val="center"/>
                </w:tcPr>
                <w:p w14:paraId="130DCDB2">
                  <w:pPr>
                    <w:pStyle w:val="29"/>
                  </w:pPr>
                  <w:r>
                    <w:t>生产过程</w:t>
                  </w:r>
                </w:p>
              </w:tc>
              <w:tc>
                <w:tcPr>
                  <w:tcW w:w="1344" w:type="pct"/>
                  <w:vMerge w:val="continue"/>
                  <w:vAlign w:val="center"/>
                </w:tcPr>
                <w:p w14:paraId="1398E8A7">
                  <w:pPr>
                    <w:pStyle w:val="29"/>
                  </w:pPr>
                </w:p>
              </w:tc>
            </w:tr>
            <w:tr w14:paraId="06628D8E">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340" w:hRule="atLeast"/>
                <w:jc w:val="center"/>
              </w:trPr>
              <w:tc>
                <w:tcPr>
                  <w:tcW w:w="188" w:type="pct"/>
                  <w:vMerge w:val="continue"/>
                  <w:vAlign w:val="center"/>
                </w:tcPr>
                <w:p w14:paraId="53E24AEC">
                  <w:pPr>
                    <w:pStyle w:val="29"/>
                  </w:pPr>
                </w:p>
              </w:tc>
              <w:tc>
                <w:tcPr>
                  <w:tcW w:w="361" w:type="pct"/>
                  <w:vMerge w:val="continue"/>
                  <w:vAlign w:val="center"/>
                </w:tcPr>
                <w:p w14:paraId="2B611468">
                  <w:pPr>
                    <w:pStyle w:val="29"/>
                  </w:pPr>
                </w:p>
              </w:tc>
              <w:tc>
                <w:tcPr>
                  <w:tcW w:w="1032" w:type="pct"/>
                  <w:vAlign w:val="center"/>
                </w:tcPr>
                <w:p w14:paraId="465896FF">
                  <w:pPr>
                    <w:pStyle w:val="29"/>
                  </w:pPr>
                  <w:r>
                    <w:rPr>
                      <w:color w:val="EE0000"/>
                    </w:rPr>
                    <w:t>钢废料</w:t>
                  </w:r>
                </w:p>
              </w:tc>
              <w:tc>
                <w:tcPr>
                  <w:tcW w:w="1175" w:type="pct"/>
                  <w:vAlign w:val="center"/>
                </w:tcPr>
                <w:p w14:paraId="4FA59DD6">
                  <w:pPr>
                    <w:pStyle w:val="29"/>
                  </w:pPr>
                  <w:r>
                    <w:t>—</w:t>
                  </w:r>
                </w:p>
              </w:tc>
              <w:tc>
                <w:tcPr>
                  <w:tcW w:w="899" w:type="pct"/>
                  <w:vAlign w:val="center"/>
                </w:tcPr>
                <w:p w14:paraId="1FA4F57C">
                  <w:pPr>
                    <w:pStyle w:val="29"/>
                  </w:pPr>
                  <w:r>
                    <w:t>模具生产过程</w:t>
                  </w:r>
                </w:p>
              </w:tc>
              <w:tc>
                <w:tcPr>
                  <w:tcW w:w="1344" w:type="pct"/>
                  <w:vMerge w:val="continue"/>
                  <w:vAlign w:val="center"/>
                </w:tcPr>
                <w:p w14:paraId="166A4840">
                  <w:pPr>
                    <w:pStyle w:val="29"/>
                  </w:pPr>
                </w:p>
              </w:tc>
            </w:tr>
            <w:tr w14:paraId="0765B1FF">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340" w:hRule="atLeast"/>
                <w:jc w:val="center"/>
              </w:trPr>
              <w:tc>
                <w:tcPr>
                  <w:tcW w:w="188" w:type="pct"/>
                  <w:vMerge w:val="continue"/>
                  <w:vAlign w:val="center"/>
                </w:tcPr>
                <w:p w14:paraId="281DE14E">
                  <w:pPr>
                    <w:pStyle w:val="29"/>
                  </w:pPr>
                </w:p>
              </w:tc>
              <w:tc>
                <w:tcPr>
                  <w:tcW w:w="361" w:type="pct"/>
                  <w:vMerge w:val="restart"/>
                  <w:vAlign w:val="center"/>
                </w:tcPr>
                <w:p w14:paraId="1D5940BC">
                  <w:pPr>
                    <w:pStyle w:val="29"/>
                  </w:pPr>
                  <w:r>
                    <w:t>危险废物</w:t>
                  </w:r>
                </w:p>
              </w:tc>
              <w:tc>
                <w:tcPr>
                  <w:tcW w:w="1032" w:type="pct"/>
                  <w:vAlign w:val="center"/>
                </w:tcPr>
                <w:p w14:paraId="04153D26">
                  <w:pPr>
                    <w:pStyle w:val="29"/>
                  </w:pPr>
                  <w:r>
                    <w:t>水帘柜废液</w:t>
                  </w:r>
                </w:p>
              </w:tc>
              <w:tc>
                <w:tcPr>
                  <w:tcW w:w="1175" w:type="pct"/>
                  <w:vAlign w:val="center"/>
                </w:tcPr>
                <w:p w14:paraId="3DD78DE8">
                  <w:pPr>
                    <w:pStyle w:val="29"/>
                  </w:pPr>
                  <w:r>
                    <w:t>/</w:t>
                  </w:r>
                </w:p>
              </w:tc>
              <w:tc>
                <w:tcPr>
                  <w:tcW w:w="899" w:type="pct"/>
                  <w:vAlign w:val="center"/>
                </w:tcPr>
                <w:p w14:paraId="116BD27A">
                  <w:pPr>
                    <w:pStyle w:val="29"/>
                  </w:pPr>
                  <w:r>
                    <w:t>喷漆工序</w:t>
                  </w:r>
                </w:p>
              </w:tc>
              <w:tc>
                <w:tcPr>
                  <w:tcW w:w="1344" w:type="pct"/>
                  <w:vMerge w:val="restart"/>
                  <w:vAlign w:val="center"/>
                </w:tcPr>
                <w:p w14:paraId="707659F3">
                  <w:pPr>
                    <w:pStyle w:val="29"/>
                  </w:pPr>
                  <w:r>
                    <w:t>交由有危险废物处置资质的单位处理</w:t>
                  </w:r>
                </w:p>
              </w:tc>
            </w:tr>
            <w:tr w14:paraId="237FC7A7">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340" w:hRule="atLeast"/>
                <w:jc w:val="center"/>
              </w:trPr>
              <w:tc>
                <w:tcPr>
                  <w:tcW w:w="188" w:type="pct"/>
                  <w:vMerge w:val="continue"/>
                  <w:vAlign w:val="center"/>
                </w:tcPr>
                <w:p w14:paraId="52BF348E">
                  <w:pPr>
                    <w:pStyle w:val="29"/>
                  </w:pPr>
                </w:p>
              </w:tc>
              <w:tc>
                <w:tcPr>
                  <w:tcW w:w="361" w:type="pct"/>
                  <w:vMerge w:val="continue"/>
                  <w:vAlign w:val="center"/>
                </w:tcPr>
                <w:p w14:paraId="0C501191">
                  <w:pPr>
                    <w:pStyle w:val="29"/>
                  </w:pPr>
                </w:p>
              </w:tc>
              <w:tc>
                <w:tcPr>
                  <w:tcW w:w="1032" w:type="pct"/>
                  <w:vAlign w:val="center"/>
                </w:tcPr>
                <w:p w14:paraId="76BEA351">
                  <w:pPr>
                    <w:pStyle w:val="29"/>
                  </w:pPr>
                  <w:r>
                    <w:t>喷枪清洗废水</w:t>
                  </w:r>
                </w:p>
              </w:tc>
              <w:tc>
                <w:tcPr>
                  <w:tcW w:w="1175" w:type="pct"/>
                  <w:vAlign w:val="center"/>
                </w:tcPr>
                <w:p w14:paraId="0A8C4ABF">
                  <w:pPr>
                    <w:pStyle w:val="29"/>
                  </w:pPr>
                  <w:r>
                    <w:t>/</w:t>
                  </w:r>
                </w:p>
              </w:tc>
              <w:tc>
                <w:tcPr>
                  <w:tcW w:w="899" w:type="pct"/>
                  <w:vAlign w:val="center"/>
                </w:tcPr>
                <w:p w14:paraId="431C3FA7">
                  <w:pPr>
                    <w:pStyle w:val="29"/>
                  </w:pPr>
                  <w:r>
                    <w:t>喷枪清洗</w:t>
                  </w:r>
                </w:p>
              </w:tc>
              <w:tc>
                <w:tcPr>
                  <w:tcW w:w="1344" w:type="pct"/>
                  <w:vMerge w:val="continue"/>
                  <w:vAlign w:val="center"/>
                </w:tcPr>
                <w:p w14:paraId="2DC2C156">
                  <w:pPr>
                    <w:pStyle w:val="29"/>
                  </w:pPr>
                </w:p>
              </w:tc>
            </w:tr>
            <w:tr w14:paraId="5615085F">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340" w:hRule="atLeast"/>
                <w:jc w:val="center"/>
              </w:trPr>
              <w:tc>
                <w:tcPr>
                  <w:tcW w:w="188" w:type="pct"/>
                  <w:vMerge w:val="continue"/>
                  <w:vAlign w:val="center"/>
                </w:tcPr>
                <w:p w14:paraId="033B51C6">
                  <w:pPr>
                    <w:pStyle w:val="29"/>
                  </w:pPr>
                </w:p>
              </w:tc>
              <w:tc>
                <w:tcPr>
                  <w:tcW w:w="361" w:type="pct"/>
                  <w:vMerge w:val="continue"/>
                  <w:vAlign w:val="center"/>
                </w:tcPr>
                <w:p w14:paraId="15BCC956">
                  <w:pPr>
                    <w:pStyle w:val="29"/>
                  </w:pPr>
                </w:p>
              </w:tc>
              <w:tc>
                <w:tcPr>
                  <w:tcW w:w="1032" w:type="pct"/>
                  <w:vAlign w:val="center"/>
                </w:tcPr>
                <w:p w14:paraId="0684A8C3">
                  <w:pPr>
                    <w:pStyle w:val="29"/>
                  </w:pPr>
                  <w:r>
                    <w:t>喷淋塔废液</w:t>
                  </w:r>
                </w:p>
              </w:tc>
              <w:tc>
                <w:tcPr>
                  <w:tcW w:w="1175" w:type="pct"/>
                  <w:vAlign w:val="center"/>
                </w:tcPr>
                <w:p w14:paraId="2A4AF404">
                  <w:pPr>
                    <w:pStyle w:val="29"/>
                  </w:pPr>
                  <w:r>
                    <w:t>/</w:t>
                  </w:r>
                </w:p>
              </w:tc>
              <w:tc>
                <w:tcPr>
                  <w:tcW w:w="899" w:type="pct"/>
                  <w:vAlign w:val="center"/>
                </w:tcPr>
                <w:p w14:paraId="1880199E">
                  <w:pPr>
                    <w:pStyle w:val="29"/>
                  </w:pPr>
                  <w:r>
                    <w:t>废气处理</w:t>
                  </w:r>
                </w:p>
              </w:tc>
              <w:tc>
                <w:tcPr>
                  <w:tcW w:w="1344" w:type="pct"/>
                  <w:vMerge w:val="continue"/>
                  <w:vAlign w:val="center"/>
                </w:tcPr>
                <w:p w14:paraId="056385EA">
                  <w:pPr>
                    <w:pStyle w:val="29"/>
                  </w:pPr>
                </w:p>
              </w:tc>
            </w:tr>
            <w:tr w14:paraId="67AC06CC">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340" w:hRule="atLeast"/>
                <w:jc w:val="center"/>
              </w:trPr>
              <w:tc>
                <w:tcPr>
                  <w:tcW w:w="188" w:type="pct"/>
                  <w:vMerge w:val="continue"/>
                  <w:vAlign w:val="center"/>
                </w:tcPr>
                <w:p w14:paraId="3F5EDAF2">
                  <w:pPr>
                    <w:pStyle w:val="29"/>
                  </w:pPr>
                </w:p>
              </w:tc>
              <w:tc>
                <w:tcPr>
                  <w:tcW w:w="361" w:type="pct"/>
                  <w:vMerge w:val="continue"/>
                  <w:vAlign w:val="center"/>
                </w:tcPr>
                <w:p w14:paraId="35024C75">
                  <w:pPr>
                    <w:pStyle w:val="29"/>
                  </w:pPr>
                </w:p>
              </w:tc>
              <w:tc>
                <w:tcPr>
                  <w:tcW w:w="1032" w:type="pct"/>
                  <w:vAlign w:val="center"/>
                </w:tcPr>
                <w:p w14:paraId="343BF67A">
                  <w:pPr>
                    <w:pStyle w:val="29"/>
                  </w:pPr>
                  <w:r>
                    <w:t>漆渣</w:t>
                  </w:r>
                </w:p>
              </w:tc>
              <w:tc>
                <w:tcPr>
                  <w:tcW w:w="1175" w:type="pct"/>
                  <w:vAlign w:val="center"/>
                </w:tcPr>
                <w:p w14:paraId="7B6B7537">
                  <w:pPr>
                    <w:pStyle w:val="29"/>
                  </w:pPr>
                  <w:r>
                    <w:t>/</w:t>
                  </w:r>
                </w:p>
              </w:tc>
              <w:tc>
                <w:tcPr>
                  <w:tcW w:w="899" w:type="pct"/>
                  <w:vAlign w:val="center"/>
                </w:tcPr>
                <w:p w14:paraId="647CC972">
                  <w:pPr>
                    <w:pStyle w:val="29"/>
                  </w:pPr>
                  <w:r>
                    <w:t>喷漆工序</w:t>
                  </w:r>
                </w:p>
              </w:tc>
              <w:tc>
                <w:tcPr>
                  <w:tcW w:w="1344" w:type="pct"/>
                  <w:vMerge w:val="continue"/>
                  <w:vAlign w:val="center"/>
                </w:tcPr>
                <w:p w14:paraId="22490E08">
                  <w:pPr>
                    <w:pStyle w:val="29"/>
                  </w:pPr>
                </w:p>
              </w:tc>
            </w:tr>
            <w:tr w14:paraId="01FB2BF2">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340" w:hRule="atLeast"/>
                <w:jc w:val="center"/>
              </w:trPr>
              <w:tc>
                <w:tcPr>
                  <w:tcW w:w="188" w:type="pct"/>
                  <w:vMerge w:val="continue"/>
                  <w:vAlign w:val="center"/>
                </w:tcPr>
                <w:p w14:paraId="752E7346">
                  <w:pPr>
                    <w:pStyle w:val="29"/>
                  </w:pPr>
                </w:p>
              </w:tc>
              <w:tc>
                <w:tcPr>
                  <w:tcW w:w="361" w:type="pct"/>
                  <w:vMerge w:val="continue"/>
                  <w:vAlign w:val="center"/>
                </w:tcPr>
                <w:p w14:paraId="1209368C">
                  <w:pPr>
                    <w:pStyle w:val="29"/>
                  </w:pPr>
                </w:p>
              </w:tc>
              <w:tc>
                <w:tcPr>
                  <w:tcW w:w="1032" w:type="pct"/>
                  <w:vAlign w:val="center"/>
                </w:tcPr>
                <w:p w14:paraId="067E64EA">
                  <w:pPr>
                    <w:pStyle w:val="29"/>
                  </w:pPr>
                  <w:r>
                    <w:t>废空桶</w:t>
                  </w:r>
                </w:p>
              </w:tc>
              <w:tc>
                <w:tcPr>
                  <w:tcW w:w="1175" w:type="pct"/>
                  <w:vAlign w:val="center"/>
                </w:tcPr>
                <w:p w14:paraId="39F2267F">
                  <w:pPr>
                    <w:pStyle w:val="29"/>
                  </w:pPr>
                  <w:r>
                    <w:t>水性面漆、水性油墨</w:t>
                  </w:r>
                </w:p>
              </w:tc>
              <w:tc>
                <w:tcPr>
                  <w:tcW w:w="899" w:type="pct"/>
                  <w:vAlign w:val="center"/>
                </w:tcPr>
                <w:p w14:paraId="19BBA68A">
                  <w:pPr>
                    <w:pStyle w:val="29"/>
                  </w:pPr>
                  <w:r>
                    <w:t>原料使用</w:t>
                  </w:r>
                </w:p>
              </w:tc>
              <w:tc>
                <w:tcPr>
                  <w:tcW w:w="1344" w:type="pct"/>
                  <w:vMerge w:val="continue"/>
                  <w:vAlign w:val="center"/>
                </w:tcPr>
                <w:p w14:paraId="4EF0ABC9">
                  <w:pPr>
                    <w:pStyle w:val="29"/>
                  </w:pPr>
                </w:p>
              </w:tc>
            </w:tr>
            <w:tr w14:paraId="0A8B702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340" w:hRule="atLeast"/>
                <w:jc w:val="center"/>
              </w:trPr>
              <w:tc>
                <w:tcPr>
                  <w:tcW w:w="188" w:type="pct"/>
                  <w:vMerge w:val="continue"/>
                  <w:vAlign w:val="center"/>
                </w:tcPr>
                <w:p w14:paraId="5853D47C">
                  <w:pPr>
                    <w:pStyle w:val="29"/>
                  </w:pPr>
                </w:p>
              </w:tc>
              <w:tc>
                <w:tcPr>
                  <w:tcW w:w="361" w:type="pct"/>
                  <w:vMerge w:val="continue"/>
                  <w:vAlign w:val="center"/>
                </w:tcPr>
                <w:p w14:paraId="230B8E9D">
                  <w:pPr>
                    <w:pStyle w:val="29"/>
                  </w:pPr>
                </w:p>
              </w:tc>
              <w:tc>
                <w:tcPr>
                  <w:tcW w:w="1032" w:type="pct"/>
                  <w:vAlign w:val="center"/>
                </w:tcPr>
                <w:p w14:paraId="0D6ADBC1">
                  <w:pPr>
                    <w:pStyle w:val="29"/>
                  </w:pPr>
                  <w:r>
                    <w:t>废</w:t>
                  </w:r>
                  <w:r>
                    <w:rPr>
                      <w:color w:val="0000FF"/>
                    </w:rPr>
                    <w:t>电火花机</w:t>
                  </w:r>
                  <w:r>
                    <w:t>油</w:t>
                  </w:r>
                </w:p>
              </w:tc>
              <w:tc>
                <w:tcPr>
                  <w:tcW w:w="1175" w:type="pct"/>
                  <w:vAlign w:val="center"/>
                </w:tcPr>
                <w:p w14:paraId="577D2FDD">
                  <w:pPr>
                    <w:pStyle w:val="29"/>
                  </w:pPr>
                  <w:r>
                    <w:rPr>
                      <w:color w:val="0000FF"/>
                    </w:rPr>
                    <w:t>电火花机</w:t>
                  </w:r>
                  <w:r>
                    <w:t>油</w:t>
                  </w:r>
                </w:p>
              </w:tc>
              <w:tc>
                <w:tcPr>
                  <w:tcW w:w="899" w:type="pct"/>
                  <w:vAlign w:val="center"/>
                </w:tcPr>
                <w:p w14:paraId="78A20653">
                  <w:pPr>
                    <w:pStyle w:val="29"/>
                  </w:pPr>
                  <w:r>
                    <w:t>模具</w:t>
                  </w:r>
                  <w:r>
                    <w:rPr>
                      <w:rFonts w:hint="eastAsia" w:asciiTheme="majorBidi" w:hAnsiTheme="majorBidi" w:eastAsiaTheme="minorEastAsia" w:cstheme="majorBidi"/>
                      <w:color w:val="0000FF"/>
                    </w:rPr>
                    <w:t>电火花机</w:t>
                  </w:r>
                  <w:r>
                    <w:t>加工</w:t>
                  </w:r>
                </w:p>
              </w:tc>
              <w:tc>
                <w:tcPr>
                  <w:tcW w:w="1344" w:type="pct"/>
                  <w:vMerge w:val="continue"/>
                  <w:vAlign w:val="center"/>
                </w:tcPr>
                <w:p w14:paraId="7AD9A492">
                  <w:pPr>
                    <w:pStyle w:val="29"/>
                  </w:pPr>
                </w:p>
              </w:tc>
            </w:tr>
            <w:tr w14:paraId="530DD449">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340" w:hRule="atLeast"/>
                <w:jc w:val="center"/>
              </w:trPr>
              <w:tc>
                <w:tcPr>
                  <w:tcW w:w="188" w:type="pct"/>
                  <w:vMerge w:val="continue"/>
                  <w:vAlign w:val="center"/>
                </w:tcPr>
                <w:p w14:paraId="4F728F4F">
                  <w:pPr>
                    <w:pStyle w:val="29"/>
                  </w:pPr>
                </w:p>
              </w:tc>
              <w:tc>
                <w:tcPr>
                  <w:tcW w:w="361" w:type="pct"/>
                  <w:vMerge w:val="continue"/>
                  <w:vAlign w:val="center"/>
                </w:tcPr>
                <w:p w14:paraId="78F0A03D">
                  <w:pPr>
                    <w:pStyle w:val="29"/>
                  </w:pPr>
                </w:p>
              </w:tc>
              <w:tc>
                <w:tcPr>
                  <w:tcW w:w="1032" w:type="pct"/>
                  <w:vAlign w:val="center"/>
                </w:tcPr>
                <w:p w14:paraId="42403C7F">
                  <w:pPr>
                    <w:pStyle w:val="29"/>
                  </w:pPr>
                  <w:r>
                    <w:t>废机油</w:t>
                  </w:r>
                </w:p>
              </w:tc>
              <w:tc>
                <w:tcPr>
                  <w:tcW w:w="1175" w:type="pct"/>
                  <w:vAlign w:val="center"/>
                </w:tcPr>
                <w:p w14:paraId="355DA330">
                  <w:pPr>
                    <w:pStyle w:val="29"/>
                  </w:pPr>
                  <w:r>
                    <w:t>机油</w:t>
                  </w:r>
                </w:p>
              </w:tc>
              <w:tc>
                <w:tcPr>
                  <w:tcW w:w="899" w:type="pct"/>
                  <w:vAlign w:val="center"/>
                </w:tcPr>
                <w:p w14:paraId="644A341D">
                  <w:pPr>
                    <w:pStyle w:val="29"/>
                  </w:pPr>
                  <w:r>
                    <w:t>设备维修</w:t>
                  </w:r>
                </w:p>
              </w:tc>
              <w:tc>
                <w:tcPr>
                  <w:tcW w:w="1344" w:type="pct"/>
                  <w:vMerge w:val="continue"/>
                  <w:vAlign w:val="center"/>
                </w:tcPr>
                <w:p w14:paraId="0DBE27E9">
                  <w:pPr>
                    <w:pStyle w:val="29"/>
                  </w:pPr>
                </w:p>
              </w:tc>
            </w:tr>
            <w:tr w14:paraId="148792B1">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340" w:hRule="atLeast"/>
                <w:jc w:val="center"/>
              </w:trPr>
              <w:tc>
                <w:tcPr>
                  <w:tcW w:w="188" w:type="pct"/>
                  <w:vMerge w:val="continue"/>
                  <w:vAlign w:val="center"/>
                </w:tcPr>
                <w:p w14:paraId="113FFAED">
                  <w:pPr>
                    <w:pStyle w:val="29"/>
                  </w:pPr>
                </w:p>
              </w:tc>
              <w:tc>
                <w:tcPr>
                  <w:tcW w:w="361" w:type="pct"/>
                  <w:vMerge w:val="continue"/>
                  <w:vAlign w:val="center"/>
                </w:tcPr>
                <w:p w14:paraId="5E8A0F6B">
                  <w:pPr>
                    <w:pStyle w:val="29"/>
                  </w:pPr>
                </w:p>
              </w:tc>
              <w:tc>
                <w:tcPr>
                  <w:tcW w:w="1032" w:type="pct"/>
                  <w:vAlign w:val="center"/>
                </w:tcPr>
                <w:p w14:paraId="717E53FC">
                  <w:pPr>
                    <w:pStyle w:val="29"/>
                  </w:pPr>
                  <w:r>
                    <w:t>废油桶</w:t>
                  </w:r>
                </w:p>
              </w:tc>
              <w:tc>
                <w:tcPr>
                  <w:tcW w:w="1175" w:type="pct"/>
                  <w:vAlign w:val="center"/>
                </w:tcPr>
                <w:p w14:paraId="1668DBC4">
                  <w:pPr>
                    <w:pStyle w:val="29"/>
                  </w:pPr>
                  <w:r>
                    <w:t>废油</w:t>
                  </w:r>
                </w:p>
              </w:tc>
              <w:tc>
                <w:tcPr>
                  <w:tcW w:w="899" w:type="pct"/>
                  <w:vAlign w:val="center"/>
                </w:tcPr>
                <w:p w14:paraId="4FC3B35C">
                  <w:pPr>
                    <w:pStyle w:val="29"/>
                  </w:pPr>
                  <w:r>
                    <w:t>生产过程</w:t>
                  </w:r>
                </w:p>
              </w:tc>
              <w:tc>
                <w:tcPr>
                  <w:tcW w:w="1344" w:type="pct"/>
                  <w:vMerge w:val="continue"/>
                  <w:vAlign w:val="center"/>
                </w:tcPr>
                <w:p w14:paraId="21C4C35D">
                  <w:pPr>
                    <w:pStyle w:val="29"/>
                  </w:pPr>
                </w:p>
              </w:tc>
            </w:tr>
            <w:tr w14:paraId="58408164">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340" w:hRule="atLeast"/>
                <w:jc w:val="center"/>
              </w:trPr>
              <w:tc>
                <w:tcPr>
                  <w:tcW w:w="188" w:type="pct"/>
                  <w:vMerge w:val="continue"/>
                  <w:vAlign w:val="center"/>
                </w:tcPr>
                <w:p w14:paraId="6E1EDAD5">
                  <w:pPr>
                    <w:pStyle w:val="29"/>
                  </w:pPr>
                </w:p>
              </w:tc>
              <w:tc>
                <w:tcPr>
                  <w:tcW w:w="361" w:type="pct"/>
                  <w:vMerge w:val="continue"/>
                  <w:vAlign w:val="center"/>
                </w:tcPr>
                <w:p w14:paraId="30BE1903">
                  <w:pPr>
                    <w:pStyle w:val="29"/>
                  </w:pPr>
                </w:p>
              </w:tc>
              <w:tc>
                <w:tcPr>
                  <w:tcW w:w="1032" w:type="pct"/>
                  <w:vAlign w:val="center"/>
                </w:tcPr>
                <w:p w14:paraId="07D256D8">
                  <w:pPr>
                    <w:pStyle w:val="29"/>
                  </w:pPr>
                  <w:r>
                    <w:t>废含油抹布及手套</w:t>
                  </w:r>
                </w:p>
              </w:tc>
              <w:tc>
                <w:tcPr>
                  <w:tcW w:w="1175" w:type="pct"/>
                  <w:vAlign w:val="center"/>
                </w:tcPr>
                <w:p w14:paraId="2B5A4C46">
                  <w:pPr>
                    <w:pStyle w:val="29"/>
                  </w:pPr>
                  <w:r>
                    <w:t>机油</w:t>
                  </w:r>
                </w:p>
              </w:tc>
              <w:tc>
                <w:tcPr>
                  <w:tcW w:w="899" w:type="pct"/>
                  <w:vAlign w:val="center"/>
                </w:tcPr>
                <w:p w14:paraId="422CEEEC">
                  <w:pPr>
                    <w:pStyle w:val="29"/>
                  </w:pPr>
                  <w:r>
                    <w:t>设备维护</w:t>
                  </w:r>
                </w:p>
              </w:tc>
              <w:tc>
                <w:tcPr>
                  <w:tcW w:w="1344" w:type="pct"/>
                  <w:vMerge w:val="continue"/>
                  <w:vAlign w:val="center"/>
                </w:tcPr>
                <w:p w14:paraId="50D6B73D">
                  <w:pPr>
                    <w:pStyle w:val="29"/>
                  </w:pPr>
                </w:p>
              </w:tc>
            </w:tr>
            <w:tr w14:paraId="0E5366C9">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340" w:hRule="atLeast"/>
                <w:jc w:val="center"/>
              </w:trPr>
              <w:tc>
                <w:tcPr>
                  <w:tcW w:w="188" w:type="pct"/>
                  <w:vMerge w:val="continue"/>
                  <w:vAlign w:val="center"/>
                </w:tcPr>
                <w:p w14:paraId="3F96E1A1">
                  <w:pPr>
                    <w:pStyle w:val="29"/>
                  </w:pPr>
                </w:p>
              </w:tc>
              <w:tc>
                <w:tcPr>
                  <w:tcW w:w="361" w:type="pct"/>
                  <w:vMerge w:val="continue"/>
                  <w:vAlign w:val="center"/>
                </w:tcPr>
                <w:p w14:paraId="1A5AAF50">
                  <w:pPr>
                    <w:pStyle w:val="29"/>
                  </w:pPr>
                </w:p>
              </w:tc>
              <w:tc>
                <w:tcPr>
                  <w:tcW w:w="1032" w:type="pct"/>
                  <w:vAlign w:val="center"/>
                </w:tcPr>
                <w:p w14:paraId="24045107">
                  <w:pPr>
                    <w:pStyle w:val="29"/>
                  </w:pPr>
                  <w:r>
                    <w:t>废抹布及手套</w:t>
                  </w:r>
                </w:p>
              </w:tc>
              <w:tc>
                <w:tcPr>
                  <w:tcW w:w="1175" w:type="pct"/>
                  <w:vAlign w:val="center"/>
                </w:tcPr>
                <w:p w14:paraId="54A53F86">
                  <w:pPr>
                    <w:pStyle w:val="29"/>
                  </w:pPr>
                  <w:r>
                    <w:t>水性油墨</w:t>
                  </w:r>
                </w:p>
              </w:tc>
              <w:tc>
                <w:tcPr>
                  <w:tcW w:w="899" w:type="pct"/>
                  <w:vAlign w:val="center"/>
                </w:tcPr>
                <w:p w14:paraId="6282EA8B">
                  <w:pPr>
                    <w:pStyle w:val="29"/>
                  </w:pPr>
                  <w:r>
                    <w:t>生产过程</w:t>
                  </w:r>
                </w:p>
              </w:tc>
              <w:tc>
                <w:tcPr>
                  <w:tcW w:w="1344" w:type="pct"/>
                  <w:vMerge w:val="continue"/>
                  <w:vAlign w:val="center"/>
                </w:tcPr>
                <w:p w14:paraId="536CC1CB">
                  <w:pPr>
                    <w:pStyle w:val="29"/>
                  </w:pPr>
                </w:p>
              </w:tc>
            </w:tr>
            <w:tr w14:paraId="12366197">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340" w:hRule="atLeast"/>
                <w:jc w:val="center"/>
              </w:trPr>
              <w:tc>
                <w:tcPr>
                  <w:tcW w:w="188" w:type="pct"/>
                  <w:vMerge w:val="continue"/>
                  <w:vAlign w:val="center"/>
                </w:tcPr>
                <w:p w14:paraId="4066DC86">
                  <w:pPr>
                    <w:pStyle w:val="29"/>
                  </w:pPr>
                </w:p>
              </w:tc>
              <w:tc>
                <w:tcPr>
                  <w:tcW w:w="361" w:type="pct"/>
                  <w:vMerge w:val="continue"/>
                  <w:vAlign w:val="center"/>
                </w:tcPr>
                <w:p w14:paraId="4526E3E2">
                  <w:pPr>
                    <w:pStyle w:val="29"/>
                  </w:pPr>
                </w:p>
              </w:tc>
              <w:tc>
                <w:tcPr>
                  <w:tcW w:w="1032" w:type="pct"/>
                  <w:vAlign w:val="center"/>
                </w:tcPr>
                <w:p w14:paraId="000141D4">
                  <w:pPr>
                    <w:pStyle w:val="29"/>
                  </w:pPr>
                  <w:r>
                    <w:t>废过滤棉</w:t>
                  </w:r>
                </w:p>
              </w:tc>
              <w:tc>
                <w:tcPr>
                  <w:tcW w:w="1175" w:type="pct"/>
                  <w:vAlign w:val="center"/>
                </w:tcPr>
                <w:p w14:paraId="4B4704A2">
                  <w:pPr>
                    <w:pStyle w:val="29"/>
                  </w:pPr>
                  <w:r>
                    <w:t>过滤棉</w:t>
                  </w:r>
                </w:p>
              </w:tc>
              <w:tc>
                <w:tcPr>
                  <w:tcW w:w="899" w:type="pct"/>
                  <w:vAlign w:val="center"/>
                </w:tcPr>
                <w:p w14:paraId="7E89918B">
                  <w:pPr>
                    <w:pStyle w:val="29"/>
                  </w:pPr>
                  <w:r>
                    <w:t>废气处理</w:t>
                  </w:r>
                </w:p>
              </w:tc>
              <w:tc>
                <w:tcPr>
                  <w:tcW w:w="1344" w:type="pct"/>
                  <w:vMerge w:val="continue"/>
                  <w:vAlign w:val="center"/>
                </w:tcPr>
                <w:p w14:paraId="7EA16F43">
                  <w:pPr>
                    <w:pStyle w:val="29"/>
                  </w:pPr>
                </w:p>
              </w:tc>
            </w:tr>
            <w:tr w14:paraId="0A2406DA">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340" w:hRule="atLeast"/>
                <w:jc w:val="center"/>
              </w:trPr>
              <w:tc>
                <w:tcPr>
                  <w:tcW w:w="188" w:type="pct"/>
                  <w:vMerge w:val="continue"/>
                  <w:vAlign w:val="center"/>
                </w:tcPr>
                <w:p w14:paraId="0A25D3FB">
                  <w:pPr>
                    <w:pStyle w:val="29"/>
                  </w:pPr>
                </w:p>
              </w:tc>
              <w:tc>
                <w:tcPr>
                  <w:tcW w:w="361" w:type="pct"/>
                  <w:vMerge w:val="continue"/>
                  <w:vAlign w:val="center"/>
                </w:tcPr>
                <w:p w14:paraId="6841FC27">
                  <w:pPr>
                    <w:pStyle w:val="29"/>
                  </w:pPr>
                </w:p>
              </w:tc>
              <w:tc>
                <w:tcPr>
                  <w:tcW w:w="1032" w:type="pct"/>
                  <w:vAlign w:val="center"/>
                </w:tcPr>
                <w:p w14:paraId="4673584F">
                  <w:pPr>
                    <w:pStyle w:val="29"/>
                  </w:pPr>
                  <w:r>
                    <w:t>废活性炭</w:t>
                  </w:r>
                </w:p>
              </w:tc>
              <w:tc>
                <w:tcPr>
                  <w:tcW w:w="1175" w:type="pct"/>
                  <w:vAlign w:val="center"/>
                </w:tcPr>
                <w:p w14:paraId="520F9701">
                  <w:pPr>
                    <w:pStyle w:val="29"/>
                  </w:pPr>
                  <w:r>
                    <w:t>有机废气</w:t>
                  </w:r>
                </w:p>
              </w:tc>
              <w:tc>
                <w:tcPr>
                  <w:tcW w:w="899" w:type="pct"/>
                  <w:vAlign w:val="center"/>
                </w:tcPr>
                <w:p w14:paraId="3B20E611">
                  <w:pPr>
                    <w:pStyle w:val="29"/>
                  </w:pPr>
                  <w:r>
                    <w:t>废气处理</w:t>
                  </w:r>
                </w:p>
              </w:tc>
              <w:tc>
                <w:tcPr>
                  <w:tcW w:w="1344" w:type="pct"/>
                  <w:vMerge w:val="continue"/>
                  <w:vAlign w:val="center"/>
                </w:tcPr>
                <w:p w14:paraId="7826F8CF">
                  <w:pPr>
                    <w:pStyle w:val="29"/>
                  </w:pPr>
                </w:p>
              </w:tc>
            </w:tr>
            <w:tr w14:paraId="6DC2179D">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340" w:hRule="atLeast"/>
                <w:jc w:val="center"/>
              </w:trPr>
              <w:tc>
                <w:tcPr>
                  <w:tcW w:w="188" w:type="pct"/>
                  <w:vMerge w:val="continue"/>
                  <w:vAlign w:val="center"/>
                </w:tcPr>
                <w:p w14:paraId="6251BBC3">
                  <w:pPr>
                    <w:pStyle w:val="29"/>
                  </w:pPr>
                </w:p>
              </w:tc>
              <w:tc>
                <w:tcPr>
                  <w:tcW w:w="361" w:type="pct"/>
                  <w:vMerge w:val="continue"/>
                  <w:vAlign w:val="center"/>
                </w:tcPr>
                <w:p w14:paraId="749D16BB">
                  <w:pPr>
                    <w:pStyle w:val="29"/>
                  </w:pPr>
                </w:p>
              </w:tc>
              <w:tc>
                <w:tcPr>
                  <w:tcW w:w="1032" w:type="pct"/>
                  <w:vAlign w:val="center"/>
                </w:tcPr>
                <w:p w14:paraId="497DFD8B">
                  <w:pPr>
                    <w:pStyle w:val="29"/>
                    <w:rPr>
                      <w:color w:val="EE0000"/>
                    </w:rPr>
                  </w:pPr>
                  <w:r>
                    <w:rPr>
                      <w:rFonts w:hint="eastAsia"/>
                      <w:color w:val="EE0000"/>
                    </w:rPr>
                    <w:t>废清洗剂</w:t>
                  </w:r>
                </w:p>
              </w:tc>
              <w:tc>
                <w:tcPr>
                  <w:tcW w:w="1175" w:type="pct"/>
                  <w:vAlign w:val="center"/>
                </w:tcPr>
                <w:p w14:paraId="01748FD9">
                  <w:pPr>
                    <w:pStyle w:val="29"/>
                    <w:rPr>
                      <w:color w:val="EE0000"/>
                    </w:rPr>
                  </w:pPr>
                  <w:r>
                    <w:rPr>
                      <w:rFonts w:hint="eastAsia"/>
                      <w:color w:val="EE0000"/>
                    </w:rPr>
                    <w:t>清洗剂</w:t>
                  </w:r>
                </w:p>
              </w:tc>
              <w:tc>
                <w:tcPr>
                  <w:tcW w:w="899" w:type="pct"/>
                  <w:vAlign w:val="center"/>
                </w:tcPr>
                <w:p w14:paraId="6FBF1CD8">
                  <w:pPr>
                    <w:pStyle w:val="29"/>
                    <w:rPr>
                      <w:color w:val="EE0000"/>
                    </w:rPr>
                  </w:pPr>
                  <w:r>
                    <w:rPr>
                      <w:rFonts w:hint="eastAsia"/>
                      <w:color w:val="EE0000"/>
                    </w:rPr>
                    <w:t>设备清洁维护</w:t>
                  </w:r>
                </w:p>
              </w:tc>
              <w:tc>
                <w:tcPr>
                  <w:tcW w:w="1344" w:type="pct"/>
                  <w:vAlign w:val="center"/>
                </w:tcPr>
                <w:p w14:paraId="11C28056">
                  <w:pPr>
                    <w:pStyle w:val="29"/>
                  </w:pPr>
                </w:p>
              </w:tc>
            </w:tr>
            <w:tr w14:paraId="6A4452E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340" w:hRule="atLeast"/>
                <w:jc w:val="center"/>
              </w:trPr>
              <w:tc>
                <w:tcPr>
                  <w:tcW w:w="188" w:type="pct"/>
                  <w:vMerge w:val="continue"/>
                  <w:vAlign w:val="center"/>
                </w:tcPr>
                <w:p w14:paraId="3FF8EC66">
                  <w:pPr>
                    <w:pStyle w:val="29"/>
                  </w:pPr>
                </w:p>
              </w:tc>
              <w:tc>
                <w:tcPr>
                  <w:tcW w:w="361" w:type="pct"/>
                  <w:vAlign w:val="center"/>
                </w:tcPr>
                <w:p w14:paraId="4B91CD5C">
                  <w:pPr>
                    <w:pStyle w:val="29"/>
                  </w:pPr>
                  <w:r>
                    <w:t>生活垃圾</w:t>
                  </w:r>
                </w:p>
              </w:tc>
              <w:tc>
                <w:tcPr>
                  <w:tcW w:w="1032" w:type="pct"/>
                  <w:vAlign w:val="center"/>
                </w:tcPr>
                <w:p w14:paraId="33802720">
                  <w:pPr>
                    <w:pStyle w:val="29"/>
                  </w:pPr>
                  <w:r>
                    <w:t>生活垃圾</w:t>
                  </w:r>
                </w:p>
              </w:tc>
              <w:tc>
                <w:tcPr>
                  <w:tcW w:w="1175" w:type="pct"/>
                  <w:vAlign w:val="center"/>
                </w:tcPr>
                <w:p w14:paraId="5669D542">
                  <w:pPr>
                    <w:pStyle w:val="29"/>
                  </w:pPr>
                  <w:r>
                    <w:t>—</w:t>
                  </w:r>
                </w:p>
              </w:tc>
              <w:tc>
                <w:tcPr>
                  <w:tcW w:w="899" w:type="pct"/>
                  <w:vAlign w:val="center"/>
                </w:tcPr>
                <w:p w14:paraId="35272EA0">
                  <w:pPr>
                    <w:pStyle w:val="29"/>
                  </w:pPr>
                  <w:r>
                    <w:t>员工生活</w:t>
                  </w:r>
                </w:p>
              </w:tc>
              <w:tc>
                <w:tcPr>
                  <w:tcW w:w="1344" w:type="pct"/>
                  <w:vAlign w:val="center"/>
                </w:tcPr>
                <w:p w14:paraId="3B348E4F">
                  <w:pPr>
                    <w:pStyle w:val="29"/>
                  </w:pPr>
                  <w:r>
                    <w:t>交由环卫部门统一清运</w:t>
                  </w:r>
                </w:p>
              </w:tc>
            </w:tr>
          </w:tbl>
          <w:p w14:paraId="5A383115">
            <w:pPr>
              <w:ind w:firstLine="480"/>
              <w:rPr>
                <w:rFonts w:asciiTheme="majorBidi" w:hAnsiTheme="majorBidi" w:eastAsiaTheme="minorEastAsia" w:cstheme="majorBidi"/>
                <w:color w:val="000000" w:themeColor="text1"/>
                <w:lang w:val="zh-CN"/>
                <w14:textFill>
                  <w14:solidFill>
                    <w14:schemeClr w14:val="tx1"/>
                  </w14:solidFill>
                </w14:textFill>
              </w:rPr>
            </w:pPr>
          </w:p>
        </w:tc>
      </w:tr>
      <w:tr w14:paraId="271C524D">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85" w:type="dxa"/>
            <w:bottom w:w="0" w:type="dxa"/>
            <w:right w:w="85" w:type="dxa"/>
          </w:tblCellMar>
        </w:tblPrEx>
        <w:trPr>
          <w:trHeight w:val="397" w:hRule="atLeast"/>
          <w:jc w:val="center"/>
        </w:trPr>
        <w:tc>
          <w:tcPr>
            <w:tcW w:w="358" w:type="pct"/>
            <w:vAlign w:val="center"/>
          </w:tcPr>
          <w:p w14:paraId="427163F8">
            <w:pPr>
              <w:pStyle w:val="10"/>
              <w:spacing w:before="48"/>
            </w:pPr>
            <w:r>
              <w:rPr>
                <w:sz w:val="21"/>
                <w:szCs w:val="18"/>
              </w:rPr>
              <w:t>与项目有关的原有环境污染问题</w:t>
            </w:r>
          </w:p>
        </w:tc>
        <w:tc>
          <w:tcPr>
            <w:tcW w:w="4642" w:type="pct"/>
            <w:vAlign w:val="center"/>
          </w:tcPr>
          <w:p w14:paraId="1314FC36">
            <w:pPr>
              <w:ind w:firstLine="480"/>
              <w:rPr>
                <w:rFonts w:asciiTheme="majorBidi" w:hAnsiTheme="majorBidi" w:eastAsiaTheme="minorEastAsia" w:cstheme="majorBidi"/>
                <w:b/>
                <w:color w:val="000000" w:themeColor="text1"/>
                <w:kern w:val="2"/>
                <w:szCs w:val="21"/>
                <w14:textFill>
                  <w14:solidFill>
                    <w14:schemeClr w14:val="tx1"/>
                  </w14:solidFill>
                </w14:textFill>
              </w:rPr>
            </w:pPr>
            <w:r>
              <w:rPr>
                <w:rFonts w:asciiTheme="majorBidi" w:hAnsiTheme="majorBidi" w:eastAsiaTheme="minorEastAsia" w:cstheme="majorBidi"/>
                <w:bCs/>
                <w:color w:val="000000" w:themeColor="text1"/>
                <w:kern w:val="2"/>
                <w:szCs w:val="21"/>
                <w14:textFill>
                  <w14:solidFill>
                    <w14:schemeClr w14:val="tx1"/>
                  </w14:solidFill>
                </w14:textFill>
              </w:rPr>
              <w:t>无</w:t>
            </w:r>
          </w:p>
        </w:tc>
      </w:tr>
    </w:tbl>
    <w:p w14:paraId="743BBABE">
      <w:pPr>
        <w:adjustRightInd/>
        <w:snapToGrid/>
        <w:ind w:firstLine="0" w:firstLineChars="0"/>
        <w:rPr>
          <w:rFonts w:asciiTheme="majorBidi" w:hAnsiTheme="majorBidi" w:eastAsiaTheme="minorEastAsia" w:cstheme="majorBidi"/>
          <w:color w:val="000000" w:themeColor="text1"/>
          <w:kern w:val="2"/>
          <w:sz w:val="2"/>
          <w:szCs w:val="2"/>
          <w14:textFill>
            <w14:solidFill>
              <w14:schemeClr w14:val="tx1"/>
            </w14:solidFill>
          </w14:textFill>
        </w:rPr>
      </w:pPr>
    </w:p>
    <w:p w14:paraId="1EA8C34F">
      <w:pPr>
        <w:ind w:firstLine="40"/>
        <w:jc w:val="center"/>
        <w:outlineLvl w:val="0"/>
        <w:rPr>
          <w:rFonts w:asciiTheme="majorBidi" w:hAnsiTheme="majorBidi" w:eastAsiaTheme="minorEastAsia" w:cstheme="majorBidi"/>
          <w:snapToGrid w:val="0"/>
          <w:color w:val="000000" w:themeColor="text1"/>
          <w:sz w:val="2"/>
          <w:szCs w:val="2"/>
          <w14:textFill>
            <w14:solidFill>
              <w14:schemeClr w14:val="tx1"/>
            </w14:solidFill>
          </w14:textFill>
        </w:rPr>
        <w:sectPr>
          <w:pgSz w:w="11906" w:h="16838"/>
          <w:pgMar w:top="1418" w:right="1134" w:bottom="1418" w:left="1134" w:header="708" w:footer="708" w:gutter="0"/>
          <w:cols w:space="708" w:num="1"/>
          <w:docGrid w:linePitch="360" w:charSpace="0"/>
        </w:sectPr>
      </w:pPr>
    </w:p>
    <w:p w14:paraId="40F7B18A">
      <w:pPr>
        <w:ind w:firstLine="602"/>
        <w:jc w:val="center"/>
        <w:outlineLvl w:val="0"/>
        <w:rPr>
          <w:rFonts w:asciiTheme="majorBidi" w:hAnsiTheme="majorBidi" w:eastAsiaTheme="minorEastAsia" w:cstheme="majorBidi"/>
          <w:b/>
          <w:bCs/>
          <w:snapToGrid w:val="0"/>
          <w:color w:val="000000" w:themeColor="text1"/>
          <w:sz w:val="30"/>
          <w:szCs w:val="30"/>
          <w14:textFill>
            <w14:solidFill>
              <w14:schemeClr w14:val="tx1"/>
            </w14:solidFill>
          </w14:textFill>
        </w:rPr>
      </w:pPr>
      <w:bookmarkStart w:id="5" w:name="_Toc199146996"/>
      <w:bookmarkStart w:id="6" w:name="_Toc200987721"/>
      <w:r>
        <w:rPr>
          <w:rFonts w:asciiTheme="majorBidi" w:hAnsiTheme="majorBidi" w:eastAsiaTheme="minorEastAsia" w:cstheme="majorBidi"/>
          <w:b/>
          <w:bCs/>
          <w:snapToGrid w:val="0"/>
          <w:color w:val="000000" w:themeColor="text1"/>
          <w:sz w:val="30"/>
          <w:szCs w:val="30"/>
          <w14:textFill>
            <w14:solidFill>
              <w14:schemeClr w14:val="tx1"/>
            </w14:solidFill>
          </w14:textFill>
        </w:rPr>
        <w:t>三、区域环境质量现状、环境保护目标及评价标准</w:t>
      </w:r>
      <w:bookmarkEnd w:id="5"/>
      <w:bookmarkEnd w:id="6"/>
    </w:p>
    <w:tbl>
      <w:tblPr>
        <w:tblStyle w:val="21"/>
        <w:tblW w:w="9638" w:type="dxa"/>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454"/>
        <w:gridCol w:w="9184"/>
      </w:tblGrid>
      <w:tr w14:paraId="76D19CF7">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014" w:hRule="atLeast"/>
          <w:jc w:val="center"/>
        </w:trPr>
        <w:tc>
          <w:tcPr>
            <w:tcW w:w="454" w:type="dxa"/>
            <w:vAlign w:val="center"/>
          </w:tcPr>
          <w:p w14:paraId="6F17E0A0">
            <w:pPr>
              <w:pStyle w:val="10"/>
              <w:spacing w:before="48"/>
            </w:pPr>
            <w:r>
              <w:t>区域环境质量现状</w:t>
            </w:r>
          </w:p>
        </w:tc>
        <w:tc>
          <w:tcPr>
            <w:tcW w:w="9184" w:type="dxa"/>
            <w:vAlign w:val="center"/>
          </w:tcPr>
          <w:p w14:paraId="6F4D140D">
            <w:pPr>
              <w:ind w:firstLine="482"/>
              <w:rPr>
                <w:rFonts w:asciiTheme="majorBidi" w:hAnsiTheme="majorBidi" w:eastAsiaTheme="minorEastAsia" w:cstheme="majorBidi"/>
                <w:b/>
                <w:bCs/>
                <w:color w:val="000000" w:themeColor="text1"/>
                <w:szCs w:val="21"/>
                <w14:textFill>
                  <w14:solidFill>
                    <w14:schemeClr w14:val="tx1"/>
                  </w14:solidFill>
                </w14:textFill>
              </w:rPr>
            </w:pPr>
            <w:r>
              <w:rPr>
                <w:rFonts w:asciiTheme="majorBidi" w:hAnsiTheme="majorBidi" w:eastAsiaTheme="minorEastAsia" w:cstheme="majorBidi"/>
                <w:b/>
                <w:bCs/>
                <w:color w:val="000000" w:themeColor="text1"/>
                <w:szCs w:val="21"/>
                <w14:textFill>
                  <w14:solidFill>
                    <w14:schemeClr w14:val="tx1"/>
                  </w14:solidFill>
                </w14:textFill>
              </w:rPr>
              <w:t>（一）大气环境</w:t>
            </w:r>
          </w:p>
          <w:p w14:paraId="7B073773">
            <w:pPr>
              <w:ind w:firstLine="480"/>
              <w:rPr>
                <w:rFonts w:asciiTheme="majorBidi" w:hAnsiTheme="majorBidi" w:eastAsiaTheme="minorEastAsia" w:cstheme="majorBidi"/>
                <w:color w:val="000000" w:themeColor="text1"/>
                <w14:textFill>
                  <w14:solidFill>
                    <w14:schemeClr w14:val="tx1"/>
                  </w14:solidFill>
                </w14:textFill>
              </w:rPr>
            </w:pPr>
            <w:r>
              <w:rPr>
                <w:rFonts w:asciiTheme="majorBidi" w:hAnsiTheme="majorBidi" w:eastAsiaTheme="minorEastAsia" w:cstheme="majorBidi"/>
                <w:color w:val="000000" w:themeColor="text1"/>
                <w14:textFill>
                  <w14:solidFill>
                    <w14:schemeClr w14:val="tx1"/>
                  </w14:solidFill>
                </w14:textFill>
              </w:rPr>
              <w:t>根据</w:t>
            </w:r>
            <w:r>
              <w:rPr>
                <w:rFonts w:hint="eastAsia"/>
                <w:color w:val="FF0000"/>
              </w:rPr>
              <w:t>《关于印发&lt;惠州市环境空气质量功能区划&gt;（2024年修订）的通知》（惠市环〔2024〕16号）</w:t>
            </w:r>
            <w:r>
              <w:rPr>
                <w:rFonts w:asciiTheme="majorBidi" w:hAnsiTheme="majorBidi" w:eastAsiaTheme="minorEastAsia" w:cstheme="majorBidi"/>
                <w:color w:val="000000" w:themeColor="text1"/>
                <w14:textFill>
                  <w14:solidFill>
                    <w14:schemeClr w14:val="tx1"/>
                  </w14:solidFill>
                </w14:textFill>
              </w:rPr>
              <w:t>，本项目所在地属于环境空气质量功能区的二类区，环境空气质量应执行《环境空气质量标准》（GB3095-2012）及其2018年修改单中规定的二级标准。</w:t>
            </w:r>
          </w:p>
          <w:p w14:paraId="5EE729F1">
            <w:pPr>
              <w:ind w:firstLine="480"/>
              <w:rPr>
                <w:rFonts w:asciiTheme="majorBidi" w:hAnsiTheme="majorBidi" w:eastAsiaTheme="minorEastAsia" w:cstheme="majorBidi"/>
                <w:color w:val="000000" w:themeColor="text1"/>
                <w14:textFill>
                  <w14:solidFill>
                    <w14:schemeClr w14:val="tx1"/>
                  </w14:solidFill>
                </w14:textFill>
              </w:rPr>
            </w:pPr>
            <w:r>
              <w:rPr>
                <w:rFonts w:asciiTheme="majorBidi" w:hAnsiTheme="majorBidi" w:eastAsiaTheme="minorEastAsia" w:cstheme="majorBidi"/>
                <w:color w:val="000000" w:themeColor="text1"/>
                <w14:textFill>
                  <w14:solidFill>
                    <w14:schemeClr w14:val="tx1"/>
                  </w14:solidFill>
                </w14:textFill>
              </w:rPr>
              <w:t>根据惠州市生态环境局2024年6月21日发布的《2023年惠州市生态环境状况公报》：</w:t>
            </w:r>
          </w:p>
          <w:p w14:paraId="28C70DBF">
            <w:pPr>
              <w:pStyle w:val="29"/>
            </w:pPr>
            <w:r>
              <w:drawing>
                <wp:inline distT="0" distB="0" distL="0" distR="0">
                  <wp:extent cx="5330825" cy="5048250"/>
                  <wp:effectExtent l="0" t="0" r="3175" b="0"/>
                  <wp:docPr id="290197703"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0197703" name="图片 1"/>
                          <pic:cNvPicPr>
                            <a:picLocks noChangeAspect="1"/>
                          </pic:cNvPicPr>
                        </pic:nvPicPr>
                        <pic:blipFill>
                          <a:blip r:embed="rId27"/>
                          <a:stretch>
                            <a:fillRect/>
                          </a:stretch>
                        </pic:blipFill>
                        <pic:spPr>
                          <a:xfrm>
                            <a:off x="0" y="0"/>
                            <a:ext cx="5333092" cy="5049808"/>
                          </a:xfrm>
                          <a:prstGeom prst="rect">
                            <a:avLst/>
                          </a:prstGeom>
                        </pic:spPr>
                      </pic:pic>
                    </a:graphicData>
                  </a:graphic>
                </wp:inline>
              </w:drawing>
            </w:r>
          </w:p>
          <w:p w14:paraId="776711C7">
            <w:pPr>
              <w:pStyle w:val="11"/>
              <w:rPr>
                <w:bCs w:val="0"/>
              </w:rPr>
            </w:pPr>
            <w:r>
              <w:rPr>
                <w:bCs w:val="0"/>
              </w:rPr>
              <w:t>图3-1 2023年惠州市生态环境状况公报</w:t>
            </w:r>
          </w:p>
          <w:p w14:paraId="2D43C92B">
            <w:pPr>
              <w:ind w:firstLine="482"/>
              <w:rPr>
                <w:rFonts w:asciiTheme="majorBidi" w:hAnsiTheme="majorBidi" w:eastAsiaTheme="minorEastAsia" w:cstheme="majorBidi"/>
                <w:b/>
                <w:bCs/>
                <w:color w:val="000000" w:themeColor="text1"/>
                <w14:textFill>
                  <w14:solidFill>
                    <w14:schemeClr w14:val="tx1"/>
                  </w14:solidFill>
                </w14:textFill>
              </w:rPr>
            </w:pPr>
          </w:p>
          <w:p w14:paraId="6540E36E">
            <w:pPr>
              <w:ind w:firstLine="482"/>
              <w:rPr>
                <w:rFonts w:asciiTheme="majorBidi" w:hAnsiTheme="majorBidi" w:eastAsiaTheme="minorEastAsia" w:cstheme="majorBidi"/>
                <w:color w:val="000000" w:themeColor="text1"/>
                <w14:textFill>
                  <w14:solidFill>
                    <w14:schemeClr w14:val="tx1"/>
                  </w14:solidFill>
                </w14:textFill>
              </w:rPr>
            </w:pPr>
            <w:r>
              <w:rPr>
                <w:rFonts w:asciiTheme="majorBidi" w:hAnsiTheme="majorBidi" w:eastAsiaTheme="minorEastAsia" w:cstheme="majorBidi"/>
                <w:b/>
                <w:bCs/>
                <w:color w:val="000000" w:themeColor="text1"/>
                <w14:textFill>
                  <w14:solidFill>
                    <w14:schemeClr w14:val="tx1"/>
                  </w14:solidFill>
                </w14:textFill>
              </w:rPr>
              <w:t>城市空气质量：</w:t>
            </w:r>
            <w:r>
              <w:rPr>
                <w:rFonts w:asciiTheme="majorBidi" w:hAnsiTheme="majorBidi" w:eastAsiaTheme="minorEastAsia" w:cstheme="majorBidi"/>
                <w:color w:val="000000" w:themeColor="text1"/>
                <w14:textFill>
                  <w14:solidFill>
                    <w14:schemeClr w14:val="tx1"/>
                  </w14:solidFill>
                </w14:textFill>
              </w:rPr>
              <w:t>2023年，惠州市环境空气质量优良。六项污染物年评价浓度均达标，其中，二氧化硫、二氧化氮、一氧化碳和可吸入颗粒物PM</w:t>
            </w:r>
            <w:r>
              <w:rPr>
                <w:rFonts w:asciiTheme="majorBidi" w:hAnsiTheme="majorBidi" w:eastAsiaTheme="minorEastAsia" w:cstheme="majorBidi"/>
                <w:color w:val="000000" w:themeColor="text1"/>
                <w:vertAlign w:val="subscript"/>
                <w14:textFill>
                  <w14:solidFill>
                    <w14:schemeClr w14:val="tx1"/>
                  </w14:solidFill>
                </w14:textFill>
              </w:rPr>
              <w:t>10</w:t>
            </w:r>
            <w:r>
              <w:rPr>
                <w:rFonts w:asciiTheme="majorBidi" w:hAnsiTheme="majorBidi" w:eastAsiaTheme="minorEastAsia" w:cstheme="majorBidi"/>
                <w:color w:val="000000" w:themeColor="text1"/>
                <w14:textFill>
                  <w14:solidFill>
                    <w14:schemeClr w14:val="tx1"/>
                  </w14:solidFill>
                </w14:textFill>
              </w:rPr>
              <w:t>年评价浓度达到国家一级标准；细颗粒物PM</w:t>
            </w:r>
            <w:r>
              <w:rPr>
                <w:rFonts w:asciiTheme="majorBidi" w:hAnsiTheme="majorBidi" w:eastAsiaTheme="minorEastAsia" w:cstheme="majorBidi"/>
                <w:color w:val="000000" w:themeColor="text1"/>
                <w:vertAlign w:val="subscript"/>
                <w14:textFill>
                  <w14:solidFill>
                    <w14:schemeClr w14:val="tx1"/>
                  </w14:solidFill>
                </w14:textFill>
              </w:rPr>
              <w:t>2.5</w:t>
            </w:r>
            <w:r>
              <w:rPr>
                <w:rFonts w:asciiTheme="majorBidi" w:hAnsiTheme="majorBidi" w:eastAsiaTheme="minorEastAsia" w:cstheme="majorBidi"/>
                <w:color w:val="000000" w:themeColor="text1"/>
                <w14:textFill>
                  <w14:solidFill>
                    <w14:schemeClr w14:val="tx1"/>
                  </w14:solidFill>
                </w14:textFill>
              </w:rPr>
              <w:t>和臭氧年评价浓度达到国家二级标准。综合指数为2.56，AQI达标率为98.4%，其中，优225天，良134天，轻度污染6天，无中度及以上污染，超标污染物为臭氧。</w:t>
            </w:r>
          </w:p>
          <w:p w14:paraId="0561EDD9">
            <w:pPr>
              <w:ind w:firstLine="480"/>
              <w:rPr>
                <w:rFonts w:asciiTheme="majorBidi" w:hAnsiTheme="majorBidi" w:eastAsiaTheme="minorEastAsia" w:cstheme="majorBidi"/>
                <w:color w:val="000000" w:themeColor="text1"/>
                <w14:textFill>
                  <w14:solidFill>
                    <w14:schemeClr w14:val="tx1"/>
                  </w14:solidFill>
                </w14:textFill>
              </w:rPr>
            </w:pPr>
            <w:r>
              <w:rPr>
                <w:rFonts w:asciiTheme="majorBidi" w:hAnsiTheme="majorBidi" w:eastAsiaTheme="minorEastAsia" w:cstheme="majorBidi"/>
                <w:color w:val="000000" w:themeColor="text1"/>
                <w14:textFill>
                  <w14:solidFill>
                    <w14:schemeClr w14:val="tx1"/>
                  </w14:solidFill>
                </w14:textFill>
              </w:rPr>
              <w:t>与2022年相比，惠州市环境空气质量有所改善。综合指数下降0.8%，AQI达标率上升4.7个百分点，臭氧下降13.9%，一氧化碳和二氧化氮持平，可吸入颗粒物PM</w:t>
            </w:r>
            <w:r>
              <w:rPr>
                <w:rFonts w:asciiTheme="majorBidi" w:hAnsiTheme="majorBidi" w:eastAsiaTheme="minorEastAsia" w:cstheme="majorBidi"/>
                <w:color w:val="000000" w:themeColor="text1"/>
                <w:vertAlign w:val="subscript"/>
                <w14:textFill>
                  <w14:solidFill>
                    <w14:schemeClr w14:val="tx1"/>
                  </w14:solidFill>
                </w14:textFill>
              </w:rPr>
              <w:t>10</w:t>
            </w:r>
            <w:r>
              <w:rPr>
                <w:rFonts w:asciiTheme="majorBidi" w:hAnsiTheme="majorBidi" w:eastAsiaTheme="minorEastAsia" w:cstheme="majorBidi"/>
                <w:color w:val="000000" w:themeColor="text1"/>
                <w14:textFill>
                  <w14:solidFill>
                    <w14:schemeClr w14:val="tx1"/>
                  </w14:solidFill>
                </w14:textFill>
              </w:rPr>
              <w:t>、细颗粒物PM</w:t>
            </w:r>
            <w:r>
              <w:rPr>
                <w:rFonts w:asciiTheme="majorBidi" w:hAnsiTheme="majorBidi" w:eastAsiaTheme="minorEastAsia" w:cstheme="majorBidi"/>
                <w:color w:val="000000" w:themeColor="text1"/>
                <w:vertAlign w:val="subscript"/>
                <w14:textFill>
                  <w14:solidFill>
                    <w14:schemeClr w14:val="tx1"/>
                  </w14:solidFill>
                </w14:textFill>
              </w:rPr>
              <w:t>2.5</w:t>
            </w:r>
            <w:r>
              <w:rPr>
                <w:rFonts w:asciiTheme="majorBidi" w:hAnsiTheme="majorBidi" w:eastAsiaTheme="minorEastAsia" w:cstheme="majorBidi"/>
                <w:color w:val="000000" w:themeColor="text1"/>
                <w14:textFill>
                  <w14:solidFill>
                    <w14:schemeClr w14:val="tx1"/>
                  </w14:solidFill>
                </w14:textFill>
              </w:rPr>
              <w:t>、二氧化硫分别上升9.1%、11.8%、20.0%。</w:t>
            </w:r>
          </w:p>
          <w:p w14:paraId="09111C9E">
            <w:pPr>
              <w:ind w:firstLine="482"/>
              <w:rPr>
                <w:rFonts w:asciiTheme="majorBidi" w:hAnsiTheme="majorBidi" w:eastAsiaTheme="minorEastAsia" w:cstheme="majorBidi"/>
                <w:color w:val="000000" w:themeColor="text1"/>
                <w14:textFill>
                  <w14:solidFill>
                    <w14:schemeClr w14:val="tx1"/>
                  </w14:solidFill>
                </w14:textFill>
              </w:rPr>
            </w:pPr>
            <w:r>
              <w:rPr>
                <w:rFonts w:asciiTheme="majorBidi" w:hAnsiTheme="majorBidi" w:eastAsiaTheme="minorEastAsia" w:cstheme="majorBidi"/>
                <w:b/>
                <w:bCs/>
                <w:color w:val="000000" w:themeColor="text1"/>
                <w14:textFill>
                  <w14:solidFill>
                    <w14:schemeClr w14:val="tx1"/>
                  </w14:solidFill>
                </w14:textFill>
              </w:rPr>
              <w:t>县区空气质量：</w:t>
            </w:r>
            <w:r>
              <w:rPr>
                <w:rFonts w:asciiTheme="majorBidi" w:hAnsiTheme="majorBidi" w:eastAsiaTheme="minorEastAsia" w:cstheme="majorBidi"/>
                <w:color w:val="000000" w:themeColor="text1"/>
                <w14:textFill>
                  <w14:solidFill>
                    <w14:schemeClr w14:val="tx1"/>
                  </w14:solidFill>
                </w14:textFill>
              </w:rPr>
              <w:t>2023年，各县区环境空气质量总体优良。六项污染物年评价浓度均达标，综合指数2.06（龙门县）～2.75（博罗县），AQI达标率94.4%（仲恺区）～99.5%（大亚湾区），超标污染物均为臭氧。按环境空气质量综合指数排名，由好到差依次为龙门县、大亚湾区、惠东县、惠阳区、仲恺区、惠城区、博罗县。与2022年相比，惠东县、大亚湾区、博罗县空气质量略微变差，其余县区空气质量略有改善。</w:t>
            </w:r>
          </w:p>
          <w:p w14:paraId="23CC5C88">
            <w:pPr>
              <w:ind w:firstLine="482"/>
              <w:rPr>
                <w:rFonts w:asciiTheme="majorBidi" w:hAnsiTheme="majorBidi" w:eastAsiaTheme="minorEastAsia" w:cstheme="majorBidi"/>
                <w:b/>
                <w:bCs/>
                <w:color w:val="000000" w:themeColor="text1"/>
                <w:szCs w:val="21"/>
                <w14:textFill>
                  <w14:solidFill>
                    <w14:schemeClr w14:val="tx1"/>
                  </w14:solidFill>
                </w14:textFill>
              </w:rPr>
            </w:pPr>
            <w:r>
              <w:rPr>
                <w:rFonts w:asciiTheme="majorBidi" w:hAnsiTheme="majorBidi" w:eastAsiaTheme="minorEastAsia" w:cstheme="majorBidi"/>
                <w:b/>
                <w:bCs/>
                <w:color w:val="000000" w:themeColor="text1"/>
                <w:szCs w:val="21"/>
                <w14:textFill>
                  <w14:solidFill>
                    <w14:schemeClr w14:val="tx1"/>
                  </w14:solidFill>
                </w14:textFill>
              </w:rPr>
              <w:t>特征污染物：</w:t>
            </w:r>
          </w:p>
          <w:p w14:paraId="72069C61">
            <w:pPr>
              <w:wordWrap w:val="0"/>
              <w:ind w:firstLine="480"/>
              <w:rPr>
                <w:rFonts w:asciiTheme="majorBidi" w:hAnsiTheme="majorBidi" w:eastAsiaTheme="minorEastAsia" w:cstheme="majorBidi"/>
                <w:color w:val="000000" w:themeColor="text1"/>
                <w:kern w:val="2"/>
                <w14:textFill>
                  <w14:solidFill>
                    <w14:schemeClr w14:val="tx1"/>
                  </w14:solidFill>
                </w14:textFill>
              </w:rPr>
            </w:pPr>
            <w:r>
              <w:rPr>
                <w:rFonts w:asciiTheme="majorBidi" w:hAnsiTheme="majorBidi" w:eastAsiaTheme="minorEastAsia" w:cstheme="majorBidi"/>
                <w:color w:val="000000" w:themeColor="text1"/>
                <w:kern w:val="2"/>
                <w14:textFill>
                  <w14:solidFill>
                    <w14:schemeClr w14:val="tx1"/>
                  </w14:solidFill>
                </w14:textFill>
              </w:rPr>
              <w:t>为进一步了解项目所在地的大气环境，本次评价TVOC、TSP、臭气浓度引用《广东江丰精密制造有限公司显示面板及半导体设备高端金属材料和部件项目环境影响报告书》（批复文号：惠市环建〔2023〕27号）中委托广州中诺检测技术有限公司于</w:t>
            </w:r>
            <w:r>
              <w:rPr>
                <w:rFonts w:asciiTheme="majorBidi" w:hAnsiTheme="majorBidi" w:eastAsiaTheme="minorEastAsia" w:cstheme="majorBidi"/>
                <w:color w:val="000000" w:themeColor="text1"/>
                <w14:textFill>
                  <w14:solidFill>
                    <w14:schemeClr w14:val="tx1"/>
                  </w14:solidFill>
                </w14:textFill>
              </w:rPr>
              <w:t>2022年6月30日</w:t>
            </w:r>
            <w:r>
              <w:rPr>
                <w:rFonts w:asciiTheme="majorBidi" w:hAnsiTheme="majorBidi" w:eastAsiaTheme="minorEastAsia" w:cstheme="majorBidi"/>
                <w:color w:val="000000" w:themeColor="text1"/>
                <w:kern w:val="2"/>
                <w14:textFill>
                  <w14:solidFill>
                    <w14:schemeClr w14:val="tx1"/>
                  </w14:solidFill>
                </w14:textFill>
              </w:rPr>
              <w:t>-2022年7月6日对江丰项目厂址内G1的监测数据（报告编号：CNT202202310）。引用大气监测数据的监测点位位于本项目的西北面约263m，且引用大气监测数据时效性为3年内，因此，引用该监测数据是可行的。</w:t>
            </w:r>
          </w:p>
          <w:p w14:paraId="02AA3751">
            <w:pPr>
              <w:pStyle w:val="29"/>
              <w:rPr>
                <w:rFonts w:eastAsiaTheme="minorEastAsia"/>
                <w:kern w:val="2"/>
              </w:rPr>
            </w:pPr>
            <w:r>
              <w:drawing>
                <wp:anchor distT="0" distB="0" distL="114300" distR="114300" simplePos="0" relativeHeight="251660288" behindDoc="0" locked="0" layoutInCell="1" allowOverlap="1">
                  <wp:simplePos x="0" y="0"/>
                  <wp:positionH relativeFrom="column">
                    <wp:posOffset>4929505</wp:posOffset>
                  </wp:positionH>
                  <wp:positionV relativeFrom="paragraph">
                    <wp:posOffset>15875</wp:posOffset>
                  </wp:positionV>
                  <wp:extent cx="732790" cy="704215"/>
                  <wp:effectExtent l="19050" t="19050" r="10160" b="19685"/>
                  <wp:wrapNone/>
                  <wp:docPr id="472563717"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72563717" name="图片 1"/>
                          <pic:cNvPicPr>
                            <a:picLocks noChangeAspect="1"/>
                          </pic:cNvPicPr>
                        </pic:nvPicPr>
                        <pic:blipFill>
                          <a:blip r:embed="rId28">
                            <a:extLst>
                              <a:ext uri="{28A0092B-C50C-407E-A947-70E740481C1C}">
                                <a14:useLocalDpi xmlns:a14="http://schemas.microsoft.com/office/drawing/2010/main" val="0"/>
                              </a:ext>
                            </a:extLst>
                          </a:blip>
                          <a:stretch>
                            <a:fillRect/>
                          </a:stretch>
                        </pic:blipFill>
                        <pic:spPr>
                          <a:xfrm>
                            <a:off x="0" y="0"/>
                            <a:ext cx="732790" cy="704215"/>
                          </a:xfrm>
                          <a:prstGeom prst="rect">
                            <a:avLst/>
                          </a:prstGeom>
                          <a:ln>
                            <a:solidFill>
                              <a:schemeClr val="tx1"/>
                            </a:solidFill>
                          </a:ln>
                        </pic:spPr>
                      </pic:pic>
                    </a:graphicData>
                  </a:graphic>
                </wp:anchor>
              </w:drawing>
            </w:r>
            <w:r>
              <w:drawing>
                <wp:inline distT="0" distB="0" distL="0" distR="0">
                  <wp:extent cx="5636260" cy="3167380"/>
                  <wp:effectExtent l="19050" t="19050" r="21590" b="13970"/>
                  <wp:docPr id="634635208"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34635208" name="图片 1"/>
                          <pic:cNvPicPr>
                            <a:picLocks noChangeAspect="1"/>
                          </pic:cNvPicPr>
                        </pic:nvPicPr>
                        <pic:blipFill>
                          <a:blip r:embed="rId29"/>
                          <a:stretch>
                            <a:fillRect/>
                          </a:stretch>
                        </pic:blipFill>
                        <pic:spPr>
                          <a:xfrm>
                            <a:off x="0" y="0"/>
                            <a:ext cx="5636546" cy="3168000"/>
                          </a:xfrm>
                          <a:prstGeom prst="rect">
                            <a:avLst/>
                          </a:prstGeom>
                          <a:ln>
                            <a:solidFill>
                              <a:schemeClr val="tx1"/>
                            </a:solidFill>
                          </a:ln>
                        </pic:spPr>
                      </pic:pic>
                    </a:graphicData>
                  </a:graphic>
                </wp:inline>
              </w:drawing>
            </w:r>
          </w:p>
          <w:p w14:paraId="5718DE7D">
            <w:pPr>
              <w:pStyle w:val="11"/>
              <w:rPr>
                <w:bCs w:val="0"/>
              </w:rPr>
            </w:pPr>
            <w:r>
              <w:rPr>
                <w:bCs w:val="0"/>
              </w:rPr>
              <w:t>图3-2 环境空气质量监测点位相对位置图</w:t>
            </w:r>
          </w:p>
          <w:p w14:paraId="71241058">
            <w:pPr>
              <w:ind w:firstLine="480"/>
              <w:rPr>
                <w:rFonts w:asciiTheme="majorBidi" w:hAnsiTheme="majorBidi" w:cstheme="majorBidi"/>
                <w:color w:val="000000" w:themeColor="text1"/>
                <w14:textFill>
                  <w14:solidFill>
                    <w14:schemeClr w14:val="tx1"/>
                  </w14:solidFill>
                </w14:textFill>
              </w:rPr>
            </w:pPr>
          </w:p>
          <w:p w14:paraId="701C46DD">
            <w:pPr>
              <w:pStyle w:val="11"/>
              <w:keepNext/>
              <w:rPr>
                <w:bCs w:val="0"/>
              </w:rPr>
            </w:pPr>
            <w:r>
              <w:rPr>
                <w:bCs w:val="0"/>
              </w:rPr>
              <w:t>表3-1 环境空气质量现状监测结果一览表</w:t>
            </w:r>
          </w:p>
          <w:tbl>
            <w:tblPr>
              <w:tblStyle w:val="21"/>
              <w:tblW w:w="5000" w:type="pct"/>
              <w:tblInd w:w="0" w:type="dxa"/>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28" w:type="dxa"/>
                <w:bottom w:w="0" w:type="dxa"/>
                <w:right w:w="28" w:type="dxa"/>
              </w:tblCellMar>
            </w:tblPr>
            <w:tblGrid>
              <w:gridCol w:w="846"/>
              <w:gridCol w:w="1221"/>
              <w:gridCol w:w="1306"/>
              <w:gridCol w:w="1223"/>
              <w:gridCol w:w="1517"/>
              <w:gridCol w:w="1275"/>
              <w:gridCol w:w="936"/>
              <w:gridCol w:w="644"/>
            </w:tblGrid>
            <w:tr w14:paraId="00805CAA">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340" w:hRule="atLeast"/>
              </w:trPr>
              <w:tc>
                <w:tcPr>
                  <w:tcW w:w="471" w:type="pct"/>
                  <w:vAlign w:val="center"/>
                </w:tcPr>
                <w:p w14:paraId="07D77AE2">
                  <w:pPr>
                    <w:pStyle w:val="29"/>
                  </w:pPr>
                  <w:r>
                    <w:t>监测点位</w:t>
                  </w:r>
                </w:p>
              </w:tc>
              <w:tc>
                <w:tcPr>
                  <w:tcW w:w="681" w:type="pct"/>
                  <w:vAlign w:val="center"/>
                </w:tcPr>
                <w:p w14:paraId="7091E779">
                  <w:pPr>
                    <w:pStyle w:val="29"/>
                  </w:pPr>
                  <w:r>
                    <w:t>污染物</w:t>
                  </w:r>
                </w:p>
              </w:tc>
              <w:tc>
                <w:tcPr>
                  <w:tcW w:w="728" w:type="pct"/>
                  <w:vAlign w:val="center"/>
                </w:tcPr>
                <w:p w14:paraId="2869EFB7">
                  <w:pPr>
                    <w:pStyle w:val="29"/>
                  </w:pPr>
                  <w:r>
                    <w:t>平均时间</w:t>
                  </w:r>
                </w:p>
              </w:tc>
              <w:tc>
                <w:tcPr>
                  <w:tcW w:w="682" w:type="pct"/>
                  <w:vAlign w:val="center"/>
                </w:tcPr>
                <w:p w14:paraId="031E028C">
                  <w:pPr>
                    <w:pStyle w:val="29"/>
                  </w:pPr>
                  <w:r>
                    <w:t>评价标准（mg/m³）</w:t>
                  </w:r>
                </w:p>
              </w:tc>
              <w:tc>
                <w:tcPr>
                  <w:tcW w:w="846" w:type="pct"/>
                  <w:vAlign w:val="center"/>
                </w:tcPr>
                <w:p w14:paraId="315457C7">
                  <w:pPr>
                    <w:pStyle w:val="29"/>
                  </w:pPr>
                  <w:r>
                    <w:t>监测浓度范围（mg/m³）</w:t>
                  </w:r>
                </w:p>
              </w:tc>
              <w:tc>
                <w:tcPr>
                  <w:tcW w:w="711" w:type="pct"/>
                  <w:vAlign w:val="center"/>
                </w:tcPr>
                <w:p w14:paraId="3582A391">
                  <w:pPr>
                    <w:pStyle w:val="29"/>
                  </w:pPr>
                  <w:r>
                    <w:t>最大浓度占标率（%）</w:t>
                  </w:r>
                </w:p>
              </w:tc>
              <w:tc>
                <w:tcPr>
                  <w:tcW w:w="522" w:type="pct"/>
                  <w:vAlign w:val="center"/>
                </w:tcPr>
                <w:p w14:paraId="6FC9B0C3">
                  <w:pPr>
                    <w:pStyle w:val="29"/>
                  </w:pPr>
                  <w:r>
                    <w:t>超标率</w:t>
                  </w:r>
                </w:p>
                <w:p w14:paraId="278F26CC">
                  <w:pPr>
                    <w:pStyle w:val="29"/>
                  </w:pPr>
                  <w:r>
                    <w:t>（%）</w:t>
                  </w:r>
                </w:p>
              </w:tc>
              <w:tc>
                <w:tcPr>
                  <w:tcW w:w="359" w:type="pct"/>
                  <w:vAlign w:val="center"/>
                </w:tcPr>
                <w:p w14:paraId="39D020A0">
                  <w:pPr>
                    <w:pStyle w:val="29"/>
                  </w:pPr>
                  <w:r>
                    <w:t>达标情况</w:t>
                  </w:r>
                </w:p>
              </w:tc>
            </w:tr>
            <w:tr w14:paraId="1E3508C8">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340" w:hRule="atLeast"/>
              </w:trPr>
              <w:tc>
                <w:tcPr>
                  <w:tcW w:w="471" w:type="pct"/>
                  <w:vMerge w:val="restart"/>
                  <w:vAlign w:val="center"/>
                </w:tcPr>
                <w:p w14:paraId="576FA49F">
                  <w:pPr>
                    <w:pStyle w:val="29"/>
                  </w:pPr>
                  <w:r>
                    <w:t>G1江丰项目厂址内</w:t>
                  </w:r>
                </w:p>
              </w:tc>
              <w:tc>
                <w:tcPr>
                  <w:tcW w:w="681" w:type="pct"/>
                  <w:vAlign w:val="center"/>
                </w:tcPr>
                <w:p w14:paraId="710B50CF">
                  <w:pPr>
                    <w:pStyle w:val="29"/>
                  </w:pPr>
                  <w:r>
                    <w:t>TVOC</w:t>
                  </w:r>
                </w:p>
              </w:tc>
              <w:tc>
                <w:tcPr>
                  <w:tcW w:w="728" w:type="pct"/>
                  <w:vAlign w:val="center"/>
                </w:tcPr>
                <w:p w14:paraId="5A2813D4">
                  <w:pPr>
                    <w:pStyle w:val="29"/>
                  </w:pPr>
                  <w:r>
                    <w:t>8小时均值</w:t>
                  </w:r>
                </w:p>
              </w:tc>
              <w:tc>
                <w:tcPr>
                  <w:tcW w:w="682" w:type="pct"/>
                  <w:vAlign w:val="center"/>
                </w:tcPr>
                <w:p w14:paraId="4E8D84F4">
                  <w:pPr>
                    <w:pStyle w:val="29"/>
                  </w:pPr>
                  <w:r>
                    <w:t>0.6</w:t>
                  </w:r>
                </w:p>
              </w:tc>
              <w:tc>
                <w:tcPr>
                  <w:tcW w:w="846" w:type="pct"/>
                  <w:vAlign w:val="center"/>
                </w:tcPr>
                <w:p w14:paraId="263275C9">
                  <w:pPr>
                    <w:pStyle w:val="29"/>
                  </w:pPr>
                  <w:r>
                    <w:t>0.280-0.392</w:t>
                  </w:r>
                </w:p>
              </w:tc>
              <w:tc>
                <w:tcPr>
                  <w:tcW w:w="711" w:type="pct"/>
                  <w:vAlign w:val="center"/>
                </w:tcPr>
                <w:p w14:paraId="5F712E71">
                  <w:pPr>
                    <w:pStyle w:val="29"/>
                  </w:pPr>
                  <w:r>
                    <w:t>65.3</w:t>
                  </w:r>
                </w:p>
              </w:tc>
              <w:tc>
                <w:tcPr>
                  <w:tcW w:w="522" w:type="pct"/>
                  <w:vAlign w:val="center"/>
                </w:tcPr>
                <w:p w14:paraId="140F9B11">
                  <w:pPr>
                    <w:pStyle w:val="29"/>
                  </w:pPr>
                  <w:r>
                    <w:t>0</w:t>
                  </w:r>
                </w:p>
              </w:tc>
              <w:tc>
                <w:tcPr>
                  <w:tcW w:w="359" w:type="pct"/>
                  <w:vAlign w:val="center"/>
                </w:tcPr>
                <w:p w14:paraId="35BC91E0">
                  <w:pPr>
                    <w:pStyle w:val="29"/>
                  </w:pPr>
                  <w:r>
                    <w:t>达标</w:t>
                  </w:r>
                </w:p>
              </w:tc>
            </w:tr>
            <w:tr w14:paraId="7BA4C5A9">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340" w:hRule="atLeast"/>
              </w:trPr>
              <w:tc>
                <w:tcPr>
                  <w:tcW w:w="471" w:type="pct"/>
                  <w:vMerge w:val="continue"/>
                  <w:vAlign w:val="center"/>
                </w:tcPr>
                <w:p w14:paraId="141D6BEC">
                  <w:pPr>
                    <w:pStyle w:val="29"/>
                  </w:pPr>
                </w:p>
              </w:tc>
              <w:tc>
                <w:tcPr>
                  <w:tcW w:w="681" w:type="pct"/>
                  <w:vAlign w:val="center"/>
                </w:tcPr>
                <w:p w14:paraId="47C1EDD0">
                  <w:pPr>
                    <w:pStyle w:val="29"/>
                    <w:rPr>
                      <w:color w:val="EE0000"/>
                    </w:rPr>
                  </w:pPr>
                  <w:r>
                    <w:rPr>
                      <w:rFonts w:hint="eastAsia"/>
                      <w:color w:val="EE0000"/>
                    </w:rPr>
                    <w:t>非甲烷总烃</w:t>
                  </w:r>
                </w:p>
              </w:tc>
              <w:tc>
                <w:tcPr>
                  <w:tcW w:w="728" w:type="pct"/>
                  <w:vAlign w:val="center"/>
                </w:tcPr>
                <w:p w14:paraId="75CD1D6D">
                  <w:pPr>
                    <w:pStyle w:val="29"/>
                    <w:rPr>
                      <w:color w:val="EE0000"/>
                    </w:rPr>
                  </w:pPr>
                  <w:r>
                    <w:rPr>
                      <w:rFonts w:hint="eastAsia"/>
                      <w:color w:val="EE0000"/>
                    </w:rPr>
                    <w:t>24小时</w:t>
                  </w:r>
                </w:p>
              </w:tc>
              <w:tc>
                <w:tcPr>
                  <w:tcW w:w="682" w:type="pct"/>
                  <w:vAlign w:val="center"/>
                </w:tcPr>
                <w:p w14:paraId="58EEC8C5">
                  <w:pPr>
                    <w:pStyle w:val="29"/>
                    <w:rPr>
                      <w:color w:val="EE0000"/>
                    </w:rPr>
                  </w:pPr>
                  <w:r>
                    <w:rPr>
                      <w:rFonts w:hint="eastAsia"/>
                      <w:color w:val="EE0000"/>
                    </w:rPr>
                    <w:t>2.0</w:t>
                  </w:r>
                </w:p>
              </w:tc>
              <w:tc>
                <w:tcPr>
                  <w:tcW w:w="846" w:type="pct"/>
                  <w:vAlign w:val="center"/>
                </w:tcPr>
                <w:p w14:paraId="5B99163D">
                  <w:pPr>
                    <w:pStyle w:val="29"/>
                    <w:rPr>
                      <w:color w:val="EE0000"/>
                    </w:rPr>
                  </w:pPr>
                  <w:r>
                    <w:rPr>
                      <w:rFonts w:hint="eastAsia"/>
                      <w:color w:val="EE0000"/>
                    </w:rPr>
                    <w:t>0.28-0.52</w:t>
                  </w:r>
                </w:p>
              </w:tc>
              <w:tc>
                <w:tcPr>
                  <w:tcW w:w="711" w:type="pct"/>
                  <w:vAlign w:val="center"/>
                </w:tcPr>
                <w:p w14:paraId="1AF718D9">
                  <w:pPr>
                    <w:pStyle w:val="29"/>
                    <w:rPr>
                      <w:color w:val="EE0000"/>
                    </w:rPr>
                  </w:pPr>
                  <w:r>
                    <w:rPr>
                      <w:rFonts w:hint="eastAsia"/>
                      <w:color w:val="EE0000"/>
                    </w:rPr>
                    <w:t>26.0</w:t>
                  </w:r>
                </w:p>
              </w:tc>
              <w:tc>
                <w:tcPr>
                  <w:tcW w:w="522" w:type="pct"/>
                  <w:vAlign w:val="center"/>
                </w:tcPr>
                <w:p w14:paraId="14810BE2">
                  <w:pPr>
                    <w:pStyle w:val="29"/>
                    <w:rPr>
                      <w:color w:val="EE0000"/>
                    </w:rPr>
                  </w:pPr>
                  <w:r>
                    <w:rPr>
                      <w:rFonts w:hint="eastAsia"/>
                      <w:color w:val="EE0000"/>
                    </w:rPr>
                    <w:t>0</w:t>
                  </w:r>
                </w:p>
              </w:tc>
              <w:tc>
                <w:tcPr>
                  <w:tcW w:w="359" w:type="pct"/>
                  <w:vAlign w:val="center"/>
                </w:tcPr>
                <w:p w14:paraId="35B1A8C8">
                  <w:pPr>
                    <w:pStyle w:val="29"/>
                    <w:rPr>
                      <w:color w:val="EE0000"/>
                    </w:rPr>
                  </w:pPr>
                  <w:r>
                    <w:rPr>
                      <w:rFonts w:hint="eastAsia"/>
                      <w:color w:val="EE0000"/>
                    </w:rPr>
                    <w:t>达标</w:t>
                  </w:r>
                </w:p>
              </w:tc>
            </w:tr>
            <w:tr w14:paraId="17CC7C21">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340" w:hRule="atLeast"/>
              </w:trPr>
              <w:tc>
                <w:tcPr>
                  <w:tcW w:w="471" w:type="pct"/>
                  <w:vMerge w:val="continue"/>
                  <w:vAlign w:val="center"/>
                </w:tcPr>
                <w:p w14:paraId="739EA24A">
                  <w:pPr>
                    <w:pStyle w:val="29"/>
                  </w:pPr>
                </w:p>
              </w:tc>
              <w:tc>
                <w:tcPr>
                  <w:tcW w:w="681" w:type="pct"/>
                  <w:vAlign w:val="center"/>
                </w:tcPr>
                <w:p w14:paraId="27C4F595">
                  <w:pPr>
                    <w:pStyle w:val="29"/>
                  </w:pPr>
                  <w:r>
                    <w:t>TSP</w:t>
                  </w:r>
                </w:p>
              </w:tc>
              <w:tc>
                <w:tcPr>
                  <w:tcW w:w="728" w:type="pct"/>
                  <w:vAlign w:val="center"/>
                </w:tcPr>
                <w:p w14:paraId="4A0E22FB">
                  <w:pPr>
                    <w:pStyle w:val="29"/>
                  </w:pPr>
                  <w:r>
                    <w:t>24小时均值</w:t>
                  </w:r>
                </w:p>
              </w:tc>
              <w:tc>
                <w:tcPr>
                  <w:tcW w:w="682" w:type="pct"/>
                  <w:vAlign w:val="center"/>
                </w:tcPr>
                <w:p w14:paraId="1B60C676">
                  <w:pPr>
                    <w:pStyle w:val="29"/>
                  </w:pPr>
                  <w:r>
                    <w:t>0.3</w:t>
                  </w:r>
                </w:p>
              </w:tc>
              <w:tc>
                <w:tcPr>
                  <w:tcW w:w="846" w:type="pct"/>
                  <w:vAlign w:val="center"/>
                </w:tcPr>
                <w:p w14:paraId="6AAA5716">
                  <w:pPr>
                    <w:pStyle w:val="29"/>
                  </w:pPr>
                  <w:r>
                    <w:t>0.108-0.170</w:t>
                  </w:r>
                </w:p>
              </w:tc>
              <w:tc>
                <w:tcPr>
                  <w:tcW w:w="711" w:type="pct"/>
                  <w:vAlign w:val="center"/>
                </w:tcPr>
                <w:p w14:paraId="4147D421">
                  <w:pPr>
                    <w:pStyle w:val="29"/>
                  </w:pPr>
                  <w:r>
                    <w:t>56.7</w:t>
                  </w:r>
                </w:p>
              </w:tc>
              <w:tc>
                <w:tcPr>
                  <w:tcW w:w="522" w:type="pct"/>
                  <w:vAlign w:val="center"/>
                </w:tcPr>
                <w:p w14:paraId="7BA1BF91">
                  <w:pPr>
                    <w:pStyle w:val="29"/>
                  </w:pPr>
                  <w:r>
                    <w:t>0</w:t>
                  </w:r>
                </w:p>
              </w:tc>
              <w:tc>
                <w:tcPr>
                  <w:tcW w:w="359" w:type="pct"/>
                  <w:vAlign w:val="center"/>
                </w:tcPr>
                <w:p w14:paraId="073F05C1">
                  <w:pPr>
                    <w:pStyle w:val="29"/>
                  </w:pPr>
                  <w:r>
                    <w:t>达标</w:t>
                  </w:r>
                </w:p>
              </w:tc>
            </w:tr>
            <w:tr w14:paraId="55676110">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340" w:hRule="atLeast"/>
              </w:trPr>
              <w:tc>
                <w:tcPr>
                  <w:tcW w:w="471" w:type="pct"/>
                  <w:vMerge w:val="continue"/>
                  <w:vAlign w:val="center"/>
                </w:tcPr>
                <w:p w14:paraId="5E2B523A">
                  <w:pPr>
                    <w:pStyle w:val="29"/>
                  </w:pPr>
                </w:p>
              </w:tc>
              <w:tc>
                <w:tcPr>
                  <w:tcW w:w="681" w:type="pct"/>
                  <w:vAlign w:val="center"/>
                </w:tcPr>
                <w:p w14:paraId="3EFE65EB">
                  <w:pPr>
                    <w:pStyle w:val="29"/>
                  </w:pPr>
                  <w:r>
                    <w:t>臭气浓度</w:t>
                  </w:r>
                </w:p>
              </w:tc>
              <w:tc>
                <w:tcPr>
                  <w:tcW w:w="728" w:type="pct"/>
                  <w:vAlign w:val="center"/>
                </w:tcPr>
                <w:p w14:paraId="4098C2F6">
                  <w:pPr>
                    <w:pStyle w:val="29"/>
                  </w:pPr>
                  <w:r>
                    <w:t>/</w:t>
                  </w:r>
                </w:p>
              </w:tc>
              <w:tc>
                <w:tcPr>
                  <w:tcW w:w="682" w:type="pct"/>
                  <w:vAlign w:val="center"/>
                </w:tcPr>
                <w:p w14:paraId="3F7C21FF">
                  <w:pPr>
                    <w:pStyle w:val="29"/>
                  </w:pPr>
                  <w:r>
                    <w:t>20</w:t>
                  </w:r>
                </w:p>
              </w:tc>
              <w:tc>
                <w:tcPr>
                  <w:tcW w:w="846" w:type="pct"/>
                  <w:vAlign w:val="center"/>
                </w:tcPr>
                <w:p w14:paraId="18310A2F">
                  <w:pPr>
                    <w:pStyle w:val="29"/>
                  </w:pPr>
                  <w:r>
                    <w:t>&lt;10</w:t>
                  </w:r>
                </w:p>
              </w:tc>
              <w:tc>
                <w:tcPr>
                  <w:tcW w:w="711" w:type="pct"/>
                  <w:vAlign w:val="center"/>
                </w:tcPr>
                <w:p w14:paraId="2C6058AF">
                  <w:pPr>
                    <w:pStyle w:val="29"/>
                  </w:pPr>
                  <w:r>
                    <w:t>0</w:t>
                  </w:r>
                </w:p>
              </w:tc>
              <w:tc>
                <w:tcPr>
                  <w:tcW w:w="522" w:type="pct"/>
                  <w:vAlign w:val="center"/>
                </w:tcPr>
                <w:p w14:paraId="0737007A">
                  <w:pPr>
                    <w:pStyle w:val="29"/>
                  </w:pPr>
                  <w:r>
                    <w:t>0</w:t>
                  </w:r>
                </w:p>
              </w:tc>
              <w:tc>
                <w:tcPr>
                  <w:tcW w:w="359" w:type="pct"/>
                  <w:vAlign w:val="center"/>
                </w:tcPr>
                <w:p w14:paraId="641A060F">
                  <w:pPr>
                    <w:pStyle w:val="29"/>
                  </w:pPr>
                  <w:r>
                    <w:t>达标</w:t>
                  </w:r>
                </w:p>
              </w:tc>
            </w:tr>
          </w:tbl>
          <w:p w14:paraId="1AC2CE9D">
            <w:pPr>
              <w:adjustRightInd/>
              <w:snapToGrid/>
              <w:ind w:firstLine="480"/>
              <w:rPr>
                <w:rFonts w:asciiTheme="majorBidi" w:hAnsiTheme="majorBidi" w:eastAsiaTheme="minorEastAsia" w:cstheme="majorBidi"/>
                <w:color w:val="000000" w:themeColor="text1"/>
                <w:szCs w:val="21"/>
                <w14:textFill>
                  <w14:solidFill>
                    <w14:schemeClr w14:val="tx1"/>
                  </w14:solidFill>
                </w14:textFill>
              </w:rPr>
            </w:pPr>
            <w:r>
              <w:rPr>
                <w:rFonts w:asciiTheme="majorBidi" w:hAnsiTheme="majorBidi" w:eastAsiaTheme="minorEastAsia" w:cstheme="majorBidi"/>
                <w:color w:val="000000" w:themeColor="text1"/>
                <w:szCs w:val="21"/>
                <w14:textFill>
                  <w14:solidFill>
                    <w14:schemeClr w14:val="tx1"/>
                  </w14:solidFill>
                </w14:textFill>
              </w:rPr>
              <w:t>根据上面的监测结果，TVOC满足《环境影响评价技术导则大气环境》（HJ2.2-2018）附录D</w:t>
            </w:r>
            <w:r>
              <w:rPr>
                <w:rFonts w:ascii="宋体" w:hAnsi="宋体" w:eastAsiaTheme="minorEastAsia" w:cstheme="majorBidi"/>
                <w:color w:val="000000" w:themeColor="text1"/>
                <w:szCs w:val="21"/>
                <w14:textFill>
                  <w14:solidFill>
                    <w14:schemeClr w14:val="tx1"/>
                  </w14:solidFill>
                </w14:textFill>
              </w:rPr>
              <w:t>“</w:t>
            </w:r>
            <w:r>
              <w:rPr>
                <w:rFonts w:asciiTheme="majorBidi" w:hAnsiTheme="majorBidi" w:eastAsiaTheme="minorEastAsia" w:cstheme="majorBidi"/>
                <w:color w:val="000000" w:themeColor="text1"/>
                <w:szCs w:val="21"/>
                <w14:textFill>
                  <w14:solidFill>
                    <w14:schemeClr w14:val="tx1"/>
                  </w14:solidFill>
                </w14:textFill>
              </w:rPr>
              <w:t>表D.1</w:t>
            </w:r>
            <w:r>
              <w:rPr>
                <w:rFonts w:ascii="宋体" w:hAnsi="宋体" w:eastAsiaTheme="minorEastAsia" w:cstheme="majorBidi"/>
                <w:color w:val="000000" w:themeColor="text1"/>
                <w:szCs w:val="21"/>
                <w14:textFill>
                  <w14:solidFill>
                    <w14:schemeClr w14:val="tx1"/>
                  </w14:solidFill>
                </w14:textFill>
              </w:rPr>
              <w:t>”</w:t>
            </w:r>
            <w:r>
              <w:rPr>
                <w:rFonts w:asciiTheme="majorBidi" w:hAnsiTheme="majorBidi" w:eastAsiaTheme="minorEastAsia" w:cstheme="majorBidi"/>
                <w:color w:val="000000" w:themeColor="text1"/>
                <w:szCs w:val="21"/>
                <w14:textFill>
                  <w14:solidFill>
                    <w14:schemeClr w14:val="tx1"/>
                  </w14:solidFill>
                </w14:textFill>
              </w:rPr>
              <w:t>的参考值要求。TSP符合《环境空气质量标准》（GB3095-2012）及2018年修改单中二级标准。</w:t>
            </w:r>
            <w:r>
              <w:rPr>
                <w:rFonts w:hint="eastAsia" w:asciiTheme="majorBidi" w:hAnsiTheme="majorBidi" w:eastAsiaTheme="minorEastAsia" w:cstheme="majorBidi"/>
                <w:color w:val="EE0000"/>
                <w:szCs w:val="21"/>
              </w:rPr>
              <w:t>非甲烷总烃满足《大气污染物综合排放标准详解》（国家环境保护局科技标准司）中参考值的要求</w:t>
            </w:r>
            <w:r>
              <w:rPr>
                <w:rFonts w:hint="eastAsia" w:asciiTheme="majorBidi" w:hAnsiTheme="majorBidi" w:eastAsiaTheme="minorEastAsia" w:cstheme="majorBidi"/>
                <w:color w:val="000000" w:themeColor="text1"/>
                <w:szCs w:val="21"/>
                <w14:textFill>
                  <w14:solidFill>
                    <w14:schemeClr w14:val="tx1"/>
                  </w14:solidFill>
                </w14:textFill>
              </w:rPr>
              <w:t>，</w:t>
            </w:r>
            <w:r>
              <w:rPr>
                <w:rFonts w:asciiTheme="majorBidi" w:hAnsiTheme="majorBidi" w:eastAsiaTheme="minorEastAsia" w:cstheme="majorBidi"/>
                <w:color w:val="000000" w:themeColor="text1"/>
                <w:szCs w:val="21"/>
                <w14:textFill>
                  <w14:solidFill>
                    <w14:schemeClr w14:val="tx1"/>
                  </w14:solidFill>
                </w14:textFill>
              </w:rPr>
              <w:t>臭气浓度满足《恶臭污染物排放标准》(GB14554-93)中新建二级厂界标准值。项目周边空气质量满足二类功能区及相应标准的要求，总体环境空气质量良好。</w:t>
            </w:r>
          </w:p>
          <w:p w14:paraId="3E7D2198">
            <w:pPr>
              <w:adjustRightInd/>
              <w:snapToGrid/>
              <w:ind w:firstLine="482"/>
              <w:rPr>
                <w:rFonts w:asciiTheme="majorBidi" w:hAnsiTheme="majorBidi" w:eastAsiaTheme="minorEastAsia" w:cstheme="majorBidi"/>
                <w:b/>
                <w:bCs/>
                <w:color w:val="000000" w:themeColor="text1"/>
                <w:szCs w:val="21"/>
                <w14:textFill>
                  <w14:solidFill>
                    <w14:schemeClr w14:val="tx1"/>
                  </w14:solidFill>
                </w14:textFill>
              </w:rPr>
            </w:pPr>
            <w:r>
              <w:rPr>
                <w:rFonts w:asciiTheme="majorBidi" w:hAnsiTheme="majorBidi" w:eastAsiaTheme="minorEastAsia" w:cstheme="majorBidi"/>
                <w:b/>
                <w:bCs/>
                <w:color w:val="000000" w:themeColor="text1"/>
                <w:szCs w:val="21"/>
                <w14:textFill>
                  <w14:solidFill>
                    <w14:schemeClr w14:val="tx1"/>
                  </w14:solidFill>
                </w14:textFill>
              </w:rPr>
              <w:t>（二）地表水环境</w:t>
            </w:r>
          </w:p>
          <w:p w14:paraId="617EA5C6">
            <w:pPr>
              <w:ind w:firstLine="480"/>
              <w:rPr>
                <w:rFonts w:asciiTheme="majorBidi" w:hAnsiTheme="majorBidi" w:eastAsiaTheme="minorEastAsia" w:cstheme="majorBidi"/>
                <w:color w:val="000000" w:themeColor="text1"/>
                <w14:textFill>
                  <w14:solidFill>
                    <w14:schemeClr w14:val="tx1"/>
                  </w14:solidFill>
                </w14:textFill>
              </w:rPr>
            </w:pPr>
            <w:r>
              <w:rPr>
                <w:rFonts w:asciiTheme="majorBidi" w:hAnsiTheme="majorBidi" w:eastAsiaTheme="minorEastAsia" w:cstheme="majorBidi"/>
                <w:color w:val="000000" w:themeColor="text1"/>
                <w14:textFill>
                  <w14:solidFill>
                    <w14:schemeClr w14:val="tx1"/>
                  </w14:solidFill>
                </w14:textFill>
              </w:rPr>
              <w:t>项目生活污水经三级化粪池预处理后通过市政管网汇入博罗县园洲镇第五生活污水处理厂处理，最终汇入园洲中心排渠。</w:t>
            </w:r>
          </w:p>
          <w:p w14:paraId="52AA89CD">
            <w:pPr>
              <w:ind w:firstLine="480"/>
              <w:rPr>
                <w:rFonts w:asciiTheme="majorBidi" w:hAnsiTheme="majorBidi" w:eastAsiaTheme="minorEastAsia" w:cstheme="majorBidi"/>
                <w:color w:val="000000" w:themeColor="text1"/>
                <w14:textFill>
                  <w14:solidFill>
                    <w14:schemeClr w14:val="tx1"/>
                  </w14:solidFill>
                </w14:textFill>
              </w:rPr>
            </w:pPr>
            <w:r>
              <w:rPr>
                <w:rFonts w:asciiTheme="majorBidi" w:hAnsiTheme="majorBidi" w:eastAsiaTheme="minorEastAsia" w:cstheme="majorBidi"/>
                <w:color w:val="000000" w:themeColor="text1"/>
                <w14:textFill>
                  <w14:solidFill>
                    <w14:schemeClr w14:val="tx1"/>
                  </w14:solidFill>
                </w14:textFill>
              </w:rPr>
              <w:t>本评价水环境质量现状引用《惠州市源茂环保科技发展有限公司改扩建项目》</w:t>
            </w:r>
            <w:r>
              <w:rPr>
                <w:rFonts w:hint="eastAsia" w:asciiTheme="majorBidi" w:hAnsiTheme="majorBidi" w:eastAsiaTheme="minorEastAsia" w:cstheme="majorBidi"/>
                <w:color w:val="000000" w:themeColor="text1"/>
                <w14:textFill>
                  <w14:solidFill>
                    <w14:schemeClr w14:val="tx1"/>
                  </w14:solidFill>
                </w14:textFill>
              </w:rPr>
              <w:t>（</w:t>
            </w:r>
            <w:r>
              <w:rPr>
                <w:rFonts w:hint="eastAsia" w:asciiTheme="majorBidi" w:hAnsiTheme="majorBidi" w:eastAsiaTheme="minorEastAsia" w:cstheme="majorBidi"/>
                <w:color w:val="EE0000"/>
              </w:rPr>
              <w:t>惠市环建〔2024〕41号</w:t>
            </w:r>
            <w:r>
              <w:rPr>
                <w:rFonts w:hint="eastAsia" w:asciiTheme="majorBidi" w:hAnsiTheme="majorBidi" w:eastAsiaTheme="minorEastAsia" w:cstheme="majorBidi"/>
                <w:color w:val="000000" w:themeColor="text1"/>
                <w14:textFill>
                  <w14:solidFill>
                    <w14:schemeClr w14:val="tx1"/>
                  </w14:solidFill>
                </w14:textFill>
              </w:rPr>
              <w:t>）</w:t>
            </w:r>
            <w:r>
              <w:rPr>
                <w:rFonts w:asciiTheme="majorBidi" w:hAnsiTheme="majorBidi" w:eastAsiaTheme="minorEastAsia" w:cstheme="majorBidi"/>
                <w:color w:val="000000" w:themeColor="text1"/>
                <w14:textFill>
                  <w14:solidFill>
                    <w14:schemeClr w14:val="tx1"/>
                  </w14:solidFill>
                </w14:textFill>
              </w:rPr>
              <w:t>中委托广东三正检测技术有限公司对园洲镇中心排渠的监测数据（附件9，报告编号：SZT221939G1），W1、W2每个断面2022年11月19日~21日连续监测3天，每天1次。引用的地表水监测数据时效性在3年内，因此，引用该监测数据是可行的。水环境质量监测数据见下表。</w:t>
            </w:r>
          </w:p>
          <w:p w14:paraId="73755463">
            <w:pPr>
              <w:pStyle w:val="11"/>
              <w:rPr>
                <w:bCs w:val="0"/>
              </w:rPr>
            </w:pPr>
            <w:r>
              <w:rPr>
                <w:bCs w:val="0"/>
              </w:rPr>
              <w:t>表3-2 水环境监测断面设置</w:t>
            </w:r>
          </w:p>
          <w:tbl>
            <w:tblPr>
              <w:tblStyle w:val="21"/>
              <w:tblW w:w="4995" w:type="pct"/>
              <w:tblInd w:w="0" w:type="dxa"/>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28" w:type="dxa"/>
                <w:bottom w:w="0" w:type="dxa"/>
                <w:right w:w="28" w:type="dxa"/>
              </w:tblCellMar>
            </w:tblPr>
            <w:tblGrid>
              <w:gridCol w:w="929"/>
              <w:gridCol w:w="987"/>
              <w:gridCol w:w="2991"/>
              <w:gridCol w:w="2380"/>
              <w:gridCol w:w="1672"/>
            </w:tblGrid>
            <w:tr w14:paraId="2F933059">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340" w:hRule="atLeast"/>
              </w:trPr>
              <w:tc>
                <w:tcPr>
                  <w:tcW w:w="519" w:type="pct"/>
                  <w:vAlign w:val="center"/>
                </w:tcPr>
                <w:p w14:paraId="77334EC6">
                  <w:pPr>
                    <w:pStyle w:val="29"/>
                  </w:pPr>
                  <w:r>
                    <w:t>河流</w:t>
                  </w:r>
                </w:p>
              </w:tc>
              <w:tc>
                <w:tcPr>
                  <w:tcW w:w="551" w:type="pct"/>
                  <w:vAlign w:val="center"/>
                </w:tcPr>
                <w:p w14:paraId="06620907">
                  <w:pPr>
                    <w:pStyle w:val="29"/>
                  </w:pPr>
                  <w:r>
                    <w:t>编号</w:t>
                  </w:r>
                </w:p>
              </w:tc>
              <w:tc>
                <w:tcPr>
                  <w:tcW w:w="1668" w:type="pct"/>
                  <w:vAlign w:val="center"/>
                </w:tcPr>
                <w:p w14:paraId="7A011832">
                  <w:pPr>
                    <w:pStyle w:val="29"/>
                  </w:pPr>
                  <w:r>
                    <w:t>断面位置</w:t>
                  </w:r>
                </w:p>
              </w:tc>
              <w:tc>
                <w:tcPr>
                  <w:tcW w:w="1327" w:type="pct"/>
                  <w:vAlign w:val="center"/>
                </w:tcPr>
                <w:p w14:paraId="170A4162">
                  <w:pPr>
                    <w:pStyle w:val="29"/>
                  </w:pPr>
                  <w:r>
                    <w:t>采样点经纬度</w:t>
                  </w:r>
                </w:p>
              </w:tc>
              <w:tc>
                <w:tcPr>
                  <w:tcW w:w="933" w:type="pct"/>
                  <w:vAlign w:val="center"/>
                </w:tcPr>
                <w:p w14:paraId="7F7B12F5">
                  <w:pPr>
                    <w:pStyle w:val="29"/>
                  </w:pPr>
                  <w:r>
                    <w:t>水质目标</w:t>
                  </w:r>
                </w:p>
              </w:tc>
            </w:tr>
            <w:tr w14:paraId="492E4D89">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340" w:hRule="atLeast"/>
              </w:trPr>
              <w:tc>
                <w:tcPr>
                  <w:tcW w:w="519" w:type="pct"/>
                  <w:vMerge w:val="restart"/>
                  <w:vAlign w:val="center"/>
                </w:tcPr>
                <w:p w14:paraId="3CB29D2D">
                  <w:pPr>
                    <w:pStyle w:val="29"/>
                  </w:pPr>
                  <w:r>
                    <w:t>园洲镇中心排渠</w:t>
                  </w:r>
                </w:p>
              </w:tc>
              <w:tc>
                <w:tcPr>
                  <w:tcW w:w="551" w:type="pct"/>
                  <w:vAlign w:val="center"/>
                </w:tcPr>
                <w:p w14:paraId="2B448ED5">
                  <w:pPr>
                    <w:pStyle w:val="29"/>
                  </w:pPr>
                  <w:r>
                    <w:t>W1</w:t>
                  </w:r>
                </w:p>
              </w:tc>
              <w:tc>
                <w:tcPr>
                  <w:tcW w:w="1668" w:type="pct"/>
                  <w:vAlign w:val="center"/>
                </w:tcPr>
                <w:p w14:paraId="00283FCC">
                  <w:pPr>
                    <w:pStyle w:val="29"/>
                  </w:pPr>
                  <w:r>
                    <w:t>园洲镇第五污水处理厂排污口中心排渠上游500m</w:t>
                  </w:r>
                </w:p>
              </w:tc>
              <w:tc>
                <w:tcPr>
                  <w:tcW w:w="1327" w:type="pct"/>
                  <w:vAlign w:val="center"/>
                </w:tcPr>
                <w:p w14:paraId="2324345A">
                  <w:pPr>
                    <w:pStyle w:val="29"/>
                  </w:pPr>
                  <w:r>
                    <w:t>E：113°59′19.56</w:t>
                  </w:r>
                </w:p>
                <w:p w14:paraId="3EF91FDD">
                  <w:pPr>
                    <w:pStyle w:val="29"/>
                  </w:pPr>
                  <w:r>
                    <w:t>N：23°07′44.54″</w:t>
                  </w:r>
                </w:p>
              </w:tc>
              <w:tc>
                <w:tcPr>
                  <w:tcW w:w="933" w:type="pct"/>
                  <w:vMerge w:val="restart"/>
                  <w:vAlign w:val="center"/>
                </w:tcPr>
                <w:p w14:paraId="764827DD">
                  <w:pPr>
                    <w:pStyle w:val="29"/>
                  </w:pPr>
                  <w:r>
                    <w:t>Ⅴ类</w:t>
                  </w:r>
                </w:p>
              </w:tc>
            </w:tr>
            <w:tr w14:paraId="28DFBBC2">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340" w:hRule="atLeast"/>
              </w:trPr>
              <w:tc>
                <w:tcPr>
                  <w:tcW w:w="519" w:type="pct"/>
                  <w:vMerge w:val="continue"/>
                  <w:vAlign w:val="center"/>
                </w:tcPr>
                <w:p w14:paraId="10614B2D">
                  <w:pPr>
                    <w:pStyle w:val="29"/>
                  </w:pPr>
                </w:p>
              </w:tc>
              <w:tc>
                <w:tcPr>
                  <w:tcW w:w="551" w:type="pct"/>
                  <w:vAlign w:val="center"/>
                </w:tcPr>
                <w:p w14:paraId="7F8DBEFB">
                  <w:pPr>
                    <w:pStyle w:val="29"/>
                  </w:pPr>
                  <w:r>
                    <w:t>W2</w:t>
                  </w:r>
                </w:p>
              </w:tc>
              <w:tc>
                <w:tcPr>
                  <w:tcW w:w="1668" w:type="pct"/>
                  <w:vAlign w:val="center"/>
                </w:tcPr>
                <w:p w14:paraId="7BE4A7E1">
                  <w:pPr>
                    <w:pStyle w:val="29"/>
                  </w:pPr>
                  <w:r>
                    <w:t>园洲镇第五污水处理厂排污口中心排渠下游2400m</w:t>
                  </w:r>
                </w:p>
              </w:tc>
              <w:tc>
                <w:tcPr>
                  <w:tcW w:w="1327" w:type="pct"/>
                  <w:vAlign w:val="center"/>
                </w:tcPr>
                <w:p w14:paraId="0E0956F5">
                  <w:pPr>
                    <w:pStyle w:val="29"/>
                  </w:pPr>
                  <w:r>
                    <w:t>E：113°57′44.15″</w:t>
                  </w:r>
                </w:p>
                <w:p w14:paraId="17599DFE">
                  <w:pPr>
                    <w:pStyle w:val="29"/>
                  </w:pPr>
                  <w:r>
                    <w:t>N：23°07′56.27″</w:t>
                  </w:r>
                </w:p>
              </w:tc>
              <w:tc>
                <w:tcPr>
                  <w:tcW w:w="933" w:type="pct"/>
                  <w:vMerge w:val="continue"/>
                  <w:vAlign w:val="center"/>
                </w:tcPr>
                <w:p w14:paraId="640EDA76">
                  <w:pPr>
                    <w:pStyle w:val="29"/>
                  </w:pPr>
                </w:p>
              </w:tc>
            </w:tr>
          </w:tbl>
          <w:p w14:paraId="130D994D">
            <w:pPr>
              <w:pStyle w:val="29"/>
              <w:rPr>
                <w:rFonts w:eastAsiaTheme="minorEastAsia"/>
                <w:bCs/>
                <w:kern w:val="2"/>
              </w:rPr>
            </w:pPr>
          </w:p>
          <w:p w14:paraId="1DD9FC6C">
            <w:pPr>
              <w:pStyle w:val="29"/>
              <w:rPr>
                <w:rFonts w:eastAsiaTheme="minorEastAsia"/>
                <w:bCs/>
                <w:kern w:val="2"/>
              </w:rPr>
            </w:pPr>
            <w:r>
              <w:drawing>
                <wp:anchor distT="0" distB="0" distL="114300" distR="114300" simplePos="0" relativeHeight="251661312" behindDoc="0" locked="0" layoutInCell="1" allowOverlap="1">
                  <wp:simplePos x="0" y="0"/>
                  <wp:positionH relativeFrom="column">
                    <wp:posOffset>123825</wp:posOffset>
                  </wp:positionH>
                  <wp:positionV relativeFrom="paragraph">
                    <wp:posOffset>-2540</wp:posOffset>
                  </wp:positionV>
                  <wp:extent cx="732790" cy="704215"/>
                  <wp:effectExtent l="19050" t="19050" r="10160" b="19685"/>
                  <wp:wrapNone/>
                  <wp:docPr id="433354136"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3354136" name="图片 1"/>
                          <pic:cNvPicPr>
                            <a:picLocks noChangeAspect="1"/>
                          </pic:cNvPicPr>
                        </pic:nvPicPr>
                        <pic:blipFill>
                          <a:blip r:embed="rId28">
                            <a:extLst>
                              <a:ext uri="{28A0092B-C50C-407E-A947-70E740481C1C}">
                                <a14:useLocalDpi xmlns:a14="http://schemas.microsoft.com/office/drawing/2010/main" val="0"/>
                              </a:ext>
                            </a:extLst>
                          </a:blip>
                          <a:stretch>
                            <a:fillRect/>
                          </a:stretch>
                        </pic:blipFill>
                        <pic:spPr>
                          <a:xfrm>
                            <a:off x="0" y="0"/>
                            <a:ext cx="732790" cy="704215"/>
                          </a:xfrm>
                          <a:prstGeom prst="rect">
                            <a:avLst/>
                          </a:prstGeom>
                          <a:ln>
                            <a:solidFill>
                              <a:schemeClr val="tx1"/>
                            </a:solidFill>
                          </a:ln>
                        </pic:spPr>
                      </pic:pic>
                    </a:graphicData>
                  </a:graphic>
                </wp:anchor>
              </w:drawing>
            </w:r>
            <w:r>
              <w:drawing>
                <wp:inline distT="0" distB="0" distL="0" distR="0">
                  <wp:extent cx="5462270" cy="4045585"/>
                  <wp:effectExtent l="0" t="0" r="5080" b="0"/>
                  <wp:docPr id="679164009"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79164009" name="图片 1"/>
                          <pic:cNvPicPr>
                            <a:picLocks noChangeAspect="1"/>
                          </pic:cNvPicPr>
                        </pic:nvPicPr>
                        <pic:blipFill>
                          <a:blip r:embed="rId30"/>
                          <a:stretch>
                            <a:fillRect/>
                          </a:stretch>
                        </pic:blipFill>
                        <pic:spPr>
                          <a:xfrm>
                            <a:off x="0" y="0"/>
                            <a:ext cx="5469682" cy="4050902"/>
                          </a:xfrm>
                          <a:prstGeom prst="rect">
                            <a:avLst/>
                          </a:prstGeom>
                        </pic:spPr>
                      </pic:pic>
                    </a:graphicData>
                  </a:graphic>
                </wp:inline>
              </w:drawing>
            </w:r>
          </w:p>
          <w:p w14:paraId="783A9074">
            <w:pPr>
              <w:pStyle w:val="11"/>
              <w:rPr>
                <w:bCs w:val="0"/>
              </w:rPr>
            </w:pPr>
            <w:r>
              <w:rPr>
                <w:bCs w:val="0"/>
              </w:rPr>
              <w:t>图3-3 水环境监测断面布置图</w:t>
            </w:r>
          </w:p>
          <w:p w14:paraId="5BB36557">
            <w:pPr>
              <w:ind w:firstLine="480"/>
            </w:pPr>
          </w:p>
          <w:p w14:paraId="79C4ABF9">
            <w:pPr>
              <w:pStyle w:val="11"/>
              <w:rPr>
                <w:bCs w:val="0"/>
              </w:rPr>
            </w:pPr>
            <w:r>
              <w:rPr>
                <w:bCs w:val="0"/>
              </w:rPr>
              <w:t>表3-3 地表水环境监测结果标准指数</w:t>
            </w:r>
          </w:p>
          <w:tbl>
            <w:tblPr>
              <w:tblStyle w:val="21"/>
              <w:tblW w:w="5000" w:type="pct"/>
              <w:tblInd w:w="0" w:type="dxa"/>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1308"/>
              <w:gridCol w:w="1598"/>
              <w:gridCol w:w="988"/>
              <w:gridCol w:w="985"/>
              <w:gridCol w:w="748"/>
              <w:gridCol w:w="985"/>
              <w:gridCol w:w="865"/>
              <w:gridCol w:w="748"/>
              <w:gridCol w:w="743"/>
            </w:tblGrid>
            <w:tr w14:paraId="2BE1EA29">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PrEx>
              <w:trPr>
                <w:trHeight w:val="340" w:hRule="atLeast"/>
              </w:trPr>
              <w:tc>
                <w:tcPr>
                  <w:tcW w:w="730" w:type="pct"/>
                  <w:vAlign w:val="center"/>
                </w:tcPr>
                <w:p w14:paraId="090656C9">
                  <w:pPr>
                    <w:pStyle w:val="29"/>
                  </w:pPr>
                  <w:r>
                    <w:t>采样位置</w:t>
                  </w:r>
                </w:p>
              </w:tc>
              <w:tc>
                <w:tcPr>
                  <w:tcW w:w="891" w:type="pct"/>
                  <w:vAlign w:val="center"/>
                </w:tcPr>
                <w:p w14:paraId="533C2314">
                  <w:pPr>
                    <w:pStyle w:val="29"/>
                  </w:pPr>
                  <w:r>
                    <w:t>采样时间</w:t>
                  </w:r>
                </w:p>
              </w:tc>
              <w:tc>
                <w:tcPr>
                  <w:tcW w:w="551" w:type="pct"/>
                  <w:vAlign w:val="center"/>
                </w:tcPr>
                <w:p w14:paraId="451A89BC">
                  <w:pPr>
                    <w:pStyle w:val="29"/>
                  </w:pPr>
                  <w:r>
                    <w:t>pH值</w:t>
                  </w:r>
                </w:p>
              </w:tc>
              <w:tc>
                <w:tcPr>
                  <w:tcW w:w="549" w:type="pct"/>
                  <w:vAlign w:val="center"/>
                </w:tcPr>
                <w:p w14:paraId="2622D87A">
                  <w:pPr>
                    <w:pStyle w:val="29"/>
                  </w:pPr>
                  <w:r>
                    <w:t>溶解氧</w:t>
                  </w:r>
                </w:p>
              </w:tc>
              <w:tc>
                <w:tcPr>
                  <w:tcW w:w="417" w:type="pct"/>
                  <w:vAlign w:val="center"/>
                </w:tcPr>
                <w:p w14:paraId="21D7785E">
                  <w:pPr>
                    <w:pStyle w:val="29"/>
                  </w:pPr>
                  <w:r>
                    <w:t>SS</w:t>
                  </w:r>
                </w:p>
              </w:tc>
              <w:tc>
                <w:tcPr>
                  <w:tcW w:w="549" w:type="pct"/>
                  <w:vAlign w:val="center"/>
                </w:tcPr>
                <w:p w14:paraId="623182E4">
                  <w:pPr>
                    <w:pStyle w:val="29"/>
                  </w:pPr>
                  <w:r>
                    <w:t>COD</w:t>
                  </w:r>
                  <w:r>
                    <w:rPr>
                      <w:vertAlign w:val="subscript"/>
                    </w:rPr>
                    <w:t>Cr</w:t>
                  </w:r>
                </w:p>
              </w:tc>
              <w:tc>
                <w:tcPr>
                  <w:tcW w:w="482" w:type="pct"/>
                  <w:vAlign w:val="center"/>
                </w:tcPr>
                <w:p w14:paraId="20774F61">
                  <w:pPr>
                    <w:pStyle w:val="29"/>
                  </w:pPr>
                  <w:r>
                    <w:t>BOD</w:t>
                  </w:r>
                  <w:r>
                    <w:rPr>
                      <w:vertAlign w:val="subscript"/>
                    </w:rPr>
                    <w:t>5</w:t>
                  </w:r>
                </w:p>
              </w:tc>
              <w:tc>
                <w:tcPr>
                  <w:tcW w:w="417" w:type="pct"/>
                  <w:vAlign w:val="center"/>
                </w:tcPr>
                <w:p w14:paraId="1C2CFAF5">
                  <w:pPr>
                    <w:pStyle w:val="29"/>
                  </w:pPr>
                  <w:r>
                    <w:t>氨氮</w:t>
                  </w:r>
                </w:p>
              </w:tc>
              <w:tc>
                <w:tcPr>
                  <w:tcW w:w="414" w:type="pct"/>
                  <w:vAlign w:val="center"/>
                </w:tcPr>
                <w:p w14:paraId="04A43DC2">
                  <w:pPr>
                    <w:pStyle w:val="29"/>
                  </w:pPr>
                  <w:r>
                    <w:t>总磷</w:t>
                  </w:r>
                </w:p>
              </w:tc>
            </w:tr>
            <w:tr w14:paraId="5F6E3721">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730" w:type="pct"/>
                  <w:vMerge w:val="restart"/>
                  <w:vAlign w:val="center"/>
                </w:tcPr>
                <w:p w14:paraId="14E0E098">
                  <w:pPr>
                    <w:pStyle w:val="29"/>
                  </w:pPr>
                  <w:r>
                    <w:t>W1</w:t>
                  </w:r>
                </w:p>
              </w:tc>
              <w:tc>
                <w:tcPr>
                  <w:tcW w:w="891" w:type="pct"/>
                  <w:vAlign w:val="center"/>
                </w:tcPr>
                <w:p w14:paraId="1214D574">
                  <w:pPr>
                    <w:pStyle w:val="29"/>
                  </w:pPr>
                  <w:r>
                    <w:t>2022.11.19</w:t>
                  </w:r>
                </w:p>
              </w:tc>
              <w:tc>
                <w:tcPr>
                  <w:tcW w:w="551" w:type="pct"/>
                  <w:vAlign w:val="center"/>
                </w:tcPr>
                <w:p w14:paraId="444D7964">
                  <w:pPr>
                    <w:pStyle w:val="29"/>
                  </w:pPr>
                  <w:r>
                    <w:t>7.0</w:t>
                  </w:r>
                </w:p>
              </w:tc>
              <w:tc>
                <w:tcPr>
                  <w:tcW w:w="549" w:type="pct"/>
                  <w:vAlign w:val="center"/>
                </w:tcPr>
                <w:p w14:paraId="6B36B848">
                  <w:pPr>
                    <w:pStyle w:val="29"/>
                  </w:pPr>
                  <w:r>
                    <w:t>4.8</w:t>
                  </w:r>
                </w:p>
              </w:tc>
              <w:tc>
                <w:tcPr>
                  <w:tcW w:w="417" w:type="pct"/>
                  <w:vAlign w:val="center"/>
                </w:tcPr>
                <w:p w14:paraId="2D48A2E2">
                  <w:pPr>
                    <w:pStyle w:val="29"/>
                  </w:pPr>
                  <w:r>
                    <w:t>7</w:t>
                  </w:r>
                </w:p>
              </w:tc>
              <w:tc>
                <w:tcPr>
                  <w:tcW w:w="549" w:type="pct"/>
                  <w:vAlign w:val="center"/>
                </w:tcPr>
                <w:p w14:paraId="569D9456">
                  <w:pPr>
                    <w:pStyle w:val="29"/>
                  </w:pPr>
                  <w:r>
                    <w:t>26</w:t>
                  </w:r>
                </w:p>
              </w:tc>
              <w:tc>
                <w:tcPr>
                  <w:tcW w:w="482" w:type="pct"/>
                  <w:vAlign w:val="center"/>
                </w:tcPr>
                <w:p w14:paraId="76509815">
                  <w:pPr>
                    <w:pStyle w:val="29"/>
                  </w:pPr>
                  <w:r>
                    <w:t>7.0</w:t>
                  </w:r>
                </w:p>
              </w:tc>
              <w:tc>
                <w:tcPr>
                  <w:tcW w:w="417" w:type="pct"/>
                  <w:vAlign w:val="center"/>
                </w:tcPr>
                <w:p w14:paraId="0CE74C9A">
                  <w:pPr>
                    <w:pStyle w:val="29"/>
                  </w:pPr>
                  <w:r>
                    <w:t>1.72</w:t>
                  </w:r>
                </w:p>
              </w:tc>
              <w:tc>
                <w:tcPr>
                  <w:tcW w:w="414" w:type="pct"/>
                  <w:vAlign w:val="center"/>
                </w:tcPr>
                <w:p w14:paraId="207263DF">
                  <w:pPr>
                    <w:pStyle w:val="29"/>
                  </w:pPr>
                  <w:r>
                    <w:t>0.16</w:t>
                  </w:r>
                </w:p>
              </w:tc>
            </w:tr>
            <w:tr w14:paraId="5BFE1650">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730" w:type="pct"/>
                  <w:vMerge w:val="continue"/>
                  <w:vAlign w:val="center"/>
                </w:tcPr>
                <w:p w14:paraId="2245D404">
                  <w:pPr>
                    <w:pStyle w:val="29"/>
                  </w:pPr>
                </w:p>
              </w:tc>
              <w:tc>
                <w:tcPr>
                  <w:tcW w:w="891" w:type="pct"/>
                  <w:vAlign w:val="center"/>
                </w:tcPr>
                <w:p w14:paraId="6BE36DEC">
                  <w:pPr>
                    <w:pStyle w:val="29"/>
                  </w:pPr>
                  <w:r>
                    <w:t>2022.11.20</w:t>
                  </w:r>
                </w:p>
              </w:tc>
              <w:tc>
                <w:tcPr>
                  <w:tcW w:w="551" w:type="pct"/>
                  <w:vAlign w:val="center"/>
                </w:tcPr>
                <w:p w14:paraId="0EFCFA16">
                  <w:pPr>
                    <w:pStyle w:val="29"/>
                  </w:pPr>
                  <w:r>
                    <w:t>7.1</w:t>
                  </w:r>
                </w:p>
              </w:tc>
              <w:tc>
                <w:tcPr>
                  <w:tcW w:w="549" w:type="pct"/>
                  <w:vAlign w:val="center"/>
                </w:tcPr>
                <w:p w14:paraId="1A12E181">
                  <w:pPr>
                    <w:pStyle w:val="29"/>
                  </w:pPr>
                  <w:r>
                    <w:t>4.5</w:t>
                  </w:r>
                </w:p>
              </w:tc>
              <w:tc>
                <w:tcPr>
                  <w:tcW w:w="417" w:type="pct"/>
                  <w:vAlign w:val="center"/>
                </w:tcPr>
                <w:p w14:paraId="6161DE97">
                  <w:pPr>
                    <w:pStyle w:val="29"/>
                  </w:pPr>
                  <w:r>
                    <w:t>10</w:t>
                  </w:r>
                </w:p>
              </w:tc>
              <w:tc>
                <w:tcPr>
                  <w:tcW w:w="549" w:type="pct"/>
                  <w:vAlign w:val="center"/>
                </w:tcPr>
                <w:p w14:paraId="02A520B3">
                  <w:pPr>
                    <w:pStyle w:val="29"/>
                  </w:pPr>
                  <w:r>
                    <w:t>24</w:t>
                  </w:r>
                </w:p>
              </w:tc>
              <w:tc>
                <w:tcPr>
                  <w:tcW w:w="482" w:type="pct"/>
                  <w:vAlign w:val="center"/>
                </w:tcPr>
                <w:p w14:paraId="13E41E57">
                  <w:pPr>
                    <w:pStyle w:val="29"/>
                  </w:pPr>
                  <w:r>
                    <w:t>6.7</w:t>
                  </w:r>
                </w:p>
              </w:tc>
              <w:tc>
                <w:tcPr>
                  <w:tcW w:w="417" w:type="pct"/>
                  <w:vAlign w:val="center"/>
                </w:tcPr>
                <w:p w14:paraId="316CA2A3">
                  <w:pPr>
                    <w:pStyle w:val="29"/>
                  </w:pPr>
                  <w:r>
                    <w:t>1.37</w:t>
                  </w:r>
                </w:p>
              </w:tc>
              <w:tc>
                <w:tcPr>
                  <w:tcW w:w="414" w:type="pct"/>
                  <w:vAlign w:val="center"/>
                </w:tcPr>
                <w:p w14:paraId="2FA80615">
                  <w:pPr>
                    <w:pStyle w:val="29"/>
                  </w:pPr>
                  <w:r>
                    <w:t>0.18</w:t>
                  </w:r>
                </w:p>
              </w:tc>
            </w:tr>
            <w:tr w14:paraId="53526A28">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730" w:type="pct"/>
                  <w:vMerge w:val="continue"/>
                  <w:vAlign w:val="center"/>
                </w:tcPr>
                <w:p w14:paraId="3DAAEE3A">
                  <w:pPr>
                    <w:pStyle w:val="29"/>
                  </w:pPr>
                </w:p>
              </w:tc>
              <w:tc>
                <w:tcPr>
                  <w:tcW w:w="891" w:type="pct"/>
                  <w:vAlign w:val="center"/>
                </w:tcPr>
                <w:p w14:paraId="618207E0">
                  <w:pPr>
                    <w:pStyle w:val="29"/>
                  </w:pPr>
                  <w:r>
                    <w:t>2022.11.21</w:t>
                  </w:r>
                </w:p>
              </w:tc>
              <w:tc>
                <w:tcPr>
                  <w:tcW w:w="551" w:type="pct"/>
                  <w:vAlign w:val="center"/>
                </w:tcPr>
                <w:p w14:paraId="5475104A">
                  <w:pPr>
                    <w:pStyle w:val="29"/>
                  </w:pPr>
                  <w:r>
                    <w:t>7.1</w:t>
                  </w:r>
                </w:p>
              </w:tc>
              <w:tc>
                <w:tcPr>
                  <w:tcW w:w="549" w:type="pct"/>
                  <w:vAlign w:val="center"/>
                </w:tcPr>
                <w:p w14:paraId="29FEC0A6">
                  <w:pPr>
                    <w:pStyle w:val="29"/>
                  </w:pPr>
                  <w:r>
                    <w:t>4.2</w:t>
                  </w:r>
                </w:p>
              </w:tc>
              <w:tc>
                <w:tcPr>
                  <w:tcW w:w="417" w:type="pct"/>
                  <w:vAlign w:val="center"/>
                </w:tcPr>
                <w:p w14:paraId="2D316B02">
                  <w:pPr>
                    <w:pStyle w:val="29"/>
                  </w:pPr>
                  <w:r>
                    <w:t>8</w:t>
                  </w:r>
                </w:p>
              </w:tc>
              <w:tc>
                <w:tcPr>
                  <w:tcW w:w="549" w:type="pct"/>
                  <w:vAlign w:val="center"/>
                </w:tcPr>
                <w:p w14:paraId="5BE3093C">
                  <w:pPr>
                    <w:pStyle w:val="29"/>
                  </w:pPr>
                  <w:r>
                    <w:t>28</w:t>
                  </w:r>
                </w:p>
              </w:tc>
              <w:tc>
                <w:tcPr>
                  <w:tcW w:w="482" w:type="pct"/>
                  <w:vAlign w:val="center"/>
                </w:tcPr>
                <w:p w14:paraId="2FE63703">
                  <w:pPr>
                    <w:pStyle w:val="29"/>
                  </w:pPr>
                  <w:r>
                    <w:t>7.7</w:t>
                  </w:r>
                </w:p>
              </w:tc>
              <w:tc>
                <w:tcPr>
                  <w:tcW w:w="417" w:type="pct"/>
                  <w:vAlign w:val="center"/>
                </w:tcPr>
                <w:p w14:paraId="2DD93D5E">
                  <w:pPr>
                    <w:pStyle w:val="29"/>
                  </w:pPr>
                  <w:r>
                    <w:t>1.34</w:t>
                  </w:r>
                </w:p>
              </w:tc>
              <w:tc>
                <w:tcPr>
                  <w:tcW w:w="414" w:type="pct"/>
                  <w:vAlign w:val="center"/>
                </w:tcPr>
                <w:p w14:paraId="0213F95F">
                  <w:pPr>
                    <w:pStyle w:val="29"/>
                  </w:pPr>
                  <w:r>
                    <w:t>0.20</w:t>
                  </w:r>
                </w:p>
              </w:tc>
            </w:tr>
            <w:tr w14:paraId="58C16EF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730" w:type="pct"/>
                  <w:vMerge w:val="continue"/>
                  <w:vAlign w:val="center"/>
                </w:tcPr>
                <w:p w14:paraId="1BBF66AA">
                  <w:pPr>
                    <w:pStyle w:val="29"/>
                  </w:pPr>
                </w:p>
              </w:tc>
              <w:tc>
                <w:tcPr>
                  <w:tcW w:w="891" w:type="pct"/>
                  <w:vAlign w:val="center"/>
                </w:tcPr>
                <w:p w14:paraId="18D241FB">
                  <w:pPr>
                    <w:pStyle w:val="29"/>
                  </w:pPr>
                  <w:r>
                    <w:t>平均值</w:t>
                  </w:r>
                </w:p>
              </w:tc>
              <w:tc>
                <w:tcPr>
                  <w:tcW w:w="551" w:type="pct"/>
                  <w:vAlign w:val="center"/>
                </w:tcPr>
                <w:p w14:paraId="5539F2D4">
                  <w:pPr>
                    <w:pStyle w:val="29"/>
                  </w:pPr>
                  <w:r>
                    <w:t>7.1</w:t>
                  </w:r>
                </w:p>
              </w:tc>
              <w:tc>
                <w:tcPr>
                  <w:tcW w:w="549" w:type="pct"/>
                  <w:vAlign w:val="center"/>
                </w:tcPr>
                <w:p w14:paraId="2B259525">
                  <w:pPr>
                    <w:pStyle w:val="29"/>
                  </w:pPr>
                  <w:r>
                    <w:t>4.5</w:t>
                  </w:r>
                </w:p>
              </w:tc>
              <w:tc>
                <w:tcPr>
                  <w:tcW w:w="417" w:type="pct"/>
                  <w:vAlign w:val="center"/>
                </w:tcPr>
                <w:p w14:paraId="5BD77605">
                  <w:pPr>
                    <w:pStyle w:val="29"/>
                  </w:pPr>
                  <w:r>
                    <w:t>8</w:t>
                  </w:r>
                </w:p>
              </w:tc>
              <w:tc>
                <w:tcPr>
                  <w:tcW w:w="549" w:type="pct"/>
                  <w:vAlign w:val="center"/>
                </w:tcPr>
                <w:p w14:paraId="73D785E4">
                  <w:pPr>
                    <w:pStyle w:val="29"/>
                  </w:pPr>
                  <w:r>
                    <w:t>26</w:t>
                  </w:r>
                </w:p>
              </w:tc>
              <w:tc>
                <w:tcPr>
                  <w:tcW w:w="482" w:type="pct"/>
                  <w:vAlign w:val="center"/>
                </w:tcPr>
                <w:p w14:paraId="2E386122">
                  <w:pPr>
                    <w:pStyle w:val="29"/>
                  </w:pPr>
                  <w:r>
                    <w:t>7.1</w:t>
                  </w:r>
                </w:p>
              </w:tc>
              <w:tc>
                <w:tcPr>
                  <w:tcW w:w="417" w:type="pct"/>
                  <w:vAlign w:val="center"/>
                </w:tcPr>
                <w:p w14:paraId="43F31F02">
                  <w:pPr>
                    <w:pStyle w:val="29"/>
                  </w:pPr>
                  <w:r>
                    <w:t>1.48</w:t>
                  </w:r>
                </w:p>
              </w:tc>
              <w:tc>
                <w:tcPr>
                  <w:tcW w:w="414" w:type="pct"/>
                  <w:vAlign w:val="center"/>
                </w:tcPr>
                <w:p w14:paraId="60F95868">
                  <w:pPr>
                    <w:pStyle w:val="29"/>
                  </w:pPr>
                  <w:r>
                    <w:t>0.18</w:t>
                  </w:r>
                </w:p>
              </w:tc>
            </w:tr>
            <w:tr w14:paraId="008C4AF7">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730" w:type="pct"/>
                  <w:vMerge w:val="continue"/>
                  <w:vAlign w:val="center"/>
                </w:tcPr>
                <w:p w14:paraId="0FCAC3C3">
                  <w:pPr>
                    <w:pStyle w:val="29"/>
                  </w:pPr>
                </w:p>
              </w:tc>
              <w:tc>
                <w:tcPr>
                  <w:tcW w:w="891" w:type="pct"/>
                  <w:vAlign w:val="center"/>
                </w:tcPr>
                <w:p w14:paraId="70C4D4FF">
                  <w:pPr>
                    <w:pStyle w:val="29"/>
                  </w:pPr>
                  <w:r>
                    <w:t>标准限值</w:t>
                  </w:r>
                </w:p>
              </w:tc>
              <w:tc>
                <w:tcPr>
                  <w:tcW w:w="551" w:type="pct"/>
                  <w:vAlign w:val="center"/>
                </w:tcPr>
                <w:p w14:paraId="4A2C2D94">
                  <w:pPr>
                    <w:pStyle w:val="29"/>
                  </w:pPr>
                  <w:r>
                    <w:t>6~9</w:t>
                  </w:r>
                </w:p>
              </w:tc>
              <w:tc>
                <w:tcPr>
                  <w:tcW w:w="549" w:type="pct"/>
                  <w:vAlign w:val="center"/>
                </w:tcPr>
                <w:p w14:paraId="1BDD52D2">
                  <w:pPr>
                    <w:pStyle w:val="29"/>
                  </w:pPr>
                  <w:r>
                    <w:t>≥2</w:t>
                  </w:r>
                </w:p>
              </w:tc>
              <w:tc>
                <w:tcPr>
                  <w:tcW w:w="417" w:type="pct"/>
                  <w:vAlign w:val="center"/>
                </w:tcPr>
                <w:p w14:paraId="14BF03C8">
                  <w:pPr>
                    <w:pStyle w:val="29"/>
                  </w:pPr>
                  <w:r>
                    <w:t>/</w:t>
                  </w:r>
                </w:p>
              </w:tc>
              <w:tc>
                <w:tcPr>
                  <w:tcW w:w="549" w:type="pct"/>
                  <w:vAlign w:val="center"/>
                </w:tcPr>
                <w:p w14:paraId="7F00B9B0">
                  <w:pPr>
                    <w:pStyle w:val="29"/>
                  </w:pPr>
                  <w:r>
                    <w:t>≤40</w:t>
                  </w:r>
                </w:p>
              </w:tc>
              <w:tc>
                <w:tcPr>
                  <w:tcW w:w="482" w:type="pct"/>
                  <w:vAlign w:val="center"/>
                </w:tcPr>
                <w:p w14:paraId="59E09151">
                  <w:pPr>
                    <w:pStyle w:val="29"/>
                  </w:pPr>
                  <w:r>
                    <w:t>≤10</w:t>
                  </w:r>
                </w:p>
              </w:tc>
              <w:tc>
                <w:tcPr>
                  <w:tcW w:w="417" w:type="pct"/>
                  <w:vAlign w:val="center"/>
                </w:tcPr>
                <w:p w14:paraId="1733BE59">
                  <w:pPr>
                    <w:pStyle w:val="29"/>
                  </w:pPr>
                  <w:r>
                    <w:t>≤2.0</w:t>
                  </w:r>
                </w:p>
              </w:tc>
              <w:tc>
                <w:tcPr>
                  <w:tcW w:w="414" w:type="pct"/>
                  <w:vAlign w:val="center"/>
                </w:tcPr>
                <w:p w14:paraId="371A21B7">
                  <w:pPr>
                    <w:pStyle w:val="29"/>
                  </w:pPr>
                  <w:r>
                    <w:t>≤0.4</w:t>
                  </w:r>
                </w:p>
              </w:tc>
            </w:tr>
            <w:tr w14:paraId="37BA1FAE">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730" w:type="pct"/>
                  <w:vMerge w:val="continue"/>
                  <w:vAlign w:val="center"/>
                </w:tcPr>
                <w:p w14:paraId="2124A546">
                  <w:pPr>
                    <w:pStyle w:val="29"/>
                  </w:pPr>
                </w:p>
              </w:tc>
              <w:tc>
                <w:tcPr>
                  <w:tcW w:w="891" w:type="pct"/>
                  <w:vAlign w:val="center"/>
                </w:tcPr>
                <w:p w14:paraId="15E5231C">
                  <w:pPr>
                    <w:pStyle w:val="29"/>
                  </w:pPr>
                  <w:r>
                    <w:t>标准指数</w:t>
                  </w:r>
                </w:p>
              </w:tc>
              <w:tc>
                <w:tcPr>
                  <w:tcW w:w="551" w:type="pct"/>
                  <w:vAlign w:val="center"/>
                </w:tcPr>
                <w:p w14:paraId="12809C63">
                  <w:pPr>
                    <w:pStyle w:val="29"/>
                  </w:pPr>
                  <w:r>
                    <w:t>0.03</w:t>
                  </w:r>
                </w:p>
              </w:tc>
              <w:tc>
                <w:tcPr>
                  <w:tcW w:w="549" w:type="pct"/>
                  <w:vAlign w:val="center"/>
                </w:tcPr>
                <w:p w14:paraId="6AFC4E6D">
                  <w:pPr>
                    <w:pStyle w:val="29"/>
                  </w:pPr>
                  <w:r>
                    <w:t>0.044</w:t>
                  </w:r>
                </w:p>
              </w:tc>
              <w:tc>
                <w:tcPr>
                  <w:tcW w:w="417" w:type="pct"/>
                  <w:vAlign w:val="center"/>
                </w:tcPr>
                <w:p w14:paraId="6C59A697">
                  <w:pPr>
                    <w:pStyle w:val="29"/>
                  </w:pPr>
                  <w:r>
                    <w:t>/</w:t>
                  </w:r>
                </w:p>
              </w:tc>
              <w:tc>
                <w:tcPr>
                  <w:tcW w:w="549" w:type="pct"/>
                  <w:vAlign w:val="center"/>
                </w:tcPr>
                <w:p w14:paraId="4658E22C">
                  <w:pPr>
                    <w:pStyle w:val="29"/>
                  </w:pPr>
                  <w:r>
                    <w:t>0.65</w:t>
                  </w:r>
                </w:p>
              </w:tc>
              <w:tc>
                <w:tcPr>
                  <w:tcW w:w="482" w:type="pct"/>
                  <w:vAlign w:val="center"/>
                </w:tcPr>
                <w:p w14:paraId="5AE97A70">
                  <w:pPr>
                    <w:pStyle w:val="29"/>
                  </w:pPr>
                  <w:r>
                    <w:t>0.71</w:t>
                  </w:r>
                </w:p>
              </w:tc>
              <w:tc>
                <w:tcPr>
                  <w:tcW w:w="417" w:type="pct"/>
                  <w:vAlign w:val="center"/>
                </w:tcPr>
                <w:p w14:paraId="4A0B0D54">
                  <w:pPr>
                    <w:pStyle w:val="29"/>
                  </w:pPr>
                  <w:r>
                    <w:t>0.74</w:t>
                  </w:r>
                </w:p>
              </w:tc>
              <w:tc>
                <w:tcPr>
                  <w:tcW w:w="414" w:type="pct"/>
                  <w:vAlign w:val="center"/>
                </w:tcPr>
                <w:p w14:paraId="250B25E9">
                  <w:pPr>
                    <w:pStyle w:val="29"/>
                  </w:pPr>
                  <w:r>
                    <w:t>0.45</w:t>
                  </w:r>
                </w:p>
              </w:tc>
            </w:tr>
            <w:tr w14:paraId="65291BC1">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730" w:type="pct"/>
                  <w:vMerge w:val="continue"/>
                  <w:vAlign w:val="center"/>
                </w:tcPr>
                <w:p w14:paraId="7A5E2D59">
                  <w:pPr>
                    <w:pStyle w:val="29"/>
                  </w:pPr>
                </w:p>
              </w:tc>
              <w:tc>
                <w:tcPr>
                  <w:tcW w:w="891" w:type="pct"/>
                  <w:vAlign w:val="center"/>
                </w:tcPr>
                <w:p w14:paraId="09FEB90E">
                  <w:pPr>
                    <w:pStyle w:val="29"/>
                  </w:pPr>
                  <w:r>
                    <w:t>超标倍数</w:t>
                  </w:r>
                </w:p>
              </w:tc>
              <w:tc>
                <w:tcPr>
                  <w:tcW w:w="551" w:type="pct"/>
                  <w:vAlign w:val="center"/>
                </w:tcPr>
                <w:p w14:paraId="0C0DFC2C">
                  <w:pPr>
                    <w:pStyle w:val="29"/>
                  </w:pPr>
                  <w:r>
                    <w:t>0</w:t>
                  </w:r>
                </w:p>
              </w:tc>
              <w:tc>
                <w:tcPr>
                  <w:tcW w:w="549" w:type="pct"/>
                  <w:vAlign w:val="center"/>
                </w:tcPr>
                <w:p w14:paraId="0F8FCC4D">
                  <w:pPr>
                    <w:pStyle w:val="29"/>
                  </w:pPr>
                  <w:r>
                    <w:t>0</w:t>
                  </w:r>
                </w:p>
              </w:tc>
              <w:tc>
                <w:tcPr>
                  <w:tcW w:w="417" w:type="pct"/>
                  <w:vAlign w:val="center"/>
                </w:tcPr>
                <w:p w14:paraId="1A9D4ED0">
                  <w:pPr>
                    <w:pStyle w:val="29"/>
                  </w:pPr>
                  <w:r>
                    <w:t>0</w:t>
                  </w:r>
                </w:p>
              </w:tc>
              <w:tc>
                <w:tcPr>
                  <w:tcW w:w="549" w:type="pct"/>
                  <w:vAlign w:val="center"/>
                </w:tcPr>
                <w:p w14:paraId="1FE534D1">
                  <w:pPr>
                    <w:pStyle w:val="29"/>
                  </w:pPr>
                  <w:r>
                    <w:t>0</w:t>
                  </w:r>
                </w:p>
              </w:tc>
              <w:tc>
                <w:tcPr>
                  <w:tcW w:w="482" w:type="pct"/>
                  <w:vAlign w:val="center"/>
                </w:tcPr>
                <w:p w14:paraId="3727F2B2">
                  <w:pPr>
                    <w:pStyle w:val="29"/>
                  </w:pPr>
                  <w:r>
                    <w:t>0</w:t>
                  </w:r>
                </w:p>
              </w:tc>
              <w:tc>
                <w:tcPr>
                  <w:tcW w:w="417" w:type="pct"/>
                  <w:vAlign w:val="center"/>
                </w:tcPr>
                <w:p w14:paraId="1296560E">
                  <w:pPr>
                    <w:pStyle w:val="29"/>
                  </w:pPr>
                  <w:r>
                    <w:t>0</w:t>
                  </w:r>
                </w:p>
              </w:tc>
              <w:tc>
                <w:tcPr>
                  <w:tcW w:w="414" w:type="pct"/>
                  <w:vAlign w:val="center"/>
                </w:tcPr>
                <w:p w14:paraId="2C702430">
                  <w:pPr>
                    <w:pStyle w:val="29"/>
                  </w:pPr>
                  <w:r>
                    <w:t>0</w:t>
                  </w:r>
                </w:p>
              </w:tc>
            </w:tr>
            <w:tr w14:paraId="2AD80C54">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730" w:type="pct"/>
                  <w:vMerge w:val="restart"/>
                  <w:vAlign w:val="center"/>
                </w:tcPr>
                <w:p w14:paraId="751A9E8A">
                  <w:pPr>
                    <w:pStyle w:val="29"/>
                  </w:pPr>
                  <w:r>
                    <w:t>W2</w:t>
                  </w:r>
                </w:p>
              </w:tc>
              <w:tc>
                <w:tcPr>
                  <w:tcW w:w="891" w:type="pct"/>
                  <w:vAlign w:val="center"/>
                </w:tcPr>
                <w:p w14:paraId="194115C3">
                  <w:pPr>
                    <w:pStyle w:val="29"/>
                  </w:pPr>
                  <w:r>
                    <w:t>2022.11.19</w:t>
                  </w:r>
                </w:p>
              </w:tc>
              <w:tc>
                <w:tcPr>
                  <w:tcW w:w="551" w:type="pct"/>
                  <w:vAlign w:val="center"/>
                </w:tcPr>
                <w:p w14:paraId="70EC969B">
                  <w:pPr>
                    <w:pStyle w:val="29"/>
                  </w:pPr>
                  <w:r>
                    <w:t>7.0</w:t>
                  </w:r>
                </w:p>
              </w:tc>
              <w:tc>
                <w:tcPr>
                  <w:tcW w:w="549" w:type="pct"/>
                  <w:vAlign w:val="center"/>
                </w:tcPr>
                <w:p w14:paraId="3F5A9E10">
                  <w:pPr>
                    <w:pStyle w:val="29"/>
                  </w:pPr>
                  <w:r>
                    <w:t>4.6</w:t>
                  </w:r>
                </w:p>
              </w:tc>
              <w:tc>
                <w:tcPr>
                  <w:tcW w:w="417" w:type="pct"/>
                  <w:vAlign w:val="center"/>
                </w:tcPr>
                <w:p w14:paraId="126E9911">
                  <w:pPr>
                    <w:pStyle w:val="29"/>
                  </w:pPr>
                  <w:r>
                    <w:t>8</w:t>
                  </w:r>
                </w:p>
              </w:tc>
              <w:tc>
                <w:tcPr>
                  <w:tcW w:w="549" w:type="pct"/>
                  <w:vAlign w:val="center"/>
                </w:tcPr>
                <w:p w14:paraId="37F2DF11">
                  <w:pPr>
                    <w:pStyle w:val="29"/>
                  </w:pPr>
                  <w:r>
                    <w:t>32</w:t>
                  </w:r>
                </w:p>
              </w:tc>
              <w:tc>
                <w:tcPr>
                  <w:tcW w:w="482" w:type="pct"/>
                  <w:vAlign w:val="center"/>
                </w:tcPr>
                <w:p w14:paraId="7B646A5C">
                  <w:pPr>
                    <w:pStyle w:val="29"/>
                  </w:pPr>
                  <w:r>
                    <w:t>7.8</w:t>
                  </w:r>
                </w:p>
              </w:tc>
              <w:tc>
                <w:tcPr>
                  <w:tcW w:w="417" w:type="pct"/>
                  <w:vAlign w:val="center"/>
                </w:tcPr>
                <w:p w14:paraId="56514DCC">
                  <w:pPr>
                    <w:pStyle w:val="29"/>
                  </w:pPr>
                  <w:r>
                    <w:t>1.81</w:t>
                  </w:r>
                </w:p>
              </w:tc>
              <w:tc>
                <w:tcPr>
                  <w:tcW w:w="414" w:type="pct"/>
                  <w:vAlign w:val="center"/>
                </w:tcPr>
                <w:p w14:paraId="0822670D">
                  <w:pPr>
                    <w:pStyle w:val="29"/>
                  </w:pPr>
                  <w:r>
                    <w:t>0.27</w:t>
                  </w:r>
                </w:p>
              </w:tc>
            </w:tr>
            <w:tr w14:paraId="3ED4285B">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730" w:type="pct"/>
                  <w:vMerge w:val="continue"/>
                  <w:vAlign w:val="center"/>
                </w:tcPr>
                <w:p w14:paraId="3D5DCB9B">
                  <w:pPr>
                    <w:pStyle w:val="29"/>
                  </w:pPr>
                </w:p>
              </w:tc>
              <w:tc>
                <w:tcPr>
                  <w:tcW w:w="891" w:type="pct"/>
                  <w:vAlign w:val="center"/>
                </w:tcPr>
                <w:p w14:paraId="5258D206">
                  <w:pPr>
                    <w:pStyle w:val="29"/>
                  </w:pPr>
                  <w:r>
                    <w:t>2022.11.20</w:t>
                  </w:r>
                </w:p>
              </w:tc>
              <w:tc>
                <w:tcPr>
                  <w:tcW w:w="551" w:type="pct"/>
                  <w:vAlign w:val="center"/>
                </w:tcPr>
                <w:p w14:paraId="347E0C6B">
                  <w:pPr>
                    <w:pStyle w:val="29"/>
                  </w:pPr>
                  <w:r>
                    <w:t>7.1</w:t>
                  </w:r>
                </w:p>
              </w:tc>
              <w:tc>
                <w:tcPr>
                  <w:tcW w:w="549" w:type="pct"/>
                  <w:vAlign w:val="center"/>
                </w:tcPr>
                <w:p w14:paraId="62AF2F59">
                  <w:pPr>
                    <w:pStyle w:val="29"/>
                  </w:pPr>
                  <w:r>
                    <w:t>4.7</w:t>
                  </w:r>
                </w:p>
              </w:tc>
              <w:tc>
                <w:tcPr>
                  <w:tcW w:w="417" w:type="pct"/>
                  <w:vAlign w:val="center"/>
                </w:tcPr>
                <w:p w14:paraId="75B8584C">
                  <w:pPr>
                    <w:pStyle w:val="29"/>
                  </w:pPr>
                  <w:r>
                    <w:t>12</w:t>
                  </w:r>
                </w:p>
              </w:tc>
              <w:tc>
                <w:tcPr>
                  <w:tcW w:w="549" w:type="pct"/>
                  <w:vAlign w:val="center"/>
                </w:tcPr>
                <w:p w14:paraId="3C205C30">
                  <w:pPr>
                    <w:pStyle w:val="29"/>
                  </w:pPr>
                  <w:r>
                    <w:t>29</w:t>
                  </w:r>
                </w:p>
              </w:tc>
              <w:tc>
                <w:tcPr>
                  <w:tcW w:w="482" w:type="pct"/>
                  <w:vAlign w:val="center"/>
                </w:tcPr>
                <w:p w14:paraId="407D6B97">
                  <w:pPr>
                    <w:pStyle w:val="29"/>
                  </w:pPr>
                  <w:r>
                    <w:t>8.1</w:t>
                  </w:r>
                </w:p>
              </w:tc>
              <w:tc>
                <w:tcPr>
                  <w:tcW w:w="417" w:type="pct"/>
                  <w:vAlign w:val="center"/>
                </w:tcPr>
                <w:p w14:paraId="269544A4">
                  <w:pPr>
                    <w:pStyle w:val="29"/>
                  </w:pPr>
                  <w:r>
                    <w:t>1.72</w:t>
                  </w:r>
                </w:p>
              </w:tc>
              <w:tc>
                <w:tcPr>
                  <w:tcW w:w="414" w:type="pct"/>
                  <w:vAlign w:val="center"/>
                </w:tcPr>
                <w:p w14:paraId="477717AD">
                  <w:pPr>
                    <w:pStyle w:val="29"/>
                  </w:pPr>
                  <w:r>
                    <w:t>0.22</w:t>
                  </w:r>
                </w:p>
              </w:tc>
            </w:tr>
            <w:tr w14:paraId="1C7DB4A2">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730" w:type="pct"/>
                  <w:vMerge w:val="continue"/>
                  <w:vAlign w:val="center"/>
                </w:tcPr>
                <w:p w14:paraId="6C1D0319">
                  <w:pPr>
                    <w:pStyle w:val="29"/>
                  </w:pPr>
                </w:p>
              </w:tc>
              <w:tc>
                <w:tcPr>
                  <w:tcW w:w="891" w:type="pct"/>
                  <w:vAlign w:val="center"/>
                </w:tcPr>
                <w:p w14:paraId="300CC055">
                  <w:pPr>
                    <w:pStyle w:val="29"/>
                  </w:pPr>
                  <w:r>
                    <w:t>2022.11.21</w:t>
                  </w:r>
                </w:p>
              </w:tc>
              <w:tc>
                <w:tcPr>
                  <w:tcW w:w="551" w:type="pct"/>
                  <w:vAlign w:val="center"/>
                </w:tcPr>
                <w:p w14:paraId="743B463B">
                  <w:pPr>
                    <w:pStyle w:val="29"/>
                  </w:pPr>
                  <w:r>
                    <w:t>7.1</w:t>
                  </w:r>
                </w:p>
              </w:tc>
              <w:tc>
                <w:tcPr>
                  <w:tcW w:w="549" w:type="pct"/>
                  <w:vAlign w:val="center"/>
                </w:tcPr>
                <w:p w14:paraId="21023EF8">
                  <w:pPr>
                    <w:pStyle w:val="29"/>
                  </w:pPr>
                  <w:r>
                    <w:t>4.3</w:t>
                  </w:r>
                </w:p>
              </w:tc>
              <w:tc>
                <w:tcPr>
                  <w:tcW w:w="417" w:type="pct"/>
                  <w:vAlign w:val="center"/>
                </w:tcPr>
                <w:p w14:paraId="6E367B8B">
                  <w:pPr>
                    <w:pStyle w:val="29"/>
                  </w:pPr>
                  <w:r>
                    <w:t>9</w:t>
                  </w:r>
                </w:p>
              </w:tc>
              <w:tc>
                <w:tcPr>
                  <w:tcW w:w="549" w:type="pct"/>
                  <w:vAlign w:val="center"/>
                </w:tcPr>
                <w:p w14:paraId="3B2E8054">
                  <w:pPr>
                    <w:pStyle w:val="29"/>
                  </w:pPr>
                  <w:r>
                    <w:t>34</w:t>
                  </w:r>
                </w:p>
              </w:tc>
              <w:tc>
                <w:tcPr>
                  <w:tcW w:w="482" w:type="pct"/>
                  <w:vAlign w:val="center"/>
                </w:tcPr>
                <w:p w14:paraId="01FDE1AC">
                  <w:pPr>
                    <w:pStyle w:val="29"/>
                  </w:pPr>
                  <w:r>
                    <w:t>8.4</w:t>
                  </w:r>
                </w:p>
              </w:tc>
              <w:tc>
                <w:tcPr>
                  <w:tcW w:w="417" w:type="pct"/>
                  <w:vAlign w:val="center"/>
                </w:tcPr>
                <w:p w14:paraId="03C73E15">
                  <w:pPr>
                    <w:pStyle w:val="29"/>
                  </w:pPr>
                  <w:r>
                    <w:t>1.52</w:t>
                  </w:r>
                </w:p>
              </w:tc>
              <w:tc>
                <w:tcPr>
                  <w:tcW w:w="414" w:type="pct"/>
                  <w:vAlign w:val="center"/>
                </w:tcPr>
                <w:p w14:paraId="0DA560C2">
                  <w:pPr>
                    <w:pStyle w:val="29"/>
                  </w:pPr>
                  <w:r>
                    <w:t>0.24</w:t>
                  </w:r>
                </w:p>
              </w:tc>
            </w:tr>
            <w:tr w14:paraId="51174BC8">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730" w:type="pct"/>
                  <w:vMerge w:val="continue"/>
                  <w:vAlign w:val="center"/>
                </w:tcPr>
                <w:p w14:paraId="1D875DFE">
                  <w:pPr>
                    <w:pStyle w:val="29"/>
                  </w:pPr>
                </w:p>
              </w:tc>
              <w:tc>
                <w:tcPr>
                  <w:tcW w:w="891" w:type="pct"/>
                  <w:vAlign w:val="center"/>
                </w:tcPr>
                <w:p w14:paraId="6D2D9EC4">
                  <w:pPr>
                    <w:pStyle w:val="29"/>
                  </w:pPr>
                  <w:r>
                    <w:t>平均值</w:t>
                  </w:r>
                </w:p>
              </w:tc>
              <w:tc>
                <w:tcPr>
                  <w:tcW w:w="551" w:type="pct"/>
                  <w:vAlign w:val="center"/>
                </w:tcPr>
                <w:p w14:paraId="0A30C453">
                  <w:pPr>
                    <w:pStyle w:val="29"/>
                  </w:pPr>
                  <w:r>
                    <w:t>7.1</w:t>
                  </w:r>
                </w:p>
              </w:tc>
              <w:tc>
                <w:tcPr>
                  <w:tcW w:w="549" w:type="pct"/>
                  <w:vAlign w:val="center"/>
                </w:tcPr>
                <w:p w14:paraId="0BE84A72">
                  <w:pPr>
                    <w:pStyle w:val="29"/>
                  </w:pPr>
                  <w:r>
                    <w:t>4.5</w:t>
                  </w:r>
                </w:p>
              </w:tc>
              <w:tc>
                <w:tcPr>
                  <w:tcW w:w="417" w:type="pct"/>
                  <w:vAlign w:val="center"/>
                </w:tcPr>
                <w:p w14:paraId="697CA3EB">
                  <w:pPr>
                    <w:pStyle w:val="29"/>
                  </w:pPr>
                  <w:r>
                    <w:t>10</w:t>
                  </w:r>
                </w:p>
              </w:tc>
              <w:tc>
                <w:tcPr>
                  <w:tcW w:w="549" w:type="pct"/>
                  <w:vAlign w:val="center"/>
                </w:tcPr>
                <w:p w14:paraId="6DA96A86">
                  <w:pPr>
                    <w:pStyle w:val="29"/>
                  </w:pPr>
                  <w:r>
                    <w:t>33</w:t>
                  </w:r>
                </w:p>
              </w:tc>
              <w:tc>
                <w:tcPr>
                  <w:tcW w:w="482" w:type="pct"/>
                  <w:vAlign w:val="center"/>
                </w:tcPr>
                <w:p w14:paraId="17689610">
                  <w:pPr>
                    <w:pStyle w:val="29"/>
                  </w:pPr>
                  <w:r>
                    <w:t>8.1</w:t>
                  </w:r>
                </w:p>
              </w:tc>
              <w:tc>
                <w:tcPr>
                  <w:tcW w:w="417" w:type="pct"/>
                  <w:vAlign w:val="center"/>
                </w:tcPr>
                <w:p w14:paraId="22518F33">
                  <w:pPr>
                    <w:pStyle w:val="29"/>
                  </w:pPr>
                  <w:r>
                    <w:t>1.68</w:t>
                  </w:r>
                </w:p>
              </w:tc>
              <w:tc>
                <w:tcPr>
                  <w:tcW w:w="414" w:type="pct"/>
                  <w:vAlign w:val="center"/>
                </w:tcPr>
                <w:p w14:paraId="2DEF5186">
                  <w:pPr>
                    <w:pStyle w:val="29"/>
                  </w:pPr>
                  <w:r>
                    <w:t>0.24</w:t>
                  </w:r>
                </w:p>
              </w:tc>
            </w:tr>
            <w:tr w14:paraId="0CF0101A">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730" w:type="pct"/>
                  <w:vMerge w:val="continue"/>
                  <w:vAlign w:val="center"/>
                </w:tcPr>
                <w:p w14:paraId="05C32A27">
                  <w:pPr>
                    <w:pStyle w:val="29"/>
                  </w:pPr>
                </w:p>
              </w:tc>
              <w:tc>
                <w:tcPr>
                  <w:tcW w:w="891" w:type="pct"/>
                  <w:vAlign w:val="center"/>
                </w:tcPr>
                <w:p w14:paraId="2B34BC43">
                  <w:pPr>
                    <w:pStyle w:val="29"/>
                  </w:pPr>
                  <w:r>
                    <w:t>标准限值</w:t>
                  </w:r>
                </w:p>
              </w:tc>
              <w:tc>
                <w:tcPr>
                  <w:tcW w:w="551" w:type="pct"/>
                  <w:vAlign w:val="center"/>
                </w:tcPr>
                <w:p w14:paraId="2127229E">
                  <w:pPr>
                    <w:pStyle w:val="29"/>
                  </w:pPr>
                  <w:r>
                    <w:t>6~9</w:t>
                  </w:r>
                </w:p>
              </w:tc>
              <w:tc>
                <w:tcPr>
                  <w:tcW w:w="549" w:type="pct"/>
                  <w:vAlign w:val="center"/>
                </w:tcPr>
                <w:p w14:paraId="7567DDCA">
                  <w:pPr>
                    <w:pStyle w:val="29"/>
                  </w:pPr>
                  <w:r>
                    <w:t>≥2</w:t>
                  </w:r>
                </w:p>
              </w:tc>
              <w:tc>
                <w:tcPr>
                  <w:tcW w:w="417" w:type="pct"/>
                  <w:vAlign w:val="center"/>
                </w:tcPr>
                <w:p w14:paraId="2CB478C8">
                  <w:pPr>
                    <w:pStyle w:val="29"/>
                  </w:pPr>
                  <w:r>
                    <w:t>/</w:t>
                  </w:r>
                </w:p>
              </w:tc>
              <w:tc>
                <w:tcPr>
                  <w:tcW w:w="549" w:type="pct"/>
                  <w:vAlign w:val="center"/>
                </w:tcPr>
                <w:p w14:paraId="228A67CD">
                  <w:pPr>
                    <w:pStyle w:val="29"/>
                  </w:pPr>
                  <w:r>
                    <w:t>≤40</w:t>
                  </w:r>
                </w:p>
              </w:tc>
              <w:tc>
                <w:tcPr>
                  <w:tcW w:w="482" w:type="pct"/>
                  <w:vAlign w:val="center"/>
                </w:tcPr>
                <w:p w14:paraId="32BCE077">
                  <w:pPr>
                    <w:pStyle w:val="29"/>
                  </w:pPr>
                  <w:r>
                    <w:t>≤10</w:t>
                  </w:r>
                </w:p>
              </w:tc>
              <w:tc>
                <w:tcPr>
                  <w:tcW w:w="417" w:type="pct"/>
                  <w:vAlign w:val="center"/>
                </w:tcPr>
                <w:p w14:paraId="12FC0987">
                  <w:pPr>
                    <w:pStyle w:val="29"/>
                  </w:pPr>
                  <w:r>
                    <w:t>≤2.0</w:t>
                  </w:r>
                </w:p>
              </w:tc>
              <w:tc>
                <w:tcPr>
                  <w:tcW w:w="414" w:type="pct"/>
                  <w:vAlign w:val="center"/>
                </w:tcPr>
                <w:p w14:paraId="6A0640C7">
                  <w:pPr>
                    <w:pStyle w:val="29"/>
                  </w:pPr>
                  <w:r>
                    <w:t>≤0.4</w:t>
                  </w:r>
                </w:p>
              </w:tc>
            </w:tr>
            <w:tr w14:paraId="18E3A5CE">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730" w:type="pct"/>
                  <w:vMerge w:val="continue"/>
                  <w:vAlign w:val="center"/>
                </w:tcPr>
                <w:p w14:paraId="70A667F2">
                  <w:pPr>
                    <w:pStyle w:val="29"/>
                  </w:pPr>
                </w:p>
              </w:tc>
              <w:tc>
                <w:tcPr>
                  <w:tcW w:w="891" w:type="pct"/>
                  <w:vAlign w:val="center"/>
                </w:tcPr>
                <w:p w14:paraId="3AEE9917">
                  <w:pPr>
                    <w:pStyle w:val="29"/>
                  </w:pPr>
                  <w:r>
                    <w:t>标准指数</w:t>
                  </w:r>
                </w:p>
              </w:tc>
              <w:tc>
                <w:tcPr>
                  <w:tcW w:w="551" w:type="pct"/>
                  <w:vAlign w:val="center"/>
                </w:tcPr>
                <w:p w14:paraId="6E73C9AA">
                  <w:pPr>
                    <w:pStyle w:val="29"/>
                  </w:pPr>
                  <w:r>
                    <w:t>0.03</w:t>
                  </w:r>
                </w:p>
              </w:tc>
              <w:tc>
                <w:tcPr>
                  <w:tcW w:w="549" w:type="pct"/>
                  <w:vAlign w:val="center"/>
                </w:tcPr>
                <w:p w14:paraId="6B0C7571">
                  <w:pPr>
                    <w:pStyle w:val="29"/>
                  </w:pPr>
                  <w:r>
                    <w:t>0.44</w:t>
                  </w:r>
                </w:p>
              </w:tc>
              <w:tc>
                <w:tcPr>
                  <w:tcW w:w="417" w:type="pct"/>
                  <w:vAlign w:val="center"/>
                </w:tcPr>
                <w:p w14:paraId="58026576">
                  <w:pPr>
                    <w:pStyle w:val="29"/>
                  </w:pPr>
                  <w:r>
                    <w:t>/</w:t>
                  </w:r>
                </w:p>
              </w:tc>
              <w:tc>
                <w:tcPr>
                  <w:tcW w:w="549" w:type="pct"/>
                  <w:vAlign w:val="center"/>
                </w:tcPr>
                <w:p w14:paraId="6EFB51FB">
                  <w:pPr>
                    <w:pStyle w:val="29"/>
                  </w:pPr>
                  <w:r>
                    <w:t>0.79</w:t>
                  </w:r>
                </w:p>
              </w:tc>
              <w:tc>
                <w:tcPr>
                  <w:tcW w:w="482" w:type="pct"/>
                  <w:vAlign w:val="center"/>
                </w:tcPr>
                <w:p w14:paraId="3A84FC86">
                  <w:pPr>
                    <w:pStyle w:val="29"/>
                  </w:pPr>
                  <w:r>
                    <w:t>0.81</w:t>
                  </w:r>
                </w:p>
              </w:tc>
              <w:tc>
                <w:tcPr>
                  <w:tcW w:w="417" w:type="pct"/>
                  <w:vAlign w:val="center"/>
                </w:tcPr>
                <w:p w14:paraId="1AD881B7">
                  <w:pPr>
                    <w:pStyle w:val="29"/>
                  </w:pPr>
                  <w:r>
                    <w:t>0.84</w:t>
                  </w:r>
                </w:p>
              </w:tc>
              <w:tc>
                <w:tcPr>
                  <w:tcW w:w="414" w:type="pct"/>
                  <w:vAlign w:val="center"/>
                </w:tcPr>
                <w:p w14:paraId="7EF50592">
                  <w:pPr>
                    <w:pStyle w:val="29"/>
                  </w:pPr>
                  <w:r>
                    <w:t>0.61</w:t>
                  </w:r>
                </w:p>
              </w:tc>
            </w:tr>
            <w:tr w14:paraId="1A392D18">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730" w:type="pct"/>
                  <w:vMerge w:val="continue"/>
                  <w:vAlign w:val="center"/>
                </w:tcPr>
                <w:p w14:paraId="705C9BBC">
                  <w:pPr>
                    <w:pStyle w:val="29"/>
                  </w:pPr>
                </w:p>
              </w:tc>
              <w:tc>
                <w:tcPr>
                  <w:tcW w:w="891" w:type="pct"/>
                  <w:vAlign w:val="center"/>
                </w:tcPr>
                <w:p w14:paraId="2BCF7B93">
                  <w:pPr>
                    <w:pStyle w:val="29"/>
                  </w:pPr>
                  <w:r>
                    <w:t>超标倍数</w:t>
                  </w:r>
                </w:p>
              </w:tc>
              <w:tc>
                <w:tcPr>
                  <w:tcW w:w="551" w:type="pct"/>
                  <w:vAlign w:val="center"/>
                </w:tcPr>
                <w:p w14:paraId="51C48F0B">
                  <w:pPr>
                    <w:pStyle w:val="29"/>
                  </w:pPr>
                  <w:r>
                    <w:t>0</w:t>
                  </w:r>
                </w:p>
              </w:tc>
              <w:tc>
                <w:tcPr>
                  <w:tcW w:w="549" w:type="pct"/>
                  <w:vAlign w:val="center"/>
                </w:tcPr>
                <w:p w14:paraId="7CB06E43">
                  <w:pPr>
                    <w:pStyle w:val="29"/>
                  </w:pPr>
                  <w:r>
                    <w:t>0</w:t>
                  </w:r>
                </w:p>
              </w:tc>
              <w:tc>
                <w:tcPr>
                  <w:tcW w:w="417" w:type="pct"/>
                  <w:vAlign w:val="center"/>
                </w:tcPr>
                <w:p w14:paraId="1782F54E">
                  <w:pPr>
                    <w:pStyle w:val="29"/>
                  </w:pPr>
                  <w:r>
                    <w:t>0</w:t>
                  </w:r>
                </w:p>
              </w:tc>
              <w:tc>
                <w:tcPr>
                  <w:tcW w:w="549" w:type="pct"/>
                  <w:vAlign w:val="center"/>
                </w:tcPr>
                <w:p w14:paraId="160979A5">
                  <w:pPr>
                    <w:pStyle w:val="29"/>
                  </w:pPr>
                  <w:r>
                    <w:t>0</w:t>
                  </w:r>
                </w:p>
              </w:tc>
              <w:tc>
                <w:tcPr>
                  <w:tcW w:w="482" w:type="pct"/>
                  <w:vAlign w:val="center"/>
                </w:tcPr>
                <w:p w14:paraId="048C6D49">
                  <w:pPr>
                    <w:pStyle w:val="29"/>
                  </w:pPr>
                  <w:r>
                    <w:t>0</w:t>
                  </w:r>
                </w:p>
              </w:tc>
              <w:tc>
                <w:tcPr>
                  <w:tcW w:w="417" w:type="pct"/>
                  <w:vAlign w:val="center"/>
                </w:tcPr>
                <w:p w14:paraId="1A4941CB">
                  <w:pPr>
                    <w:pStyle w:val="29"/>
                  </w:pPr>
                  <w:r>
                    <w:t>0</w:t>
                  </w:r>
                </w:p>
              </w:tc>
              <w:tc>
                <w:tcPr>
                  <w:tcW w:w="414" w:type="pct"/>
                  <w:vAlign w:val="center"/>
                </w:tcPr>
                <w:p w14:paraId="076DCC09">
                  <w:pPr>
                    <w:pStyle w:val="29"/>
                  </w:pPr>
                  <w:r>
                    <w:t>0</w:t>
                  </w:r>
                </w:p>
              </w:tc>
            </w:tr>
          </w:tbl>
          <w:p w14:paraId="1E83B18F">
            <w:pPr>
              <w:ind w:firstLine="480"/>
              <w:rPr>
                <w:rFonts w:asciiTheme="majorBidi" w:hAnsiTheme="majorBidi" w:eastAsiaTheme="minorEastAsia" w:cstheme="majorBidi"/>
                <w:color w:val="000000" w:themeColor="text1"/>
                <w:szCs w:val="21"/>
                <w14:textFill>
                  <w14:solidFill>
                    <w14:schemeClr w14:val="tx1"/>
                  </w14:solidFill>
                </w14:textFill>
              </w:rPr>
            </w:pPr>
            <w:r>
              <w:rPr>
                <w:rFonts w:asciiTheme="majorBidi" w:hAnsiTheme="majorBidi" w:eastAsiaTheme="minorEastAsia" w:cstheme="majorBidi"/>
                <w:color w:val="000000" w:themeColor="text1"/>
                <w:szCs w:val="21"/>
                <w14:textFill>
                  <w14:solidFill>
                    <w14:schemeClr w14:val="tx1"/>
                  </w14:solidFill>
                </w14:textFill>
              </w:rPr>
              <w:t>从以上监测结果分析来看，园洲中心排渠水质可达到《地表水环境质量标准》（GB3838-2002）Ⅴ类标准。</w:t>
            </w:r>
          </w:p>
          <w:p w14:paraId="3D3F8B7F">
            <w:pPr>
              <w:ind w:firstLine="482"/>
              <w:rPr>
                <w:rFonts w:asciiTheme="majorBidi" w:hAnsiTheme="majorBidi" w:eastAsiaTheme="minorEastAsia" w:cstheme="majorBidi"/>
                <w:b/>
                <w:bCs/>
                <w:color w:val="000000" w:themeColor="text1"/>
                <w:szCs w:val="21"/>
                <w14:textFill>
                  <w14:solidFill>
                    <w14:schemeClr w14:val="tx1"/>
                  </w14:solidFill>
                </w14:textFill>
              </w:rPr>
            </w:pPr>
            <w:r>
              <w:rPr>
                <w:rFonts w:asciiTheme="majorBidi" w:hAnsiTheme="majorBidi" w:eastAsiaTheme="minorEastAsia" w:cstheme="majorBidi"/>
                <w:b/>
                <w:bCs/>
                <w:color w:val="000000" w:themeColor="text1"/>
                <w:szCs w:val="21"/>
                <w14:textFill>
                  <w14:solidFill>
                    <w14:schemeClr w14:val="tx1"/>
                  </w14:solidFill>
                </w14:textFill>
              </w:rPr>
              <w:t>（三）声环境</w:t>
            </w:r>
          </w:p>
          <w:p w14:paraId="2509838F">
            <w:pPr>
              <w:ind w:firstLine="480"/>
              <w:rPr>
                <w:rFonts w:asciiTheme="majorBidi" w:hAnsiTheme="majorBidi" w:eastAsiaTheme="minorEastAsia" w:cstheme="majorBidi"/>
                <w:color w:val="000000" w:themeColor="text1"/>
                <w:szCs w:val="21"/>
                <w14:textFill>
                  <w14:solidFill>
                    <w14:schemeClr w14:val="tx1"/>
                  </w14:solidFill>
                </w14:textFill>
              </w:rPr>
            </w:pPr>
            <w:r>
              <w:rPr>
                <w:rFonts w:asciiTheme="majorBidi" w:hAnsiTheme="majorBidi" w:eastAsiaTheme="minorEastAsia" w:cstheme="majorBidi"/>
                <w:color w:val="000000" w:themeColor="text1"/>
                <w:szCs w:val="21"/>
                <w14:textFill>
                  <w14:solidFill>
                    <w14:schemeClr w14:val="tx1"/>
                  </w14:solidFill>
                </w14:textFill>
              </w:rPr>
              <w:t>本项目厂界外周边50米范围内不存在声环境保护目标，无需监测声环境质量现状。</w:t>
            </w:r>
          </w:p>
          <w:p w14:paraId="68343708">
            <w:pPr>
              <w:ind w:firstLine="482"/>
              <w:rPr>
                <w:rFonts w:asciiTheme="majorBidi" w:hAnsiTheme="majorBidi" w:eastAsiaTheme="minorEastAsia" w:cstheme="majorBidi"/>
                <w:b/>
                <w:bCs/>
                <w:color w:val="000000" w:themeColor="text1"/>
                <w:szCs w:val="21"/>
                <w14:textFill>
                  <w14:solidFill>
                    <w14:schemeClr w14:val="tx1"/>
                  </w14:solidFill>
                </w14:textFill>
              </w:rPr>
            </w:pPr>
            <w:r>
              <w:rPr>
                <w:rFonts w:asciiTheme="majorBidi" w:hAnsiTheme="majorBidi" w:eastAsiaTheme="minorEastAsia" w:cstheme="majorBidi"/>
                <w:b/>
                <w:bCs/>
                <w:color w:val="000000" w:themeColor="text1"/>
                <w:szCs w:val="21"/>
                <w14:textFill>
                  <w14:solidFill>
                    <w14:schemeClr w14:val="tx1"/>
                  </w14:solidFill>
                </w14:textFill>
              </w:rPr>
              <w:t>（四）生态环境</w:t>
            </w:r>
          </w:p>
          <w:p w14:paraId="36301A67">
            <w:pPr>
              <w:ind w:firstLine="480"/>
              <w:rPr>
                <w:rFonts w:asciiTheme="majorBidi" w:hAnsiTheme="majorBidi" w:eastAsiaTheme="minorEastAsia" w:cstheme="majorBidi"/>
                <w:b/>
                <w:bCs/>
                <w:color w:val="000000" w:themeColor="text1"/>
                <w:szCs w:val="21"/>
                <w14:textFill>
                  <w14:solidFill>
                    <w14:schemeClr w14:val="tx1"/>
                  </w14:solidFill>
                </w14:textFill>
              </w:rPr>
            </w:pPr>
            <w:r>
              <w:rPr>
                <w:rFonts w:asciiTheme="majorBidi" w:hAnsiTheme="majorBidi" w:eastAsiaTheme="minorEastAsia" w:cstheme="majorBidi"/>
                <w:color w:val="000000" w:themeColor="text1"/>
                <w14:textFill>
                  <w14:solidFill>
                    <w14:schemeClr w14:val="tx1"/>
                  </w14:solidFill>
                </w14:textFill>
              </w:rPr>
              <w:t>本项目在空置厂房进行生产建设</w:t>
            </w:r>
            <w:r>
              <w:rPr>
                <w:rFonts w:asciiTheme="majorBidi" w:hAnsiTheme="majorBidi" w:eastAsiaTheme="minorEastAsia" w:cstheme="majorBidi"/>
                <w:color w:val="000000" w:themeColor="text1"/>
                <w:szCs w:val="21"/>
                <w14:textFill>
                  <w14:solidFill>
                    <w14:schemeClr w14:val="tx1"/>
                  </w14:solidFill>
                </w14:textFill>
              </w:rPr>
              <w:t>，不新增用地，不涉及生态环境保护目标，不开展生态现状调查。</w:t>
            </w:r>
          </w:p>
          <w:p w14:paraId="6E71BBDB">
            <w:pPr>
              <w:ind w:firstLine="482"/>
              <w:rPr>
                <w:rFonts w:asciiTheme="majorBidi" w:hAnsiTheme="majorBidi" w:eastAsiaTheme="minorEastAsia" w:cstheme="majorBidi"/>
                <w:b/>
                <w:bCs/>
                <w:color w:val="000000" w:themeColor="text1"/>
                <w:szCs w:val="21"/>
                <w14:textFill>
                  <w14:solidFill>
                    <w14:schemeClr w14:val="tx1"/>
                  </w14:solidFill>
                </w14:textFill>
              </w:rPr>
            </w:pPr>
            <w:r>
              <w:rPr>
                <w:rFonts w:asciiTheme="majorBidi" w:hAnsiTheme="majorBidi" w:eastAsiaTheme="minorEastAsia" w:cstheme="majorBidi"/>
                <w:b/>
                <w:bCs/>
                <w:color w:val="000000" w:themeColor="text1"/>
                <w:szCs w:val="21"/>
                <w14:textFill>
                  <w14:solidFill>
                    <w14:schemeClr w14:val="tx1"/>
                  </w14:solidFill>
                </w14:textFill>
              </w:rPr>
              <w:t>（五）地下水、土壤环境</w:t>
            </w:r>
          </w:p>
          <w:p w14:paraId="1C40A39E">
            <w:pPr>
              <w:ind w:firstLine="480"/>
              <w:rPr>
                <w:rFonts w:asciiTheme="majorBidi" w:hAnsiTheme="majorBidi" w:eastAsiaTheme="minorEastAsia" w:cstheme="majorBidi"/>
                <w:color w:val="000000" w:themeColor="text1"/>
                <w:szCs w:val="21"/>
                <w14:textFill>
                  <w14:solidFill>
                    <w14:schemeClr w14:val="tx1"/>
                  </w14:solidFill>
                </w14:textFill>
              </w:rPr>
            </w:pPr>
            <w:r>
              <w:rPr>
                <w:rFonts w:asciiTheme="majorBidi" w:hAnsiTheme="majorBidi" w:eastAsiaTheme="minorEastAsia" w:cstheme="majorBidi"/>
                <w:color w:val="000000" w:themeColor="text1"/>
                <w:szCs w:val="21"/>
                <w14:textFill>
                  <w14:solidFill>
                    <w14:schemeClr w14:val="tx1"/>
                  </w14:solidFill>
                </w14:textFill>
              </w:rPr>
              <w:t>根据《建设项目环境影响报告表编制技术指南（污染影响类）（试行）》，原则上可不开展地下水和土壤环境调查，本项目经对危废暂存间等区域按照要求进行防腐防渗处理后无地下水、土壤污染途径，因此，本次环评不进行土壤、地下水环境质量现状监测。</w:t>
            </w:r>
          </w:p>
        </w:tc>
      </w:tr>
      <w:tr w14:paraId="77A6869B">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02" w:hRule="atLeast"/>
          <w:jc w:val="center"/>
        </w:trPr>
        <w:tc>
          <w:tcPr>
            <w:tcW w:w="454" w:type="dxa"/>
            <w:vAlign w:val="center"/>
          </w:tcPr>
          <w:p w14:paraId="74D74080">
            <w:pPr>
              <w:pStyle w:val="10"/>
              <w:spacing w:before="48"/>
              <w:rPr>
                <w:rFonts w:asciiTheme="majorBidi" w:hAnsiTheme="majorBidi" w:eastAsiaTheme="minorEastAsia" w:cstheme="majorBidi"/>
                <w:color w:val="000000" w:themeColor="text1"/>
                <w14:textFill>
                  <w14:solidFill>
                    <w14:schemeClr w14:val="tx1"/>
                  </w14:solidFill>
                </w14:textFill>
              </w:rPr>
            </w:pPr>
            <w:r>
              <w:t>环境</w:t>
            </w:r>
            <w:r>
              <w:rPr>
                <w:rFonts w:asciiTheme="majorBidi" w:hAnsiTheme="majorBidi" w:eastAsiaTheme="minorEastAsia" w:cstheme="majorBidi"/>
                <w:color w:val="000000" w:themeColor="text1"/>
                <w14:textFill>
                  <w14:solidFill>
                    <w14:schemeClr w14:val="tx1"/>
                  </w14:solidFill>
                </w14:textFill>
              </w:rPr>
              <w:t>保护目标</w:t>
            </w:r>
          </w:p>
        </w:tc>
        <w:tc>
          <w:tcPr>
            <w:tcW w:w="9184" w:type="dxa"/>
            <w:vAlign w:val="center"/>
          </w:tcPr>
          <w:p w14:paraId="278C30ED">
            <w:pPr>
              <w:ind w:firstLine="482"/>
              <w:rPr>
                <w:rFonts w:asciiTheme="majorBidi" w:hAnsiTheme="majorBidi" w:eastAsiaTheme="minorEastAsia" w:cstheme="majorBidi"/>
                <w:b/>
                <w:bCs/>
                <w:color w:val="000000" w:themeColor="text1"/>
                <w14:textFill>
                  <w14:solidFill>
                    <w14:schemeClr w14:val="tx1"/>
                  </w14:solidFill>
                </w14:textFill>
              </w:rPr>
            </w:pPr>
            <w:r>
              <w:rPr>
                <w:rFonts w:asciiTheme="majorBidi" w:hAnsiTheme="majorBidi" w:eastAsiaTheme="minorEastAsia" w:cstheme="majorBidi"/>
                <w:b/>
                <w:bCs/>
                <w:color w:val="000000" w:themeColor="text1"/>
                <w14:textFill>
                  <w14:solidFill>
                    <w14:schemeClr w14:val="tx1"/>
                  </w14:solidFill>
                </w14:textFill>
              </w:rPr>
              <w:t>（一）大气环境</w:t>
            </w:r>
          </w:p>
          <w:p w14:paraId="04D25F58">
            <w:pPr>
              <w:ind w:left="480" w:leftChars="200" w:firstLine="480"/>
              <w:rPr>
                <w:rFonts w:asciiTheme="majorBidi" w:hAnsiTheme="majorBidi" w:eastAsiaTheme="minorEastAsia" w:cstheme="majorBidi"/>
                <w:color w:val="000000" w:themeColor="text1"/>
                <w14:textFill>
                  <w14:solidFill>
                    <w14:schemeClr w14:val="tx1"/>
                  </w14:solidFill>
                </w14:textFill>
              </w:rPr>
            </w:pPr>
            <w:r>
              <w:drawing>
                <wp:anchor distT="0" distB="0" distL="114300" distR="114300" simplePos="0" relativeHeight="251662336" behindDoc="0" locked="0" layoutInCell="1" allowOverlap="1">
                  <wp:simplePos x="0" y="0"/>
                  <wp:positionH relativeFrom="column">
                    <wp:posOffset>4781550</wp:posOffset>
                  </wp:positionH>
                  <wp:positionV relativeFrom="paragraph">
                    <wp:posOffset>294640</wp:posOffset>
                  </wp:positionV>
                  <wp:extent cx="732790" cy="704215"/>
                  <wp:effectExtent l="19050" t="19050" r="10160" b="19685"/>
                  <wp:wrapNone/>
                  <wp:docPr id="805798413"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05798413" name="图片 1"/>
                          <pic:cNvPicPr>
                            <a:picLocks noChangeAspect="1"/>
                          </pic:cNvPicPr>
                        </pic:nvPicPr>
                        <pic:blipFill>
                          <a:blip r:embed="rId28">
                            <a:extLst>
                              <a:ext uri="{28A0092B-C50C-407E-A947-70E740481C1C}">
                                <a14:useLocalDpi xmlns:a14="http://schemas.microsoft.com/office/drawing/2010/main" val="0"/>
                              </a:ext>
                            </a:extLst>
                          </a:blip>
                          <a:stretch>
                            <a:fillRect/>
                          </a:stretch>
                        </pic:blipFill>
                        <pic:spPr>
                          <a:xfrm>
                            <a:off x="0" y="0"/>
                            <a:ext cx="732790" cy="704215"/>
                          </a:xfrm>
                          <a:prstGeom prst="rect">
                            <a:avLst/>
                          </a:prstGeom>
                          <a:ln>
                            <a:solidFill>
                              <a:schemeClr val="tx1"/>
                            </a:solidFill>
                          </a:ln>
                        </pic:spPr>
                      </pic:pic>
                    </a:graphicData>
                  </a:graphic>
                </wp:anchor>
              </w:drawing>
            </w:r>
            <w:r>
              <w:rPr>
                <w:rFonts w:asciiTheme="majorBidi" w:hAnsiTheme="majorBidi" w:eastAsiaTheme="minorEastAsia" w:cstheme="majorBidi"/>
                <w:color w:val="000000" w:themeColor="text1"/>
                <w14:textFill>
                  <w14:solidFill>
                    <w14:schemeClr w14:val="tx1"/>
                  </w14:solidFill>
                </w14:textFill>
              </w:rPr>
              <w:t>项目厂界外500米范围内不存在环境敏感点。</w:t>
            </w:r>
          </w:p>
          <w:p w14:paraId="6881114C">
            <w:pPr>
              <w:pStyle w:val="29"/>
            </w:pPr>
            <w:r>
              <w:drawing>
                <wp:inline distT="0" distB="0" distL="0" distR="0">
                  <wp:extent cx="5400675" cy="3092450"/>
                  <wp:effectExtent l="0" t="0" r="0" b="0"/>
                  <wp:docPr id="709988890"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09988890" name="图片 1"/>
                          <pic:cNvPicPr>
                            <a:picLocks noChangeAspect="1"/>
                          </pic:cNvPicPr>
                        </pic:nvPicPr>
                        <pic:blipFill>
                          <a:blip r:embed="rId31"/>
                          <a:stretch>
                            <a:fillRect/>
                          </a:stretch>
                        </pic:blipFill>
                        <pic:spPr>
                          <a:xfrm>
                            <a:off x="0" y="0"/>
                            <a:ext cx="5424713" cy="3106350"/>
                          </a:xfrm>
                          <a:prstGeom prst="rect">
                            <a:avLst/>
                          </a:prstGeom>
                        </pic:spPr>
                      </pic:pic>
                    </a:graphicData>
                  </a:graphic>
                </wp:inline>
              </w:drawing>
            </w:r>
          </w:p>
          <w:p w14:paraId="06843145">
            <w:pPr>
              <w:pStyle w:val="11"/>
              <w:rPr>
                <w:bCs w:val="0"/>
              </w:rPr>
            </w:pPr>
            <w:r>
              <w:rPr>
                <w:bCs w:val="0"/>
              </w:rPr>
              <w:t>图3-4 项目500m范围内敏感点分布</w:t>
            </w:r>
          </w:p>
          <w:p w14:paraId="5846B14E">
            <w:pPr>
              <w:ind w:firstLine="482"/>
              <w:rPr>
                <w:rFonts w:asciiTheme="majorBidi" w:hAnsiTheme="majorBidi" w:eastAsiaTheme="minorEastAsia" w:cstheme="majorBidi"/>
                <w:b/>
                <w:bCs/>
                <w:color w:val="000000" w:themeColor="text1"/>
                <w14:textFill>
                  <w14:solidFill>
                    <w14:schemeClr w14:val="tx1"/>
                  </w14:solidFill>
                </w14:textFill>
              </w:rPr>
            </w:pPr>
            <w:r>
              <w:rPr>
                <w:rFonts w:asciiTheme="majorBidi" w:hAnsiTheme="majorBidi" w:eastAsiaTheme="minorEastAsia" w:cstheme="majorBidi"/>
                <w:b/>
                <w:bCs/>
                <w:color w:val="000000" w:themeColor="text1"/>
                <w14:textFill>
                  <w14:solidFill>
                    <w14:schemeClr w14:val="tx1"/>
                  </w14:solidFill>
                </w14:textFill>
              </w:rPr>
              <w:t>（二）声环境</w:t>
            </w:r>
          </w:p>
          <w:p w14:paraId="125F4854">
            <w:pPr>
              <w:ind w:firstLine="480"/>
              <w:rPr>
                <w:rFonts w:asciiTheme="majorBidi" w:hAnsiTheme="majorBidi" w:eastAsiaTheme="minorEastAsia" w:cstheme="majorBidi"/>
                <w:color w:val="000000" w:themeColor="text1"/>
                <w14:textFill>
                  <w14:solidFill>
                    <w14:schemeClr w14:val="tx1"/>
                  </w14:solidFill>
                </w14:textFill>
              </w:rPr>
            </w:pPr>
            <w:r>
              <w:rPr>
                <w:rFonts w:asciiTheme="majorBidi" w:hAnsiTheme="majorBidi" w:eastAsiaTheme="minorEastAsia" w:cstheme="majorBidi"/>
                <w:color w:val="000000" w:themeColor="text1"/>
                <w14:textFill>
                  <w14:solidFill>
                    <w14:schemeClr w14:val="tx1"/>
                  </w14:solidFill>
                </w14:textFill>
              </w:rPr>
              <w:t>项目厂界外50米范围内不存在声环境保护目标。</w:t>
            </w:r>
          </w:p>
          <w:p w14:paraId="112287EF">
            <w:pPr>
              <w:ind w:firstLine="482"/>
              <w:rPr>
                <w:rFonts w:asciiTheme="majorBidi" w:hAnsiTheme="majorBidi" w:eastAsiaTheme="minorEastAsia" w:cstheme="majorBidi"/>
                <w:b/>
                <w:bCs/>
                <w:color w:val="000000" w:themeColor="text1"/>
                <w14:textFill>
                  <w14:solidFill>
                    <w14:schemeClr w14:val="tx1"/>
                  </w14:solidFill>
                </w14:textFill>
              </w:rPr>
            </w:pPr>
            <w:r>
              <w:rPr>
                <w:rFonts w:asciiTheme="majorBidi" w:hAnsiTheme="majorBidi" w:eastAsiaTheme="minorEastAsia" w:cstheme="majorBidi"/>
                <w:b/>
                <w:bCs/>
                <w:color w:val="000000" w:themeColor="text1"/>
                <w14:textFill>
                  <w14:solidFill>
                    <w14:schemeClr w14:val="tx1"/>
                  </w14:solidFill>
                </w14:textFill>
              </w:rPr>
              <w:t>（三）地下水环境</w:t>
            </w:r>
          </w:p>
          <w:p w14:paraId="6C6668EC">
            <w:pPr>
              <w:ind w:firstLine="480"/>
              <w:rPr>
                <w:rFonts w:asciiTheme="majorBidi" w:hAnsiTheme="majorBidi" w:eastAsiaTheme="minorEastAsia" w:cstheme="majorBidi"/>
                <w:b/>
                <w:bCs/>
                <w:color w:val="000000" w:themeColor="text1"/>
                <w:sz w:val="21"/>
                <w:szCs w:val="21"/>
                <w14:textFill>
                  <w14:solidFill>
                    <w14:schemeClr w14:val="tx1"/>
                  </w14:solidFill>
                </w14:textFill>
              </w:rPr>
            </w:pPr>
            <w:r>
              <w:rPr>
                <w:rFonts w:asciiTheme="majorBidi" w:hAnsiTheme="majorBidi" w:eastAsiaTheme="minorEastAsia" w:cstheme="majorBidi"/>
                <w:color w:val="000000" w:themeColor="text1"/>
                <w14:textFill>
                  <w14:solidFill>
                    <w14:schemeClr w14:val="tx1"/>
                  </w14:solidFill>
                </w14:textFill>
              </w:rPr>
              <w:t>项目厂界外500米范围内无地下水集中式饮用水水源和热水、矿泉水、温泉等特殊地下水资源。</w:t>
            </w:r>
          </w:p>
          <w:p w14:paraId="2F3A3056">
            <w:pPr>
              <w:ind w:firstLine="482"/>
              <w:rPr>
                <w:rFonts w:asciiTheme="majorBidi" w:hAnsiTheme="majorBidi" w:eastAsiaTheme="minorEastAsia" w:cstheme="majorBidi"/>
                <w:b/>
                <w:bCs/>
                <w:color w:val="000000" w:themeColor="text1"/>
                <w14:textFill>
                  <w14:solidFill>
                    <w14:schemeClr w14:val="tx1"/>
                  </w14:solidFill>
                </w14:textFill>
              </w:rPr>
            </w:pPr>
            <w:r>
              <w:rPr>
                <w:rFonts w:asciiTheme="majorBidi" w:hAnsiTheme="majorBidi" w:eastAsiaTheme="minorEastAsia" w:cstheme="majorBidi"/>
                <w:b/>
                <w:bCs/>
                <w:color w:val="000000" w:themeColor="text1"/>
                <w14:textFill>
                  <w14:solidFill>
                    <w14:schemeClr w14:val="tx1"/>
                  </w14:solidFill>
                </w14:textFill>
              </w:rPr>
              <w:t>（四）生态环境</w:t>
            </w:r>
          </w:p>
          <w:p w14:paraId="2FD41E98">
            <w:pPr>
              <w:ind w:firstLine="480"/>
              <w:rPr>
                <w:rFonts w:asciiTheme="majorBidi" w:hAnsiTheme="majorBidi" w:eastAsiaTheme="minorEastAsia" w:cstheme="majorBidi"/>
                <w:color w:val="000000" w:themeColor="text1"/>
                <w14:textFill>
                  <w14:solidFill>
                    <w14:schemeClr w14:val="tx1"/>
                  </w14:solidFill>
                </w14:textFill>
              </w:rPr>
            </w:pPr>
            <w:r>
              <w:rPr>
                <w:rFonts w:asciiTheme="majorBidi" w:hAnsiTheme="majorBidi" w:eastAsiaTheme="minorEastAsia" w:cstheme="majorBidi"/>
                <w:color w:val="000000" w:themeColor="text1"/>
                <w14:textFill>
                  <w14:solidFill>
                    <w14:schemeClr w14:val="tx1"/>
                  </w14:solidFill>
                </w14:textFill>
              </w:rPr>
              <w:t>本项目在已建厂房进行生产建设，无新增用地，不涉及生态环境保护目标。</w:t>
            </w:r>
          </w:p>
        </w:tc>
      </w:tr>
      <w:tr w14:paraId="08BFCD73">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305" w:hRule="atLeast"/>
          <w:jc w:val="center"/>
        </w:trPr>
        <w:tc>
          <w:tcPr>
            <w:tcW w:w="454" w:type="dxa"/>
            <w:tcMar>
              <w:left w:w="28" w:type="dxa"/>
              <w:right w:w="28" w:type="dxa"/>
            </w:tcMar>
            <w:vAlign w:val="center"/>
          </w:tcPr>
          <w:p w14:paraId="4A86DCE6">
            <w:pPr>
              <w:pStyle w:val="10"/>
              <w:spacing w:before="48"/>
            </w:pPr>
            <w:r>
              <w:t>污染</w:t>
            </w:r>
          </w:p>
          <w:p w14:paraId="32D52F4F">
            <w:pPr>
              <w:pStyle w:val="10"/>
              <w:spacing w:before="48"/>
            </w:pPr>
            <w:r>
              <w:t>物排</w:t>
            </w:r>
          </w:p>
          <w:p w14:paraId="3784B5AD">
            <w:pPr>
              <w:pStyle w:val="10"/>
              <w:spacing w:before="48"/>
            </w:pPr>
            <w:r>
              <w:t>放控</w:t>
            </w:r>
          </w:p>
          <w:p w14:paraId="793A8EBA">
            <w:pPr>
              <w:pStyle w:val="10"/>
              <w:spacing w:before="48"/>
            </w:pPr>
            <w:r>
              <w:t>制标</w:t>
            </w:r>
          </w:p>
          <w:p w14:paraId="56827074">
            <w:pPr>
              <w:pStyle w:val="10"/>
              <w:spacing w:before="48"/>
            </w:pPr>
            <w:r>
              <w:t>准</w:t>
            </w:r>
          </w:p>
        </w:tc>
        <w:tc>
          <w:tcPr>
            <w:tcW w:w="9184" w:type="dxa"/>
            <w:vAlign w:val="center"/>
          </w:tcPr>
          <w:p w14:paraId="6520E7C8">
            <w:pPr>
              <w:ind w:firstLine="482"/>
              <w:rPr>
                <w:rFonts w:asciiTheme="majorBidi" w:hAnsiTheme="majorBidi" w:eastAsiaTheme="minorEastAsia" w:cstheme="majorBidi"/>
                <w:b/>
                <w:bCs/>
                <w:color w:val="000000" w:themeColor="text1"/>
                <w:kern w:val="2"/>
                <w:szCs w:val="21"/>
                <w14:textFill>
                  <w14:solidFill>
                    <w14:schemeClr w14:val="tx1"/>
                  </w14:solidFill>
                </w14:textFill>
              </w:rPr>
            </w:pPr>
            <w:r>
              <w:rPr>
                <w:rFonts w:asciiTheme="majorBidi" w:hAnsiTheme="majorBidi" w:eastAsiaTheme="minorEastAsia" w:cstheme="majorBidi"/>
                <w:b/>
                <w:bCs/>
                <w:color w:val="000000" w:themeColor="text1"/>
                <w:kern w:val="2"/>
                <w:szCs w:val="21"/>
                <w14:textFill>
                  <w14:solidFill>
                    <w14:schemeClr w14:val="tx1"/>
                  </w14:solidFill>
                </w14:textFill>
              </w:rPr>
              <w:t>（一）废水排放标准</w:t>
            </w:r>
          </w:p>
          <w:p w14:paraId="3A68D519">
            <w:pPr>
              <w:ind w:firstLine="480"/>
              <w:rPr>
                <w:rFonts w:asciiTheme="majorBidi" w:hAnsiTheme="majorBidi" w:eastAsiaTheme="minorEastAsia" w:cstheme="majorBidi"/>
                <w:color w:val="000000" w:themeColor="text1"/>
                <w:kern w:val="2"/>
                <w14:textFill>
                  <w14:solidFill>
                    <w14:schemeClr w14:val="tx1"/>
                  </w14:solidFill>
                </w14:textFill>
              </w:rPr>
            </w:pPr>
            <w:r>
              <w:rPr>
                <w:rFonts w:asciiTheme="majorBidi" w:hAnsiTheme="majorBidi" w:eastAsiaTheme="minorEastAsia" w:cstheme="majorBidi"/>
                <w:color w:val="000000" w:themeColor="text1"/>
                <w:kern w:val="2"/>
                <w14:textFill>
                  <w14:solidFill>
                    <w14:schemeClr w14:val="tx1"/>
                  </w14:solidFill>
                </w14:textFill>
              </w:rPr>
              <w:t>项目水帘柜废液、喷枪清洗废液、喷淋塔废液收集后交由有危险废物处置资质的单位处理，不外排；生活污水经三级化粪池预处理达到广东省《水污染物排放限值》（DB44/26-2001）第二时段三级标准后</w:t>
            </w:r>
            <w:r>
              <w:rPr>
                <w:rFonts w:asciiTheme="majorBidi" w:hAnsiTheme="majorBidi" w:eastAsiaTheme="minorEastAsia" w:cstheme="majorBidi"/>
                <w:bCs/>
                <w:color w:val="000000" w:themeColor="text1"/>
                <w:kern w:val="2"/>
                <w14:textFill>
                  <w14:solidFill>
                    <w14:schemeClr w14:val="tx1"/>
                  </w14:solidFill>
                </w14:textFill>
              </w:rPr>
              <w:t>通过市政管网排入园洲镇第五生活污水处理厂处理，尾水中氨氮、总磷浓度执行《地表水环境质量标准》（GB3838-2002）中Ⅴ类水浓度标准，其余排放执行《城镇污水处理厂污染物排放标准》（GB18918-2002）一级A标准及广东省《水污染物排放限值》（DB44/26-2001）第二时段一级标准的较严值标准，</w:t>
            </w:r>
            <w:r>
              <w:rPr>
                <w:rFonts w:asciiTheme="majorBidi" w:hAnsiTheme="majorBidi" w:eastAsiaTheme="minorEastAsia" w:cstheme="majorBidi"/>
                <w:color w:val="000000" w:themeColor="text1"/>
                <w:kern w:val="2"/>
                <w14:textFill>
                  <w14:solidFill>
                    <w14:schemeClr w14:val="tx1"/>
                  </w14:solidFill>
                </w14:textFill>
              </w:rPr>
              <w:t>尾水排入园洲中心排渠，经过沙河汇入东江。</w:t>
            </w:r>
          </w:p>
          <w:p w14:paraId="62C3FA12">
            <w:pPr>
              <w:pStyle w:val="11"/>
              <w:rPr>
                <w:bCs w:val="0"/>
              </w:rPr>
            </w:pPr>
            <w:r>
              <w:rPr>
                <w:bCs w:val="0"/>
              </w:rPr>
              <w:t>表3-4 水污染物排放限值，单位：mg/L（pH：无量纲）</w:t>
            </w:r>
          </w:p>
          <w:tbl>
            <w:tblPr>
              <w:tblStyle w:val="21"/>
              <w:tblW w:w="5000" w:type="pct"/>
              <w:tblInd w:w="0" w:type="dxa"/>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2976"/>
              <w:gridCol w:w="856"/>
              <w:gridCol w:w="856"/>
              <w:gridCol w:w="856"/>
              <w:gridCol w:w="856"/>
              <w:gridCol w:w="856"/>
              <w:gridCol w:w="856"/>
              <w:gridCol w:w="856"/>
            </w:tblGrid>
            <w:tr w14:paraId="4CC38C00">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660" w:type="pct"/>
                  <w:vAlign w:val="center"/>
                </w:tcPr>
                <w:p w14:paraId="135D6427">
                  <w:pPr>
                    <w:pStyle w:val="29"/>
                    <w:rPr>
                      <w:b/>
                      <w:bCs/>
                    </w:rPr>
                  </w:pPr>
                  <w:r>
                    <w:rPr>
                      <w:b/>
                      <w:bCs/>
                    </w:rPr>
                    <w:t>类别</w:t>
                  </w:r>
                </w:p>
              </w:tc>
              <w:tc>
                <w:tcPr>
                  <w:tcW w:w="477" w:type="pct"/>
                  <w:vAlign w:val="center"/>
                </w:tcPr>
                <w:p w14:paraId="00D7D6F5">
                  <w:pPr>
                    <w:pStyle w:val="29"/>
                    <w:rPr>
                      <w:b/>
                      <w:bCs/>
                    </w:rPr>
                  </w:pPr>
                  <w:r>
                    <w:rPr>
                      <w:b/>
                      <w:bCs/>
                    </w:rPr>
                    <w:t>pH</w:t>
                  </w:r>
                </w:p>
              </w:tc>
              <w:tc>
                <w:tcPr>
                  <w:tcW w:w="477" w:type="pct"/>
                  <w:vAlign w:val="center"/>
                </w:tcPr>
                <w:p w14:paraId="735E1D9D">
                  <w:pPr>
                    <w:pStyle w:val="29"/>
                    <w:rPr>
                      <w:b/>
                      <w:bCs/>
                    </w:rPr>
                  </w:pPr>
                  <w:r>
                    <w:rPr>
                      <w:b/>
                      <w:bCs/>
                    </w:rPr>
                    <w:t>COD</w:t>
                  </w:r>
                  <w:r>
                    <w:rPr>
                      <w:b/>
                      <w:bCs/>
                      <w:vertAlign w:val="subscript"/>
                    </w:rPr>
                    <w:t>Cr</w:t>
                  </w:r>
                </w:p>
              </w:tc>
              <w:tc>
                <w:tcPr>
                  <w:tcW w:w="477" w:type="pct"/>
                  <w:vAlign w:val="center"/>
                </w:tcPr>
                <w:p w14:paraId="7CA2FB1B">
                  <w:pPr>
                    <w:pStyle w:val="29"/>
                    <w:rPr>
                      <w:b/>
                      <w:bCs/>
                    </w:rPr>
                  </w:pPr>
                  <w:r>
                    <w:rPr>
                      <w:b/>
                      <w:bCs/>
                    </w:rPr>
                    <w:t>BOD</w:t>
                  </w:r>
                  <w:r>
                    <w:rPr>
                      <w:b/>
                      <w:bCs/>
                      <w:vertAlign w:val="subscript"/>
                    </w:rPr>
                    <w:t>5</w:t>
                  </w:r>
                </w:p>
              </w:tc>
              <w:tc>
                <w:tcPr>
                  <w:tcW w:w="477" w:type="pct"/>
                  <w:vAlign w:val="center"/>
                </w:tcPr>
                <w:p w14:paraId="138835EB">
                  <w:pPr>
                    <w:pStyle w:val="29"/>
                    <w:rPr>
                      <w:b/>
                      <w:bCs/>
                    </w:rPr>
                  </w:pPr>
                  <w:r>
                    <w:rPr>
                      <w:b/>
                      <w:bCs/>
                    </w:rPr>
                    <w:t>氨氮</w:t>
                  </w:r>
                </w:p>
              </w:tc>
              <w:tc>
                <w:tcPr>
                  <w:tcW w:w="477" w:type="pct"/>
                  <w:vAlign w:val="center"/>
                </w:tcPr>
                <w:p w14:paraId="6B893CA1">
                  <w:pPr>
                    <w:pStyle w:val="29"/>
                    <w:rPr>
                      <w:b/>
                      <w:bCs/>
                    </w:rPr>
                  </w:pPr>
                  <w:r>
                    <w:rPr>
                      <w:b/>
                      <w:bCs/>
                    </w:rPr>
                    <w:t>SS</w:t>
                  </w:r>
                </w:p>
              </w:tc>
              <w:tc>
                <w:tcPr>
                  <w:tcW w:w="477" w:type="pct"/>
                  <w:vAlign w:val="center"/>
                </w:tcPr>
                <w:p w14:paraId="0AE7D88A">
                  <w:pPr>
                    <w:pStyle w:val="29"/>
                    <w:rPr>
                      <w:b/>
                      <w:bCs/>
                    </w:rPr>
                  </w:pPr>
                  <w:r>
                    <w:rPr>
                      <w:b/>
                      <w:bCs/>
                    </w:rPr>
                    <w:t>总磷</w:t>
                  </w:r>
                </w:p>
              </w:tc>
              <w:tc>
                <w:tcPr>
                  <w:tcW w:w="477" w:type="pct"/>
                  <w:vAlign w:val="center"/>
                </w:tcPr>
                <w:p w14:paraId="7B6AD6E8">
                  <w:pPr>
                    <w:pStyle w:val="29"/>
                    <w:rPr>
                      <w:b/>
                      <w:bCs/>
                    </w:rPr>
                  </w:pPr>
                  <w:r>
                    <w:rPr>
                      <w:b/>
                      <w:bCs/>
                    </w:rPr>
                    <w:t>总氮</w:t>
                  </w:r>
                </w:p>
              </w:tc>
            </w:tr>
            <w:tr w14:paraId="0F9C1EDC">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660" w:type="pct"/>
                  <w:vAlign w:val="center"/>
                </w:tcPr>
                <w:p w14:paraId="6E23D416">
                  <w:pPr>
                    <w:pStyle w:val="29"/>
                  </w:pPr>
                  <w:r>
                    <w:t>《水污染物排放标准限值》（DB44/26-2001）第二时段三级标准</w:t>
                  </w:r>
                </w:p>
              </w:tc>
              <w:tc>
                <w:tcPr>
                  <w:tcW w:w="477" w:type="pct"/>
                  <w:vAlign w:val="center"/>
                </w:tcPr>
                <w:p w14:paraId="6F8C458D">
                  <w:pPr>
                    <w:pStyle w:val="29"/>
                  </w:pPr>
                  <w:r>
                    <w:t>6～9</w:t>
                  </w:r>
                </w:p>
              </w:tc>
              <w:tc>
                <w:tcPr>
                  <w:tcW w:w="477" w:type="pct"/>
                  <w:vAlign w:val="center"/>
                </w:tcPr>
                <w:p w14:paraId="73553246">
                  <w:pPr>
                    <w:pStyle w:val="29"/>
                  </w:pPr>
                  <w:r>
                    <w:t>≤500</w:t>
                  </w:r>
                </w:p>
              </w:tc>
              <w:tc>
                <w:tcPr>
                  <w:tcW w:w="477" w:type="pct"/>
                  <w:vAlign w:val="center"/>
                </w:tcPr>
                <w:p w14:paraId="2676919B">
                  <w:pPr>
                    <w:pStyle w:val="29"/>
                  </w:pPr>
                  <w:r>
                    <w:t>≤300</w:t>
                  </w:r>
                </w:p>
              </w:tc>
              <w:tc>
                <w:tcPr>
                  <w:tcW w:w="477" w:type="pct"/>
                  <w:vAlign w:val="center"/>
                </w:tcPr>
                <w:p w14:paraId="2DBCA99F">
                  <w:pPr>
                    <w:pStyle w:val="29"/>
                  </w:pPr>
                  <w:r>
                    <w:t>--</w:t>
                  </w:r>
                </w:p>
              </w:tc>
              <w:tc>
                <w:tcPr>
                  <w:tcW w:w="477" w:type="pct"/>
                  <w:vAlign w:val="center"/>
                </w:tcPr>
                <w:p w14:paraId="39C40916">
                  <w:pPr>
                    <w:pStyle w:val="29"/>
                  </w:pPr>
                  <w:r>
                    <w:t>≤400</w:t>
                  </w:r>
                </w:p>
              </w:tc>
              <w:tc>
                <w:tcPr>
                  <w:tcW w:w="477" w:type="pct"/>
                  <w:vAlign w:val="center"/>
                </w:tcPr>
                <w:p w14:paraId="309D600B">
                  <w:pPr>
                    <w:pStyle w:val="29"/>
                  </w:pPr>
                  <w:r>
                    <w:t>/</w:t>
                  </w:r>
                </w:p>
              </w:tc>
              <w:tc>
                <w:tcPr>
                  <w:tcW w:w="477" w:type="pct"/>
                  <w:vAlign w:val="center"/>
                </w:tcPr>
                <w:p w14:paraId="207A51AD">
                  <w:pPr>
                    <w:pStyle w:val="29"/>
                  </w:pPr>
                  <w:r>
                    <w:t>/</w:t>
                  </w:r>
                </w:p>
              </w:tc>
            </w:tr>
            <w:tr w14:paraId="504A7457">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660" w:type="pct"/>
                  <w:vAlign w:val="center"/>
                </w:tcPr>
                <w:p w14:paraId="73589C8F">
                  <w:pPr>
                    <w:pStyle w:val="29"/>
                  </w:pPr>
                  <w:r>
                    <w:rPr>
                      <w:bCs/>
                    </w:rPr>
                    <w:t>《城镇污水处理厂污染物排放标准》</w:t>
                  </w:r>
                  <w:r>
                    <w:t>（GB18918－2002）一级A标准</w:t>
                  </w:r>
                </w:p>
              </w:tc>
              <w:tc>
                <w:tcPr>
                  <w:tcW w:w="477" w:type="pct"/>
                  <w:vAlign w:val="center"/>
                </w:tcPr>
                <w:p w14:paraId="297B1475">
                  <w:pPr>
                    <w:pStyle w:val="29"/>
                  </w:pPr>
                  <w:r>
                    <w:t>6～9</w:t>
                  </w:r>
                </w:p>
              </w:tc>
              <w:tc>
                <w:tcPr>
                  <w:tcW w:w="477" w:type="pct"/>
                  <w:vAlign w:val="center"/>
                </w:tcPr>
                <w:p w14:paraId="71CCA5BE">
                  <w:pPr>
                    <w:pStyle w:val="29"/>
                  </w:pPr>
                  <w:r>
                    <w:t>≤50</w:t>
                  </w:r>
                </w:p>
              </w:tc>
              <w:tc>
                <w:tcPr>
                  <w:tcW w:w="477" w:type="pct"/>
                  <w:vAlign w:val="center"/>
                </w:tcPr>
                <w:p w14:paraId="52FF50AD">
                  <w:pPr>
                    <w:pStyle w:val="29"/>
                  </w:pPr>
                  <w:r>
                    <w:t>≤10</w:t>
                  </w:r>
                </w:p>
              </w:tc>
              <w:tc>
                <w:tcPr>
                  <w:tcW w:w="477" w:type="pct"/>
                  <w:vAlign w:val="center"/>
                </w:tcPr>
                <w:p w14:paraId="27C6D0FE">
                  <w:pPr>
                    <w:pStyle w:val="29"/>
                  </w:pPr>
                  <w:r>
                    <w:t>≤5（8）</w:t>
                  </w:r>
                </w:p>
              </w:tc>
              <w:tc>
                <w:tcPr>
                  <w:tcW w:w="477" w:type="pct"/>
                  <w:vAlign w:val="center"/>
                </w:tcPr>
                <w:p w14:paraId="114C7971">
                  <w:pPr>
                    <w:pStyle w:val="29"/>
                  </w:pPr>
                  <w:r>
                    <w:t>≤10</w:t>
                  </w:r>
                </w:p>
              </w:tc>
              <w:tc>
                <w:tcPr>
                  <w:tcW w:w="477" w:type="pct"/>
                  <w:vAlign w:val="center"/>
                </w:tcPr>
                <w:p w14:paraId="3DDB9D5F">
                  <w:pPr>
                    <w:pStyle w:val="29"/>
                  </w:pPr>
                  <w:r>
                    <w:t>≤0.5</w:t>
                  </w:r>
                </w:p>
              </w:tc>
              <w:tc>
                <w:tcPr>
                  <w:tcW w:w="477" w:type="pct"/>
                  <w:vAlign w:val="center"/>
                </w:tcPr>
                <w:p w14:paraId="2D311DA1">
                  <w:pPr>
                    <w:pStyle w:val="29"/>
                  </w:pPr>
                  <w:r>
                    <w:t>≤15</w:t>
                  </w:r>
                </w:p>
              </w:tc>
            </w:tr>
            <w:tr w14:paraId="7C2C5A13">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660" w:type="pct"/>
                  <w:vAlign w:val="center"/>
                </w:tcPr>
                <w:p w14:paraId="5BF3F3B1">
                  <w:pPr>
                    <w:pStyle w:val="29"/>
                  </w:pPr>
                  <w:r>
                    <w:rPr>
                      <w:bCs/>
                    </w:rPr>
                    <w:t>《水污染物排放限值》</w:t>
                  </w:r>
                  <w:r>
                    <w:t>（DB44/26-2001）第二时段一级标准</w:t>
                  </w:r>
                </w:p>
              </w:tc>
              <w:tc>
                <w:tcPr>
                  <w:tcW w:w="477" w:type="pct"/>
                  <w:vAlign w:val="center"/>
                </w:tcPr>
                <w:p w14:paraId="38D8C3B0">
                  <w:pPr>
                    <w:pStyle w:val="29"/>
                  </w:pPr>
                  <w:r>
                    <w:t>6～9</w:t>
                  </w:r>
                </w:p>
              </w:tc>
              <w:tc>
                <w:tcPr>
                  <w:tcW w:w="477" w:type="pct"/>
                  <w:vAlign w:val="center"/>
                </w:tcPr>
                <w:p w14:paraId="6ED81079">
                  <w:pPr>
                    <w:pStyle w:val="29"/>
                  </w:pPr>
                  <w:r>
                    <w:t>≤40</w:t>
                  </w:r>
                </w:p>
              </w:tc>
              <w:tc>
                <w:tcPr>
                  <w:tcW w:w="477" w:type="pct"/>
                  <w:vAlign w:val="center"/>
                </w:tcPr>
                <w:p w14:paraId="71FCF47B">
                  <w:pPr>
                    <w:pStyle w:val="29"/>
                  </w:pPr>
                  <w:r>
                    <w:t>≤20</w:t>
                  </w:r>
                </w:p>
              </w:tc>
              <w:tc>
                <w:tcPr>
                  <w:tcW w:w="477" w:type="pct"/>
                  <w:vAlign w:val="center"/>
                </w:tcPr>
                <w:p w14:paraId="103BFCB6">
                  <w:pPr>
                    <w:pStyle w:val="29"/>
                  </w:pPr>
                  <w:r>
                    <w:t>≤10</w:t>
                  </w:r>
                </w:p>
              </w:tc>
              <w:tc>
                <w:tcPr>
                  <w:tcW w:w="477" w:type="pct"/>
                  <w:vAlign w:val="center"/>
                </w:tcPr>
                <w:p w14:paraId="685A867D">
                  <w:pPr>
                    <w:pStyle w:val="29"/>
                  </w:pPr>
                  <w:r>
                    <w:t>≤20</w:t>
                  </w:r>
                </w:p>
              </w:tc>
              <w:tc>
                <w:tcPr>
                  <w:tcW w:w="477" w:type="pct"/>
                  <w:vAlign w:val="center"/>
                </w:tcPr>
                <w:p w14:paraId="73E66856">
                  <w:pPr>
                    <w:pStyle w:val="29"/>
                  </w:pPr>
                  <w:r>
                    <w:t>≤0.5</w:t>
                  </w:r>
                </w:p>
              </w:tc>
              <w:tc>
                <w:tcPr>
                  <w:tcW w:w="477" w:type="pct"/>
                  <w:vAlign w:val="center"/>
                </w:tcPr>
                <w:p w14:paraId="693D9FE7">
                  <w:pPr>
                    <w:pStyle w:val="29"/>
                  </w:pPr>
                  <w:r>
                    <w:t>/</w:t>
                  </w:r>
                </w:p>
              </w:tc>
            </w:tr>
            <w:tr w14:paraId="6954141F">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660" w:type="pct"/>
                  <w:vAlign w:val="center"/>
                </w:tcPr>
                <w:p w14:paraId="4C888017">
                  <w:pPr>
                    <w:pStyle w:val="29"/>
                  </w:pPr>
                  <w:r>
                    <w:t>《地表水环境质量标准》（GB3838-2002）Ⅴ类</w:t>
                  </w:r>
                </w:p>
              </w:tc>
              <w:tc>
                <w:tcPr>
                  <w:tcW w:w="477" w:type="pct"/>
                  <w:vAlign w:val="center"/>
                </w:tcPr>
                <w:p w14:paraId="2BA6CF7E">
                  <w:pPr>
                    <w:pStyle w:val="29"/>
                  </w:pPr>
                  <w:r>
                    <w:t>6～9</w:t>
                  </w:r>
                </w:p>
              </w:tc>
              <w:tc>
                <w:tcPr>
                  <w:tcW w:w="477" w:type="pct"/>
                  <w:vAlign w:val="center"/>
                </w:tcPr>
                <w:p w14:paraId="3972E625">
                  <w:pPr>
                    <w:pStyle w:val="29"/>
                  </w:pPr>
                  <w:r>
                    <w:t>/</w:t>
                  </w:r>
                </w:p>
              </w:tc>
              <w:tc>
                <w:tcPr>
                  <w:tcW w:w="477" w:type="pct"/>
                  <w:vAlign w:val="center"/>
                </w:tcPr>
                <w:p w14:paraId="07F3FD53">
                  <w:pPr>
                    <w:pStyle w:val="29"/>
                  </w:pPr>
                  <w:r>
                    <w:t>/</w:t>
                  </w:r>
                </w:p>
              </w:tc>
              <w:tc>
                <w:tcPr>
                  <w:tcW w:w="477" w:type="pct"/>
                  <w:vAlign w:val="center"/>
                </w:tcPr>
                <w:p w14:paraId="364A1180">
                  <w:pPr>
                    <w:pStyle w:val="29"/>
                  </w:pPr>
                  <w:r>
                    <w:t>≤2</w:t>
                  </w:r>
                </w:p>
              </w:tc>
              <w:tc>
                <w:tcPr>
                  <w:tcW w:w="477" w:type="pct"/>
                  <w:vAlign w:val="center"/>
                </w:tcPr>
                <w:p w14:paraId="528E25C1">
                  <w:pPr>
                    <w:pStyle w:val="29"/>
                  </w:pPr>
                  <w:r>
                    <w:t>/</w:t>
                  </w:r>
                </w:p>
              </w:tc>
              <w:tc>
                <w:tcPr>
                  <w:tcW w:w="477" w:type="pct"/>
                  <w:vAlign w:val="center"/>
                </w:tcPr>
                <w:p w14:paraId="324B372E">
                  <w:pPr>
                    <w:pStyle w:val="29"/>
                  </w:pPr>
                  <w:r>
                    <w:t>≤0.4</w:t>
                  </w:r>
                </w:p>
              </w:tc>
              <w:tc>
                <w:tcPr>
                  <w:tcW w:w="477" w:type="pct"/>
                  <w:vAlign w:val="center"/>
                </w:tcPr>
                <w:p w14:paraId="0A909FEE">
                  <w:pPr>
                    <w:pStyle w:val="29"/>
                  </w:pPr>
                  <w:r>
                    <w:t>/</w:t>
                  </w:r>
                </w:p>
              </w:tc>
            </w:tr>
            <w:tr w14:paraId="12CF38B0">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660" w:type="pct"/>
                  <w:vAlign w:val="center"/>
                </w:tcPr>
                <w:p w14:paraId="680CD057">
                  <w:pPr>
                    <w:pStyle w:val="29"/>
                  </w:pPr>
                  <w:r>
                    <w:t>本项目生活污水排水执行标准</w:t>
                  </w:r>
                </w:p>
              </w:tc>
              <w:tc>
                <w:tcPr>
                  <w:tcW w:w="477" w:type="pct"/>
                  <w:vAlign w:val="center"/>
                </w:tcPr>
                <w:p w14:paraId="4EA18221">
                  <w:pPr>
                    <w:pStyle w:val="29"/>
                  </w:pPr>
                  <w:r>
                    <w:t>6～9</w:t>
                  </w:r>
                </w:p>
              </w:tc>
              <w:tc>
                <w:tcPr>
                  <w:tcW w:w="477" w:type="pct"/>
                  <w:vAlign w:val="center"/>
                </w:tcPr>
                <w:p w14:paraId="250A14BD">
                  <w:pPr>
                    <w:pStyle w:val="29"/>
                  </w:pPr>
                  <w:r>
                    <w:t>≤500</w:t>
                  </w:r>
                </w:p>
              </w:tc>
              <w:tc>
                <w:tcPr>
                  <w:tcW w:w="477" w:type="pct"/>
                  <w:vAlign w:val="center"/>
                </w:tcPr>
                <w:p w14:paraId="0ECA6DF4">
                  <w:pPr>
                    <w:pStyle w:val="29"/>
                  </w:pPr>
                  <w:r>
                    <w:t>≤300</w:t>
                  </w:r>
                </w:p>
              </w:tc>
              <w:tc>
                <w:tcPr>
                  <w:tcW w:w="477" w:type="pct"/>
                  <w:vAlign w:val="center"/>
                </w:tcPr>
                <w:p w14:paraId="06E8F493">
                  <w:pPr>
                    <w:pStyle w:val="29"/>
                  </w:pPr>
                  <w:r>
                    <w:t>--</w:t>
                  </w:r>
                </w:p>
              </w:tc>
              <w:tc>
                <w:tcPr>
                  <w:tcW w:w="477" w:type="pct"/>
                  <w:vAlign w:val="center"/>
                </w:tcPr>
                <w:p w14:paraId="31FB5118">
                  <w:pPr>
                    <w:pStyle w:val="29"/>
                  </w:pPr>
                  <w:r>
                    <w:t>≤400</w:t>
                  </w:r>
                </w:p>
              </w:tc>
              <w:tc>
                <w:tcPr>
                  <w:tcW w:w="477" w:type="pct"/>
                  <w:vAlign w:val="center"/>
                </w:tcPr>
                <w:p w14:paraId="1162C736">
                  <w:pPr>
                    <w:pStyle w:val="29"/>
                  </w:pPr>
                  <w:r>
                    <w:t>/</w:t>
                  </w:r>
                </w:p>
              </w:tc>
              <w:tc>
                <w:tcPr>
                  <w:tcW w:w="477" w:type="pct"/>
                  <w:vAlign w:val="center"/>
                </w:tcPr>
                <w:p w14:paraId="15810CA8">
                  <w:pPr>
                    <w:pStyle w:val="29"/>
                  </w:pPr>
                  <w:r>
                    <w:t>/</w:t>
                  </w:r>
                </w:p>
              </w:tc>
            </w:tr>
            <w:tr w14:paraId="2A423471">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660" w:type="pct"/>
                  <w:vAlign w:val="center"/>
                </w:tcPr>
                <w:p w14:paraId="5994DEF9">
                  <w:pPr>
                    <w:pStyle w:val="29"/>
                  </w:pPr>
                  <w:r>
                    <w:t>污水处理厂出水执行标准</w:t>
                  </w:r>
                </w:p>
              </w:tc>
              <w:tc>
                <w:tcPr>
                  <w:tcW w:w="477" w:type="pct"/>
                  <w:vAlign w:val="center"/>
                </w:tcPr>
                <w:p w14:paraId="3F3ADE02">
                  <w:pPr>
                    <w:pStyle w:val="29"/>
                  </w:pPr>
                  <w:r>
                    <w:t>6～9</w:t>
                  </w:r>
                </w:p>
              </w:tc>
              <w:tc>
                <w:tcPr>
                  <w:tcW w:w="477" w:type="pct"/>
                  <w:vAlign w:val="center"/>
                </w:tcPr>
                <w:p w14:paraId="5063CD9D">
                  <w:pPr>
                    <w:pStyle w:val="29"/>
                  </w:pPr>
                  <w:r>
                    <w:t>≤40</w:t>
                  </w:r>
                </w:p>
              </w:tc>
              <w:tc>
                <w:tcPr>
                  <w:tcW w:w="477" w:type="pct"/>
                  <w:vAlign w:val="center"/>
                </w:tcPr>
                <w:p w14:paraId="1FD3E68A">
                  <w:pPr>
                    <w:pStyle w:val="29"/>
                  </w:pPr>
                  <w:r>
                    <w:t>≤10</w:t>
                  </w:r>
                </w:p>
              </w:tc>
              <w:tc>
                <w:tcPr>
                  <w:tcW w:w="477" w:type="pct"/>
                  <w:vAlign w:val="center"/>
                </w:tcPr>
                <w:p w14:paraId="1F400231">
                  <w:pPr>
                    <w:pStyle w:val="29"/>
                  </w:pPr>
                  <w:r>
                    <w:t>≤2</w:t>
                  </w:r>
                </w:p>
              </w:tc>
              <w:tc>
                <w:tcPr>
                  <w:tcW w:w="477" w:type="pct"/>
                  <w:vAlign w:val="center"/>
                </w:tcPr>
                <w:p w14:paraId="75A0E545">
                  <w:pPr>
                    <w:pStyle w:val="29"/>
                  </w:pPr>
                  <w:r>
                    <w:t>≤10</w:t>
                  </w:r>
                </w:p>
              </w:tc>
              <w:tc>
                <w:tcPr>
                  <w:tcW w:w="477" w:type="pct"/>
                  <w:vAlign w:val="center"/>
                </w:tcPr>
                <w:p w14:paraId="38886F3E">
                  <w:pPr>
                    <w:pStyle w:val="29"/>
                  </w:pPr>
                  <w:r>
                    <w:t>≤0.4</w:t>
                  </w:r>
                </w:p>
              </w:tc>
              <w:tc>
                <w:tcPr>
                  <w:tcW w:w="477" w:type="pct"/>
                  <w:vAlign w:val="center"/>
                </w:tcPr>
                <w:p w14:paraId="65207C02">
                  <w:pPr>
                    <w:pStyle w:val="29"/>
                  </w:pPr>
                  <w:r>
                    <w:t>≤15</w:t>
                  </w:r>
                </w:p>
              </w:tc>
            </w:tr>
          </w:tbl>
          <w:p w14:paraId="055C2C99">
            <w:pPr>
              <w:adjustRightInd/>
              <w:snapToGrid/>
              <w:ind w:firstLine="420"/>
              <w:rPr>
                <w:rFonts w:asciiTheme="majorBidi" w:hAnsiTheme="majorBidi" w:eastAsiaTheme="minorEastAsia" w:cstheme="majorBidi"/>
                <w:bCs/>
                <w:color w:val="000000" w:themeColor="text1"/>
                <w:kern w:val="2"/>
                <w:sz w:val="21"/>
                <w:szCs w:val="21"/>
                <w14:textFill>
                  <w14:solidFill>
                    <w14:schemeClr w14:val="tx1"/>
                  </w14:solidFill>
                </w14:textFill>
              </w:rPr>
            </w:pPr>
            <w:r>
              <w:rPr>
                <w:rFonts w:asciiTheme="majorBidi" w:hAnsiTheme="majorBidi" w:eastAsiaTheme="minorEastAsia" w:cstheme="majorBidi"/>
                <w:bCs/>
                <w:color w:val="000000" w:themeColor="text1"/>
                <w:kern w:val="2"/>
                <w:sz w:val="21"/>
                <w:szCs w:val="21"/>
                <w14:textFill>
                  <w14:solidFill>
                    <w14:schemeClr w14:val="tx1"/>
                  </w14:solidFill>
                </w14:textFill>
              </w:rPr>
              <w:t>注：1.括号外数值为水温大于12℃时的控制标准，括号内数值为水温小于等于12℃时的控制标准。</w:t>
            </w:r>
          </w:p>
          <w:p w14:paraId="48E2931D">
            <w:pPr>
              <w:adjustRightInd/>
              <w:snapToGrid/>
              <w:ind w:firstLine="420"/>
              <w:rPr>
                <w:rFonts w:asciiTheme="majorBidi" w:hAnsiTheme="majorBidi" w:eastAsiaTheme="minorEastAsia" w:cstheme="majorBidi"/>
                <w:bCs/>
                <w:color w:val="000000" w:themeColor="text1"/>
                <w:kern w:val="2"/>
                <w:sz w:val="21"/>
                <w:szCs w:val="21"/>
                <w14:textFill>
                  <w14:solidFill>
                    <w14:schemeClr w14:val="tx1"/>
                  </w14:solidFill>
                </w14:textFill>
              </w:rPr>
            </w:pPr>
            <w:r>
              <w:rPr>
                <w:rFonts w:asciiTheme="majorBidi" w:hAnsiTheme="majorBidi" w:eastAsiaTheme="minorEastAsia" w:cstheme="majorBidi"/>
                <w:bCs/>
                <w:color w:val="000000" w:themeColor="text1"/>
                <w:kern w:val="2"/>
                <w:sz w:val="21"/>
                <w:szCs w:val="21"/>
                <w:lang w:bidi="ar"/>
                <w14:textFill>
                  <w14:solidFill>
                    <w14:schemeClr w14:val="tx1"/>
                  </w14:solidFill>
                </w14:textFill>
              </w:rPr>
              <w:t>2.广东省地方标准《水污染物排放限值》（DB44/26-2001）第二时段一级标准中TP参照磷酸盐排放标准执行。</w:t>
            </w:r>
          </w:p>
          <w:p w14:paraId="3732A4FD">
            <w:pPr>
              <w:ind w:firstLine="482"/>
              <w:rPr>
                <w:rFonts w:asciiTheme="majorBidi" w:hAnsiTheme="majorBidi" w:eastAsiaTheme="minorEastAsia" w:cstheme="majorBidi"/>
                <w:b/>
                <w:bCs/>
                <w:color w:val="000000" w:themeColor="text1"/>
                <w:kern w:val="2"/>
                <w:szCs w:val="21"/>
                <w14:textFill>
                  <w14:solidFill>
                    <w14:schemeClr w14:val="tx1"/>
                  </w14:solidFill>
                </w14:textFill>
              </w:rPr>
            </w:pPr>
            <w:r>
              <w:rPr>
                <w:rFonts w:asciiTheme="majorBidi" w:hAnsiTheme="majorBidi" w:eastAsiaTheme="minorEastAsia" w:cstheme="majorBidi"/>
                <w:b/>
                <w:bCs/>
                <w:color w:val="000000" w:themeColor="text1"/>
                <w:kern w:val="2"/>
                <w:szCs w:val="21"/>
                <w14:textFill>
                  <w14:solidFill>
                    <w14:schemeClr w14:val="tx1"/>
                  </w14:solidFill>
                </w14:textFill>
              </w:rPr>
              <w:t>（二）废气排放标准</w:t>
            </w:r>
          </w:p>
          <w:p w14:paraId="4E363B0E">
            <w:pPr>
              <w:ind w:firstLine="480"/>
            </w:pPr>
            <w:r>
              <w:t>1.有组织排放</w:t>
            </w:r>
          </w:p>
          <w:p w14:paraId="6D063615">
            <w:pPr>
              <w:ind w:firstLine="480"/>
              <w:rPr>
                <w:rFonts w:asciiTheme="majorBidi" w:hAnsiTheme="majorBidi" w:eastAsiaTheme="minorEastAsia" w:cstheme="majorBidi"/>
                <w:color w:val="000000" w:themeColor="text1"/>
                <w:kern w:val="2"/>
                <w14:textFill>
                  <w14:solidFill>
                    <w14:schemeClr w14:val="tx1"/>
                  </w14:solidFill>
                </w14:textFill>
              </w:rPr>
            </w:pPr>
            <w:r>
              <w:rPr>
                <w:rFonts w:asciiTheme="majorBidi" w:hAnsiTheme="majorBidi" w:eastAsiaTheme="minorEastAsia" w:cstheme="majorBidi"/>
                <w:color w:val="000000" w:themeColor="text1"/>
                <w:kern w:val="2"/>
                <w14:textFill>
                  <w14:solidFill>
                    <w14:schemeClr w14:val="tx1"/>
                  </w14:solidFill>
                </w14:textFill>
              </w:rPr>
              <w:t>项目注塑工序产生非甲烷总烃、苯乙烯、丙烯腈、1，3-丁二烯、甲苯、乙苯、臭气浓度。非甲烷总烃、苯乙烯、丙烯腈、1，3-丁二烯、甲苯、乙苯有组织排放执行《合成树脂工业污染物排放标准》</w:t>
            </w:r>
            <w:r>
              <w:rPr>
                <w:rFonts w:hint="eastAsia" w:asciiTheme="majorBidi" w:hAnsiTheme="majorBidi" w:eastAsiaTheme="minorEastAsia" w:cstheme="majorBidi"/>
                <w:color w:val="000000" w:themeColor="text1"/>
                <w:kern w:val="2"/>
                <w14:textFill>
                  <w14:solidFill>
                    <w14:schemeClr w14:val="tx1"/>
                  </w14:solidFill>
                </w14:textFill>
              </w:rPr>
              <w:t>(</w:t>
            </w:r>
            <w:r>
              <w:rPr>
                <w:rFonts w:asciiTheme="majorBidi" w:hAnsiTheme="majorBidi" w:eastAsiaTheme="minorEastAsia" w:cstheme="majorBidi"/>
                <w:color w:val="000000" w:themeColor="text1"/>
                <w:kern w:val="2"/>
                <w14:textFill>
                  <w14:solidFill>
                    <w14:schemeClr w14:val="tx1"/>
                  </w14:solidFill>
                </w14:textFill>
              </w:rPr>
              <w:t>GB 31572-2015，含2024年修改单</w:t>
            </w:r>
            <w:r>
              <w:rPr>
                <w:rFonts w:hint="eastAsia" w:asciiTheme="majorBidi" w:hAnsiTheme="majorBidi" w:eastAsiaTheme="minorEastAsia" w:cstheme="majorBidi"/>
                <w:color w:val="000000" w:themeColor="text1"/>
                <w:kern w:val="2"/>
                <w14:textFill>
                  <w14:solidFill>
                    <w14:schemeClr w14:val="tx1"/>
                  </w14:solidFill>
                </w14:textFill>
              </w:rPr>
              <w:t>)</w:t>
            </w:r>
            <w:r>
              <w:rPr>
                <w:rFonts w:asciiTheme="majorBidi" w:hAnsiTheme="majorBidi" w:eastAsiaTheme="minorEastAsia" w:cstheme="majorBidi"/>
                <w:color w:val="000000" w:themeColor="text1"/>
                <w:kern w:val="2"/>
                <w14:textFill>
                  <w14:solidFill>
                    <w14:schemeClr w14:val="tx1"/>
                  </w14:solidFill>
                </w14:textFill>
              </w:rPr>
              <w:t>中的表5排放限值，臭气浓度有组织排放执行《恶臭污染物排放标准》（GB14554-93）表2中恶臭污染物排放标准限值</w:t>
            </w:r>
            <w:r>
              <w:rPr>
                <w:rFonts w:hint="eastAsia" w:asciiTheme="majorBidi" w:hAnsiTheme="majorBidi" w:eastAsiaTheme="minorEastAsia" w:cstheme="majorBidi"/>
                <w:color w:val="000000" w:themeColor="text1"/>
                <w:kern w:val="2"/>
                <w14:textFill>
                  <w14:solidFill>
                    <w14:schemeClr w14:val="tx1"/>
                  </w14:solidFill>
                </w14:textFill>
              </w:rPr>
              <w:t>。</w:t>
            </w:r>
          </w:p>
          <w:p w14:paraId="534E4E09">
            <w:pPr>
              <w:ind w:firstLine="480"/>
              <w:rPr>
                <w:rFonts w:asciiTheme="majorBidi" w:hAnsiTheme="majorBidi" w:eastAsiaTheme="minorEastAsia" w:cstheme="majorBidi"/>
                <w:color w:val="EE0000"/>
                <w:kern w:val="2"/>
              </w:rPr>
            </w:pPr>
            <w:r>
              <w:rPr>
                <w:rFonts w:hint="eastAsia" w:asciiTheme="majorBidi" w:hAnsiTheme="majorBidi" w:eastAsiaTheme="minorEastAsia" w:cstheme="majorBidi"/>
                <w:color w:val="EE0000"/>
                <w:kern w:val="2"/>
              </w:rPr>
              <w:t>项目胶合工序产生非甲烷总烃、臭气浓度。非甲烷总烃有组织排放执行《合成树脂工业污染物排放标准》(GB 31572-2015，含2024年修改单)中的表5排放限值，臭气浓度有组织排放执行《恶臭污染物排放标准》（GB14554-93）表2中恶臭污染物排放标准限值。</w:t>
            </w:r>
          </w:p>
          <w:p w14:paraId="6031D3F3">
            <w:pPr>
              <w:adjustRightInd/>
              <w:snapToGrid/>
              <w:ind w:firstLine="480"/>
              <w:rPr>
                <w:rFonts w:asciiTheme="majorBidi" w:hAnsiTheme="majorBidi" w:eastAsiaTheme="minorEastAsia" w:cstheme="majorBidi"/>
                <w:color w:val="000000" w:themeColor="text1"/>
                <w:kern w:val="2"/>
                <w14:textFill>
                  <w14:solidFill>
                    <w14:schemeClr w14:val="tx1"/>
                  </w14:solidFill>
                </w14:textFill>
              </w:rPr>
            </w:pPr>
            <w:r>
              <w:rPr>
                <w:rFonts w:asciiTheme="majorBidi" w:hAnsiTheme="majorBidi" w:eastAsiaTheme="minorEastAsia" w:cstheme="majorBidi"/>
                <w:color w:val="000000" w:themeColor="text1"/>
                <w:kern w:val="2"/>
                <w14:textFill>
                  <w14:solidFill>
                    <w14:schemeClr w14:val="tx1"/>
                  </w14:solidFill>
                </w14:textFill>
              </w:rPr>
              <w:t>项目喷漆及烘干工序</w:t>
            </w:r>
            <w:r>
              <w:rPr>
                <w:rFonts w:hint="eastAsia" w:asciiTheme="majorBidi" w:hAnsiTheme="majorBidi" w:eastAsiaTheme="minorEastAsia" w:cstheme="majorBidi"/>
                <w:color w:val="0000FF"/>
                <w:kern w:val="2"/>
              </w:rPr>
              <w:t>和印刷机清洗</w:t>
            </w:r>
            <w:r>
              <w:rPr>
                <w:rFonts w:asciiTheme="majorBidi" w:hAnsiTheme="majorBidi" w:eastAsiaTheme="minorEastAsia" w:cstheme="majorBidi"/>
                <w:color w:val="000000" w:themeColor="text1"/>
                <w:kern w:val="2"/>
                <w14:textFill>
                  <w14:solidFill>
                    <w14:schemeClr w14:val="tx1"/>
                  </w14:solidFill>
                </w14:textFill>
              </w:rPr>
              <w:t>产生</w:t>
            </w:r>
            <w:r>
              <w:rPr>
                <w:rFonts w:hint="eastAsia" w:asciiTheme="majorBidi" w:hAnsiTheme="majorBidi" w:eastAsiaTheme="minorEastAsia" w:cstheme="majorBidi"/>
                <w:color w:val="EE0000"/>
                <w:kern w:val="2"/>
              </w:rPr>
              <w:t>非甲烷总烃、TVOC</w:t>
            </w:r>
            <w:r>
              <w:rPr>
                <w:rFonts w:asciiTheme="majorBidi" w:hAnsiTheme="majorBidi" w:eastAsiaTheme="minorEastAsia" w:cstheme="majorBidi"/>
                <w:color w:val="000000" w:themeColor="text1"/>
                <w:kern w:val="2"/>
                <w14:textFill>
                  <w14:solidFill>
                    <w14:schemeClr w14:val="tx1"/>
                  </w14:solidFill>
                </w14:textFill>
              </w:rPr>
              <w:t>，</w:t>
            </w:r>
            <w:r>
              <w:rPr>
                <w:rFonts w:hint="eastAsia" w:asciiTheme="majorBidi" w:hAnsiTheme="majorBidi" w:eastAsiaTheme="minorEastAsia" w:cstheme="majorBidi"/>
                <w:color w:val="EE0000"/>
                <w:kern w:val="2"/>
              </w:rPr>
              <w:t>非甲烷总烃、TVOC</w:t>
            </w:r>
            <w:r>
              <w:rPr>
                <w:rFonts w:asciiTheme="majorBidi" w:hAnsiTheme="majorBidi" w:eastAsiaTheme="minorEastAsia" w:cstheme="majorBidi"/>
                <w:color w:val="000000" w:themeColor="text1"/>
                <w:kern w:val="2"/>
                <w14:textFill>
                  <w14:solidFill>
                    <w14:schemeClr w14:val="tx1"/>
                  </w14:solidFill>
                </w14:textFill>
              </w:rPr>
              <w:t>有组织排放执行《固定污染源挥发性有机物综合排放标准》（DB44/2367-2022）表1限值要求</w:t>
            </w:r>
            <w:r>
              <w:rPr>
                <w:rFonts w:hint="eastAsia" w:asciiTheme="majorBidi" w:hAnsiTheme="majorBidi" w:eastAsiaTheme="minorEastAsia" w:cstheme="majorBidi"/>
                <w:color w:val="000000" w:themeColor="text1"/>
                <w:kern w:val="2"/>
                <w14:textFill>
                  <w14:solidFill>
                    <w14:schemeClr w14:val="tx1"/>
                  </w14:solidFill>
                </w14:textFill>
              </w:rPr>
              <w:t>。</w:t>
            </w:r>
          </w:p>
          <w:p w14:paraId="44094454">
            <w:pPr>
              <w:adjustRightInd/>
              <w:snapToGrid/>
              <w:ind w:firstLine="480"/>
              <w:rPr>
                <w:rFonts w:asciiTheme="majorBidi" w:hAnsiTheme="majorBidi" w:eastAsiaTheme="minorEastAsia" w:cstheme="majorBidi"/>
                <w:color w:val="000000" w:themeColor="text1"/>
                <w:kern w:val="2"/>
                <w14:textFill>
                  <w14:solidFill>
                    <w14:schemeClr w14:val="tx1"/>
                  </w14:solidFill>
                </w14:textFill>
              </w:rPr>
            </w:pPr>
            <w:r>
              <w:rPr>
                <w:rFonts w:asciiTheme="majorBidi" w:hAnsiTheme="majorBidi" w:eastAsiaTheme="minorEastAsia" w:cstheme="majorBidi"/>
                <w:color w:val="000000" w:themeColor="text1"/>
                <w:kern w:val="2"/>
                <w14:textFill>
                  <w14:solidFill>
                    <w14:schemeClr w14:val="tx1"/>
                  </w14:solidFill>
                </w14:textFill>
              </w:rPr>
              <w:t>项目喷漆工序产生</w:t>
            </w:r>
            <w:r>
              <w:rPr>
                <w:rFonts w:hint="eastAsia" w:asciiTheme="majorBidi" w:hAnsiTheme="majorBidi" w:eastAsiaTheme="minorEastAsia" w:cstheme="majorBidi"/>
                <w:color w:val="EE0000"/>
                <w:kern w:val="2"/>
              </w:rPr>
              <w:t>颗粒物</w:t>
            </w:r>
            <w:r>
              <w:rPr>
                <w:rFonts w:asciiTheme="majorBidi" w:hAnsiTheme="majorBidi" w:eastAsiaTheme="minorEastAsia" w:cstheme="majorBidi"/>
                <w:color w:val="000000" w:themeColor="text1"/>
                <w:kern w:val="2"/>
                <w14:textFill>
                  <w14:solidFill>
                    <w14:schemeClr w14:val="tx1"/>
                  </w14:solidFill>
                </w14:textFill>
              </w:rPr>
              <w:t>，颗粒物排放执行广东省《大气污染物排放限值》（DB44/27-2001）中表2第二时段二级标准排放限值</w:t>
            </w:r>
            <w:r>
              <w:rPr>
                <w:rFonts w:hint="eastAsia"/>
                <w:color w:val="EE0000"/>
              </w:rPr>
              <w:t>（排放速率按照标准限值50%执行）</w:t>
            </w:r>
            <w:r>
              <w:rPr>
                <w:rFonts w:hint="eastAsia" w:asciiTheme="majorBidi" w:hAnsiTheme="majorBidi" w:eastAsiaTheme="minorEastAsia" w:cstheme="majorBidi"/>
                <w:color w:val="000000" w:themeColor="text1"/>
                <w:kern w:val="2"/>
                <w14:textFill>
                  <w14:solidFill>
                    <w14:schemeClr w14:val="tx1"/>
                  </w14:solidFill>
                </w14:textFill>
              </w:rPr>
              <w:t>。</w:t>
            </w:r>
          </w:p>
          <w:p w14:paraId="25E28320">
            <w:pPr>
              <w:ind w:firstLine="480"/>
              <w:rPr>
                <w:rFonts w:asciiTheme="majorBidi" w:hAnsiTheme="majorBidi" w:eastAsiaTheme="minorEastAsia" w:cstheme="majorBidi"/>
                <w:color w:val="000000" w:themeColor="text1"/>
                <w14:textFill>
                  <w14:solidFill>
                    <w14:schemeClr w14:val="tx1"/>
                  </w14:solidFill>
                </w14:textFill>
              </w:rPr>
            </w:pPr>
            <w:r>
              <w:rPr>
                <w:rFonts w:asciiTheme="majorBidi" w:hAnsiTheme="majorBidi" w:eastAsiaTheme="minorEastAsia" w:cstheme="majorBidi"/>
                <w:color w:val="000000" w:themeColor="text1"/>
                <w14:textFill>
                  <w14:solidFill>
                    <w14:schemeClr w14:val="tx1"/>
                  </w14:solidFill>
                </w14:textFill>
              </w:rPr>
              <w:t>项目印刷工序产生有机废气，非甲烷总烃有组织排放执行《印刷工业大气污染物排放标准》（GB41616-2022）中的表1大气污染物排放限值，总VOCs有组织排放执行广州省地方标准《印刷行业挥发性有机化合物排放标准》（DB44/815-2010）中凹版印刷、凸版印刷、丝网印刷、平版印刷（以金属、陶瓷、玻璃为承印物的平版印刷）Ⅱ时段排放浓度限值</w:t>
            </w:r>
            <w:r>
              <w:rPr>
                <w:rFonts w:hint="eastAsia"/>
                <w:color w:val="EE0000"/>
              </w:rPr>
              <w:t>（排放速率按照标准限值50%执行）。</w:t>
            </w:r>
          </w:p>
          <w:p w14:paraId="3E0A916C">
            <w:pPr>
              <w:ind w:firstLine="480"/>
              <w:rPr>
                <w:rFonts w:asciiTheme="majorBidi" w:hAnsiTheme="majorBidi" w:eastAsiaTheme="minorEastAsia" w:cstheme="majorBidi"/>
                <w:color w:val="000000" w:themeColor="text1"/>
                <w14:textFill>
                  <w14:solidFill>
                    <w14:schemeClr w14:val="tx1"/>
                  </w14:solidFill>
                </w14:textFill>
              </w:rPr>
            </w:pPr>
            <w:r>
              <w:rPr>
                <w:rFonts w:asciiTheme="majorBidi" w:hAnsiTheme="majorBidi" w:eastAsiaTheme="minorEastAsia" w:cstheme="majorBidi"/>
                <w:color w:val="000000" w:themeColor="text1"/>
                <w14:textFill>
                  <w14:solidFill>
                    <w14:schemeClr w14:val="tx1"/>
                  </w14:solidFill>
                </w14:textFill>
              </w:rPr>
              <w:t>综上，因注塑、</w:t>
            </w:r>
            <w:r>
              <w:rPr>
                <w:rFonts w:hint="eastAsia" w:asciiTheme="majorBidi" w:hAnsiTheme="majorBidi" w:eastAsiaTheme="minorEastAsia" w:cstheme="majorBidi"/>
                <w:color w:val="EE0000"/>
              </w:rPr>
              <w:t>胶合、</w:t>
            </w:r>
            <w:r>
              <w:rPr>
                <w:rFonts w:asciiTheme="majorBidi" w:hAnsiTheme="majorBidi" w:eastAsiaTheme="minorEastAsia" w:cstheme="majorBidi"/>
                <w:color w:val="000000" w:themeColor="text1"/>
                <w14:textFill>
                  <w14:solidFill>
                    <w14:schemeClr w14:val="tx1"/>
                  </w14:solidFill>
                </w14:textFill>
              </w:rPr>
              <w:t>喷漆及烘干、印刷及</w:t>
            </w:r>
            <w:r>
              <w:rPr>
                <w:rFonts w:hint="eastAsia" w:asciiTheme="majorBidi" w:hAnsiTheme="majorBidi" w:eastAsiaTheme="minorEastAsia" w:cstheme="majorBidi"/>
                <w:color w:val="0000FF"/>
              </w:rPr>
              <w:t>印刷机清洗</w:t>
            </w:r>
            <w:r>
              <w:rPr>
                <w:rFonts w:asciiTheme="majorBidi" w:hAnsiTheme="majorBidi" w:eastAsiaTheme="minorEastAsia" w:cstheme="majorBidi"/>
                <w:color w:val="000000" w:themeColor="text1"/>
                <w14:textFill>
                  <w14:solidFill>
                    <w14:schemeClr w14:val="tx1"/>
                  </w14:solidFill>
                </w14:textFill>
              </w:rPr>
              <w:t>废气经收集后经同一套废气处理设施处理后经一根排气筒DA001排放，故</w:t>
            </w:r>
            <w:r>
              <w:rPr>
                <w:rFonts w:asciiTheme="majorBidi" w:hAnsiTheme="majorBidi" w:eastAsiaTheme="minorEastAsia" w:cstheme="majorBidi"/>
                <w:b/>
                <w:bCs/>
                <w:color w:val="000000" w:themeColor="text1"/>
                <w14:textFill>
                  <w14:solidFill>
                    <w14:schemeClr w14:val="tx1"/>
                  </w14:solidFill>
                </w14:textFill>
              </w:rPr>
              <w:t>非甲烷总烃</w:t>
            </w:r>
            <w:r>
              <w:rPr>
                <w:rFonts w:asciiTheme="majorBidi" w:hAnsiTheme="majorBidi" w:eastAsiaTheme="minorEastAsia" w:cstheme="majorBidi"/>
                <w:color w:val="000000" w:themeColor="text1"/>
                <w14:textFill>
                  <w14:solidFill>
                    <w14:schemeClr w14:val="tx1"/>
                  </w14:solidFill>
                </w14:textFill>
              </w:rPr>
              <w:t>有组织排放执行《合成树脂工业污染物排放标准》(GB31572-2015，含2024年修改单)中表5排放限值、《固定污染源挥发性有机物综合排放标准》（DB44/2367-2022）表1限值及《印刷工业大气污染物排放标准》(GB41616-2022)中的表1大气污染物排放限值的较严者，</w:t>
            </w:r>
            <w:r>
              <w:rPr>
                <w:rFonts w:hint="eastAsia" w:asciiTheme="majorBidi" w:hAnsiTheme="majorBidi" w:eastAsiaTheme="minorEastAsia" w:cstheme="majorBidi"/>
                <w:color w:val="0000FF"/>
              </w:rPr>
              <w:t>苯乙烯、丙烯腈、1，3-丁二烯、甲苯、乙苯</w:t>
            </w:r>
            <w:r>
              <w:rPr>
                <w:rFonts w:asciiTheme="majorBidi" w:hAnsiTheme="majorBidi" w:eastAsiaTheme="minorEastAsia" w:cstheme="majorBidi"/>
                <w:color w:val="0000FF"/>
              </w:rPr>
              <w:t>有组织排放执行《合成树脂工业污染物排放标准》(GB31572-2015，含2024年修改单)中表5排放限值</w:t>
            </w:r>
            <w:r>
              <w:rPr>
                <w:rFonts w:hint="eastAsia" w:asciiTheme="majorBidi" w:hAnsiTheme="majorBidi" w:eastAsiaTheme="minorEastAsia" w:cstheme="majorBidi"/>
                <w:color w:val="0000FF"/>
              </w:rPr>
              <w:t>，</w:t>
            </w:r>
            <w:r>
              <w:rPr>
                <w:rFonts w:hint="eastAsia" w:asciiTheme="majorBidi" w:hAnsiTheme="majorBidi" w:eastAsiaTheme="minorEastAsia" w:cstheme="majorBidi"/>
                <w:color w:val="EE0000"/>
              </w:rPr>
              <w:t>TVOC有</w:t>
            </w:r>
            <w:r>
              <w:rPr>
                <w:rFonts w:asciiTheme="majorBidi" w:hAnsiTheme="majorBidi" w:eastAsiaTheme="minorEastAsia" w:cstheme="majorBidi"/>
                <w:color w:val="EE0000"/>
              </w:rPr>
              <w:t>组织排放执行《固定污染源挥发性有机物综合排放标准》（DB44/2367-2022）表1限值</w:t>
            </w:r>
            <w:r>
              <w:rPr>
                <w:rFonts w:hint="eastAsia" w:asciiTheme="majorBidi" w:hAnsiTheme="majorBidi" w:eastAsiaTheme="minorEastAsia" w:cstheme="majorBidi"/>
                <w:color w:val="000000" w:themeColor="text1"/>
                <w14:textFill>
                  <w14:solidFill>
                    <w14:schemeClr w14:val="tx1"/>
                  </w14:solidFill>
                </w14:textFill>
              </w:rPr>
              <w:t>，</w:t>
            </w:r>
            <w:r>
              <w:rPr>
                <w:rFonts w:asciiTheme="majorBidi" w:hAnsiTheme="majorBidi" w:eastAsiaTheme="minorEastAsia" w:cstheme="majorBidi"/>
                <w:b/>
                <w:bCs/>
                <w:color w:val="000000" w:themeColor="text1"/>
                <w14:textFill>
                  <w14:solidFill>
                    <w14:schemeClr w14:val="tx1"/>
                  </w14:solidFill>
                </w14:textFill>
              </w:rPr>
              <w:t>总VOCs</w:t>
            </w:r>
            <w:r>
              <w:rPr>
                <w:rFonts w:asciiTheme="majorBidi" w:hAnsiTheme="majorBidi" w:eastAsiaTheme="minorEastAsia" w:cstheme="majorBidi"/>
                <w:color w:val="000000" w:themeColor="text1"/>
                <w14:textFill>
                  <w14:solidFill>
                    <w14:schemeClr w14:val="tx1"/>
                  </w14:solidFill>
                </w14:textFill>
              </w:rPr>
              <w:t>有组织排放执行广州省地方标准《印刷行业挥发性有机化合物排放标准》（DB44/815-2010）中凹版印刷、凸版印刷、丝网印刷、平版印刷（以金属、陶瓷、玻璃为承印物的平版印刷）Ⅱ时段排放浓度限值</w:t>
            </w:r>
            <w:r>
              <w:rPr>
                <w:rFonts w:hint="eastAsia"/>
                <w:color w:val="EE0000"/>
              </w:rPr>
              <w:t>（排放速率按照标准限值50%执行）</w:t>
            </w:r>
            <w:r>
              <w:rPr>
                <w:rFonts w:asciiTheme="majorBidi" w:hAnsiTheme="majorBidi" w:eastAsiaTheme="minorEastAsia" w:cstheme="majorBidi"/>
                <w:color w:val="000000" w:themeColor="text1"/>
                <w14:textFill>
                  <w14:solidFill>
                    <w14:schemeClr w14:val="tx1"/>
                  </w14:solidFill>
                </w14:textFill>
              </w:rPr>
              <w:t>，</w:t>
            </w:r>
            <w:r>
              <w:rPr>
                <w:rFonts w:asciiTheme="majorBidi" w:hAnsiTheme="majorBidi" w:eastAsiaTheme="minorEastAsia" w:cstheme="majorBidi"/>
                <w:b/>
                <w:bCs/>
                <w:color w:val="000000" w:themeColor="text1"/>
                <w14:textFill>
                  <w14:solidFill>
                    <w14:schemeClr w14:val="tx1"/>
                  </w14:solidFill>
                </w14:textFill>
              </w:rPr>
              <w:t>颗粒物</w:t>
            </w:r>
            <w:r>
              <w:rPr>
                <w:rFonts w:hint="eastAsia" w:asciiTheme="majorBidi" w:hAnsiTheme="majorBidi" w:eastAsiaTheme="minorEastAsia" w:cstheme="majorBidi"/>
                <w:color w:val="000000" w:themeColor="text1"/>
                <w14:textFill>
                  <w14:solidFill>
                    <w14:schemeClr w14:val="tx1"/>
                  </w14:solidFill>
                </w14:textFill>
              </w:rPr>
              <w:t>有组织排放</w:t>
            </w:r>
            <w:r>
              <w:rPr>
                <w:rFonts w:asciiTheme="majorBidi" w:hAnsiTheme="majorBidi" w:eastAsiaTheme="minorEastAsia" w:cstheme="majorBidi"/>
                <w:color w:val="000000" w:themeColor="text1"/>
                <w14:textFill>
                  <w14:solidFill>
                    <w14:schemeClr w14:val="tx1"/>
                  </w14:solidFill>
                </w14:textFill>
              </w:rPr>
              <w:t>执行广东省《大气污染物排放限值》（DB44/27-2001）中表2第二时段二级标准排放限值</w:t>
            </w:r>
            <w:r>
              <w:rPr>
                <w:rFonts w:hint="eastAsia"/>
                <w:color w:val="EE0000"/>
              </w:rPr>
              <w:t>（排放速率按照标准限值50%执行）</w:t>
            </w:r>
            <w:r>
              <w:rPr>
                <w:rFonts w:asciiTheme="majorBidi" w:hAnsiTheme="majorBidi" w:eastAsiaTheme="minorEastAsia" w:cstheme="majorBidi"/>
                <w:color w:val="000000" w:themeColor="text1"/>
                <w14:textFill>
                  <w14:solidFill>
                    <w14:schemeClr w14:val="tx1"/>
                  </w14:solidFill>
                </w14:textFill>
              </w:rPr>
              <w:t>，</w:t>
            </w:r>
            <w:r>
              <w:rPr>
                <w:rFonts w:asciiTheme="majorBidi" w:hAnsiTheme="majorBidi" w:eastAsiaTheme="minorEastAsia" w:cstheme="majorBidi"/>
                <w:b/>
                <w:bCs/>
                <w:color w:val="000000" w:themeColor="text1"/>
                <w14:textFill>
                  <w14:solidFill>
                    <w14:schemeClr w14:val="tx1"/>
                  </w14:solidFill>
                </w14:textFill>
              </w:rPr>
              <w:t>臭气浓度</w:t>
            </w:r>
            <w:r>
              <w:rPr>
                <w:rFonts w:asciiTheme="majorBidi" w:hAnsiTheme="majorBidi" w:eastAsiaTheme="minorEastAsia" w:cstheme="majorBidi"/>
                <w:color w:val="000000" w:themeColor="text1"/>
                <w14:textFill>
                  <w14:solidFill>
                    <w14:schemeClr w14:val="tx1"/>
                  </w14:solidFill>
                </w14:textFill>
              </w:rPr>
              <w:t>有组织排放执行《恶臭污染物排放标准》（GB14554-93）表2中恶臭污染物排放标准限值。</w:t>
            </w:r>
          </w:p>
          <w:p w14:paraId="0B1BBC29">
            <w:pPr>
              <w:pStyle w:val="11"/>
              <w:rPr>
                <w:bCs w:val="0"/>
              </w:rPr>
            </w:pPr>
            <w:r>
              <w:rPr>
                <w:bCs w:val="0"/>
              </w:rPr>
              <w:t>表3-5 大气污染物有组织排放限值一览表</w:t>
            </w:r>
          </w:p>
          <w:tbl>
            <w:tblPr>
              <w:tblStyle w:val="21"/>
              <w:tblW w:w="8922" w:type="dxa"/>
              <w:tblInd w:w="0" w:type="dxa"/>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28" w:type="dxa"/>
                <w:bottom w:w="0" w:type="dxa"/>
                <w:right w:w="28" w:type="dxa"/>
              </w:tblCellMar>
            </w:tblPr>
            <w:tblGrid>
              <w:gridCol w:w="559"/>
              <w:gridCol w:w="992"/>
              <w:gridCol w:w="1502"/>
              <w:gridCol w:w="1192"/>
              <w:gridCol w:w="708"/>
              <w:gridCol w:w="1135"/>
              <w:gridCol w:w="2834"/>
            </w:tblGrid>
            <w:tr w14:paraId="1F3CF6F8">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340" w:hRule="atLeast"/>
              </w:trPr>
              <w:tc>
                <w:tcPr>
                  <w:tcW w:w="313" w:type="pct"/>
                  <w:vAlign w:val="center"/>
                </w:tcPr>
                <w:p w14:paraId="6D53B9D5">
                  <w:pPr>
                    <w:pStyle w:val="29"/>
                  </w:pPr>
                  <w:r>
                    <w:t>排放口编号</w:t>
                  </w:r>
                </w:p>
              </w:tc>
              <w:tc>
                <w:tcPr>
                  <w:tcW w:w="556" w:type="pct"/>
                  <w:vAlign w:val="center"/>
                </w:tcPr>
                <w:p w14:paraId="400D14BE">
                  <w:pPr>
                    <w:pStyle w:val="29"/>
                  </w:pPr>
                  <w:r>
                    <w:t>污染源</w:t>
                  </w:r>
                </w:p>
              </w:tc>
              <w:tc>
                <w:tcPr>
                  <w:tcW w:w="842" w:type="pct"/>
                  <w:vAlign w:val="center"/>
                </w:tcPr>
                <w:p w14:paraId="50E19A4F">
                  <w:pPr>
                    <w:pStyle w:val="29"/>
                  </w:pPr>
                  <w:r>
                    <w:t>污染物</w:t>
                  </w:r>
                </w:p>
              </w:tc>
              <w:tc>
                <w:tcPr>
                  <w:tcW w:w="668" w:type="pct"/>
                  <w:vAlign w:val="center"/>
                </w:tcPr>
                <w:p w14:paraId="79E9A801">
                  <w:pPr>
                    <w:pStyle w:val="29"/>
                  </w:pPr>
                  <w:r>
                    <w:t>最高允许排放浓度（mg/m³）</w:t>
                  </w:r>
                </w:p>
              </w:tc>
              <w:tc>
                <w:tcPr>
                  <w:tcW w:w="397" w:type="pct"/>
                  <w:vAlign w:val="center"/>
                </w:tcPr>
                <w:p w14:paraId="13DF305E">
                  <w:pPr>
                    <w:pStyle w:val="29"/>
                  </w:pPr>
                  <w:r>
                    <w:t>排气筒高度（m）</w:t>
                  </w:r>
                </w:p>
              </w:tc>
              <w:tc>
                <w:tcPr>
                  <w:tcW w:w="636" w:type="pct"/>
                  <w:vAlign w:val="center"/>
                </w:tcPr>
                <w:p w14:paraId="744F3F51">
                  <w:pPr>
                    <w:pStyle w:val="29"/>
                  </w:pPr>
                  <w:r>
                    <w:t>最高允许排放速率（kg/h）</w:t>
                  </w:r>
                </w:p>
              </w:tc>
              <w:tc>
                <w:tcPr>
                  <w:tcW w:w="1588" w:type="pct"/>
                </w:tcPr>
                <w:p w14:paraId="10BE0B7B">
                  <w:pPr>
                    <w:pStyle w:val="29"/>
                  </w:pPr>
                  <w:r>
                    <w:rPr>
                      <w:rFonts w:hint="eastAsia"/>
                    </w:rPr>
                    <w:t>排放标准</w:t>
                  </w:r>
                </w:p>
              </w:tc>
            </w:tr>
            <w:tr w14:paraId="4DCA21E0">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340" w:hRule="atLeast"/>
              </w:trPr>
              <w:tc>
                <w:tcPr>
                  <w:tcW w:w="313" w:type="pct"/>
                  <w:vMerge w:val="restart"/>
                  <w:vAlign w:val="center"/>
                </w:tcPr>
                <w:p w14:paraId="449DA89B">
                  <w:pPr>
                    <w:pStyle w:val="29"/>
                  </w:pPr>
                  <w:r>
                    <w:t>DA001</w:t>
                  </w:r>
                </w:p>
              </w:tc>
              <w:tc>
                <w:tcPr>
                  <w:tcW w:w="556" w:type="pct"/>
                  <w:vMerge w:val="restart"/>
                  <w:vAlign w:val="center"/>
                </w:tcPr>
                <w:p w14:paraId="6F5A1780">
                  <w:pPr>
                    <w:pStyle w:val="29"/>
                  </w:pPr>
                  <w:r>
                    <w:t>注塑、喷漆及烘干、</w:t>
                  </w:r>
                  <w:r>
                    <w:rPr>
                      <w:rFonts w:hint="eastAsia"/>
                      <w:color w:val="0000FF"/>
                    </w:rPr>
                    <w:t>胶合、</w:t>
                  </w:r>
                  <w:r>
                    <w:t>印刷</w:t>
                  </w:r>
                  <w:r>
                    <w:rPr>
                      <w:rFonts w:hint="eastAsia"/>
                    </w:rPr>
                    <w:t>和</w:t>
                  </w:r>
                  <w:r>
                    <w:rPr>
                      <w:rFonts w:hint="eastAsia"/>
                      <w:color w:val="0000FF"/>
                    </w:rPr>
                    <w:t>印刷机清洗</w:t>
                  </w:r>
                  <w:r>
                    <w:t>工序</w:t>
                  </w:r>
                </w:p>
              </w:tc>
              <w:tc>
                <w:tcPr>
                  <w:tcW w:w="842" w:type="pct"/>
                  <w:vAlign w:val="center"/>
                </w:tcPr>
                <w:p w14:paraId="6E44777E">
                  <w:pPr>
                    <w:pStyle w:val="29"/>
                  </w:pPr>
                  <w:r>
                    <w:t>非甲烷总烃</w:t>
                  </w:r>
                </w:p>
              </w:tc>
              <w:tc>
                <w:tcPr>
                  <w:tcW w:w="668" w:type="pct"/>
                  <w:vAlign w:val="center"/>
                </w:tcPr>
                <w:p w14:paraId="53A90F7D">
                  <w:pPr>
                    <w:pStyle w:val="29"/>
                  </w:pPr>
                  <w:r>
                    <w:t>60</w:t>
                  </w:r>
                </w:p>
              </w:tc>
              <w:tc>
                <w:tcPr>
                  <w:tcW w:w="397" w:type="pct"/>
                  <w:vMerge w:val="restart"/>
                  <w:vAlign w:val="center"/>
                </w:tcPr>
                <w:p w14:paraId="17C40BD9">
                  <w:pPr>
                    <w:pStyle w:val="29"/>
                  </w:pPr>
                  <w:r>
                    <w:t>65</w:t>
                  </w:r>
                </w:p>
              </w:tc>
              <w:tc>
                <w:tcPr>
                  <w:tcW w:w="636" w:type="pct"/>
                  <w:vAlign w:val="center"/>
                </w:tcPr>
                <w:p w14:paraId="57074AB7">
                  <w:pPr>
                    <w:pStyle w:val="29"/>
                  </w:pPr>
                  <w:r>
                    <w:t>/</w:t>
                  </w:r>
                </w:p>
              </w:tc>
              <w:tc>
                <w:tcPr>
                  <w:tcW w:w="1588" w:type="pct"/>
                </w:tcPr>
                <w:p w14:paraId="3D568CF9">
                  <w:pPr>
                    <w:pStyle w:val="29"/>
                    <w:rPr>
                      <w:color w:val="0000FF"/>
                    </w:rPr>
                  </w:pPr>
                  <w:r>
                    <w:rPr>
                      <w:rFonts w:hint="eastAsia"/>
                      <w:color w:val="0000FF"/>
                    </w:rPr>
                    <w:t>合成树脂工业污染物排放标准》(GB31572-2015，含2024年修改单)中表5排放限值、《固定污染源挥发性有机物综合排放标准》（DB44/2367-2022）表1限值及《印刷工业大气污染物排放标准》(GB41616-2022)中的表1大气污染物排放限值的较严者</w:t>
                  </w:r>
                </w:p>
              </w:tc>
            </w:tr>
            <w:tr w14:paraId="7195A883">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340" w:hRule="atLeast"/>
              </w:trPr>
              <w:tc>
                <w:tcPr>
                  <w:tcW w:w="313" w:type="pct"/>
                  <w:vMerge w:val="continue"/>
                  <w:vAlign w:val="center"/>
                </w:tcPr>
                <w:p w14:paraId="76599540">
                  <w:pPr>
                    <w:pStyle w:val="29"/>
                  </w:pPr>
                </w:p>
              </w:tc>
              <w:tc>
                <w:tcPr>
                  <w:tcW w:w="556" w:type="pct"/>
                  <w:vMerge w:val="continue"/>
                  <w:vAlign w:val="center"/>
                </w:tcPr>
                <w:p w14:paraId="65BFB7DA">
                  <w:pPr>
                    <w:pStyle w:val="29"/>
                  </w:pPr>
                </w:p>
              </w:tc>
              <w:tc>
                <w:tcPr>
                  <w:tcW w:w="842" w:type="pct"/>
                  <w:vAlign w:val="center"/>
                </w:tcPr>
                <w:p w14:paraId="06FD0CED">
                  <w:pPr>
                    <w:pStyle w:val="29"/>
                  </w:pPr>
                  <w:r>
                    <w:t>苯乙烯</w:t>
                  </w:r>
                </w:p>
              </w:tc>
              <w:tc>
                <w:tcPr>
                  <w:tcW w:w="668" w:type="pct"/>
                  <w:vAlign w:val="center"/>
                </w:tcPr>
                <w:p w14:paraId="34E594B3">
                  <w:pPr>
                    <w:pStyle w:val="29"/>
                  </w:pPr>
                  <w:r>
                    <w:t>20</w:t>
                  </w:r>
                </w:p>
              </w:tc>
              <w:tc>
                <w:tcPr>
                  <w:tcW w:w="397" w:type="pct"/>
                  <w:vMerge w:val="continue"/>
                  <w:vAlign w:val="center"/>
                </w:tcPr>
                <w:p w14:paraId="66865E22">
                  <w:pPr>
                    <w:pStyle w:val="29"/>
                  </w:pPr>
                </w:p>
              </w:tc>
              <w:tc>
                <w:tcPr>
                  <w:tcW w:w="636" w:type="pct"/>
                  <w:vAlign w:val="center"/>
                </w:tcPr>
                <w:p w14:paraId="4BD626A7">
                  <w:pPr>
                    <w:pStyle w:val="29"/>
                  </w:pPr>
                  <w:r>
                    <w:t>/</w:t>
                  </w:r>
                </w:p>
              </w:tc>
              <w:tc>
                <w:tcPr>
                  <w:tcW w:w="1588" w:type="pct"/>
                  <w:vMerge w:val="restart"/>
                  <w:vAlign w:val="center"/>
                </w:tcPr>
                <w:p w14:paraId="6E0BE3BD">
                  <w:pPr>
                    <w:pStyle w:val="29"/>
                    <w:rPr>
                      <w:color w:val="0000FF"/>
                    </w:rPr>
                  </w:pPr>
                  <w:r>
                    <w:rPr>
                      <w:rFonts w:asciiTheme="majorBidi" w:hAnsiTheme="majorBidi" w:eastAsiaTheme="minorEastAsia" w:cstheme="majorBidi"/>
                      <w:color w:val="0000FF"/>
                    </w:rPr>
                    <w:t>《合成树脂工业污染物排放标准》(GB31572-2015，含2024年修改单)中表5排放限值</w:t>
                  </w:r>
                </w:p>
              </w:tc>
            </w:tr>
            <w:tr w14:paraId="504B7378">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340" w:hRule="atLeast"/>
              </w:trPr>
              <w:tc>
                <w:tcPr>
                  <w:tcW w:w="313" w:type="pct"/>
                  <w:vMerge w:val="continue"/>
                  <w:vAlign w:val="center"/>
                </w:tcPr>
                <w:p w14:paraId="3036DC77">
                  <w:pPr>
                    <w:pStyle w:val="29"/>
                  </w:pPr>
                </w:p>
              </w:tc>
              <w:tc>
                <w:tcPr>
                  <w:tcW w:w="556" w:type="pct"/>
                  <w:vMerge w:val="continue"/>
                  <w:vAlign w:val="center"/>
                </w:tcPr>
                <w:p w14:paraId="43B48DBB">
                  <w:pPr>
                    <w:pStyle w:val="29"/>
                  </w:pPr>
                </w:p>
              </w:tc>
              <w:tc>
                <w:tcPr>
                  <w:tcW w:w="842" w:type="pct"/>
                  <w:vAlign w:val="center"/>
                </w:tcPr>
                <w:p w14:paraId="00AE2A3C">
                  <w:pPr>
                    <w:pStyle w:val="29"/>
                  </w:pPr>
                  <w:r>
                    <w:t>丙烯腈</w:t>
                  </w:r>
                </w:p>
              </w:tc>
              <w:tc>
                <w:tcPr>
                  <w:tcW w:w="668" w:type="pct"/>
                  <w:vAlign w:val="center"/>
                </w:tcPr>
                <w:p w14:paraId="3496F778">
                  <w:pPr>
                    <w:pStyle w:val="29"/>
                  </w:pPr>
                  <w:r>
                    <w:t>0.5</w:t>
                  </w:r>
                </w:p>
              </w:tc>
              <w:tc>
                <w:tcPr>
                  <w:tcW w:w="397" w:type="pct"/>
                  <w:vMerge w:val="continue"/>
                  <w:vAlign w:val="center"/>
                </w:tcPr>
                <w:p w14:paraId="1EA08EDD">
                  <w:pPr>
                    <w:pStyle w:val="29"/>
                  </w:pPr>
                </w:p>
              </w:tc>
              <w:tc>
                <w:tcPr>
                  <w:tcW w:w="636" w:type="pct"/>
                  <w:vAlign w:val="center"/>
                </w:tcPr>
                <w:p w14:paraId="10957237">
                  <w:pPr>
                    <w:pStyle w:val="29"/>
                  </w:pPr>
                  <w:r>
                    <w:t>/</w:t>
                  </w:r>
                </w:p>
              </w:tc>
              <w:tc>
                <w:tcPr>
                  <w:tcW w:w="1588" w:type="pct"/>
                  <w:vMerge w:val="continue"/>
                  <w:vAlign w:val="center"/>
                </w:tcPr>
                <w:p w14:paraId="26011858">
                  <w:pPr>
                    <w:pStyle w:val="29"/>
                    <w:rPr>
                      <w:color w:val="0000FF"/>
                    </w:rPr>
                  </w:pPr>
                </w:p>
              </w:tc>
            </w:tr>
            <w:tr w14:paraId="3BDEDAE5">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340" w:hRule="atLeast"/>
              </w:trPr>
              <w:tc>
                <w:tcPr>
                  <w:tcW w:w="313" w:type="pct"/>
                  <w:vMerge w:val="continue"/>
                  <w:vAlign w:val="center"/>
                </w:tcPr>
                <w:p w14:paraId="06D78F78">
                  <w:pPr>
                    <w:pStyle w:val="29"/>
                  </w:pPr>
                </w:p>
              </w:tc>
              <w:tc>
                <w:tcPr>
                  <w:tcW w:w="556" w:type="pct"/>
                  <w:vMerge w:val="continue"/>
                  <w:vAlign w:val="center"/>
                </w:tcPr>
                <w:p w14:paraId="16A79915">
                  <w:pPr>
                    <w:pStyle w:val="29"/>
                  </w:pPr>
                </w:p>
              </w:tc>
              <w:tc>
                <w:tcPr>
                  <w:tcW w:w="842" w:type="pct"/>
                  <w:vAlign w:val="center"/>
                </w:tcPr>
                <w:p w14:paraId="36A86DBB">
                  <w:pPr>
                    <w:pStyle w:val="29"/>
                  </w:pPr>
                  <w:r>
                    <w:t>1，3-丁二烯</w:t>
                  </w:r>
                </w:p>
              </w:tc>
              <w:tc>
                <w:tcPr>
                  <w:tcW w:w="668" w:type="pct"/>
                  <w:vAlign w:val="center"/>
                </w:tcPr>
                <w:p w14:paraId="76867420">
                  <w:pPr>
                    <w:pStyle w:val="29"/>
                  </w:pPr>
                  <w:r>
                    <w:t>1</w:t>
                  </w:r>
                </w:p>
              </w:tc>
              <w:tc>
                <w:tcPr>
                  <w:tcW w:w="397" w:type="pct"/>
                  <w:vMerge w:val="continue"/>
                  <w:vAlign w:val="center"/>
                </w:tcPr>
                <w:p w14:paraId="1F21DD9F">
                  <w:pPr>
                    <w:pStyle w:val="29"/>
                  </w:pPr>
                </w:p>
              </w:tc>
              <w:tc>
                <w:tcPr>
                  <w:tcW w:w="636" w:type="pct"/>
                  <w:vAlign w:val="center"/>
                </w:tcPr>
                <w:p w14:paraId="713FE91C">
                  <w:pPr>
                    <w:pStyle w:val="29"/>
                  </w:pPr>
                  <w:r>
                    <w:t>/</w:t>
                  </w:r>
                </w:p>
              </w:tc>
              <w:tc>
                <w:tcPr>
                  <w:tcW w:w="1588" w:type="pct"/>
                  <w:vMerge w:val="continue"/>
                  <w:vAlign w:val="center"/>
                </w:tcPr>
                <w:p w14:paraId="5901D3A1">
                  <w:pPr>
                    <w:pStyle w:val="29"/>
                    <w:rPr>
                      <w:color w:val="0000FF"/>
                    </w:rPr>
                  </w:pPr>
                </w:p>
              </w:tc>
            </w:tr>
            <w:tr w14:paraId="48961F63">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340" w:hRule="atLeast"/>
              </w:trPr>
              <w:tc>
                <w:tcPr>
                  <w:tcW w:w="313" w:type="pct"/>
                  <w:vMerge w:val="continue"/>
                  <w:vAlign w:val="center"/>
                </w:tcPr>
                <w:p w14:paraId="58483E60">
                  <w:pPr>
                    <w:pStyle w:val="29"/>
                  </w:pPr>
                </w:p>
              </w:tc>
              <w:tc>
                <w:tcPr>
                  <w:tcW w:w="556" w:type="pct"/>
                  <w:vMerge w:val="continue"/>
                  <w:vAlign w:val="center"/>
                </w:tcPr>
                <w:p w14:paraId="668DC123">
                  <w:pPr>
                    <w:pStyle w:val="29"/>
                  </w:pPr>
                </w:p>
              </w:tc>
              <w:tc>
                <w:tcPr>
                  <w:tcW w:w="842" w:type="pct"/>
                  <w:vAlign w:val="center"/>
                </w:tcPr>
                <w:p w14:paraId="67375ADE">
                  <w:pPr>
                    <w:pStyle w:val="29"/>
                  </w:pPr>
                  <w:r>
                    <w:t>甲苯</w:t>
                  </w:r>
                </w:p>
              </w:tc>
              <w:tc>
                <w:tcPr>
                  <w:tcW w:w="668" w:type="pct"/>
                  <w:vAlign w:val="center"/>
                </w:tcPr>
                <w:p w14:paraId="51A5D9DA">
                  <w:pPr>
                    <w:pStyle w:val="29"/>
                  </w:pPr>
                  <w:r>
                    <w:t>8</w:t>
                  </w:r>
                </w:p>
              </w:tc>
              <w:tc>
                <w:tcPr>
                  <w:tcW w:w="397" w:type="pct"/>
                  <w:vMerge w:val="continue"/>
                  <w:vAlign w:val="center"/>
                </w:tcPr>
                <w:p w14:paraId="62A36CEA">
                  <w:pPr>
                    <w:pStyle w:val="29"/>
                  </w:pPr>
                </w:p>
              </w:tc>
              <w:tc>
                <w:tcPr>
                  <w:tcW w:w="636" w:type="pct"/>
                  <w:vAlign w:val="center"/>
                </w:tcPr>
                <w:p w14:paraId="32963C5A">
                  <w:pPr>
                    <w:pStyle w:val="29"/>
                  </w:pPr>
                  <w:r>
                    <w:t>/</w:t>
                  </w:r>
                </w:p>
              </w:tc>
              <w:tc>
                <w:tcPr>
                  <w:tcW w:w="1588" w:type="pct"/>
                  <w:vMerge w:val="continue"/>
                  <w:vAlign w:val="center"/>
                </w:tcPr>
                <w:p w14:paraId="1C8C48AF">
                  <w:pPr>
                    <w:pStyle w:val="29"/>
                    <w:rPr>
                      <w:color w:val="0000FF"/>
                    </w:rPr>
                  </w:pPr>
                </w:p>
              </w:tc>
            </w:tr>
            <w:tr w14:paraId="3D3AEB97">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340" w:hRule="atLeast"/>
              </w:trPr>
              <w:tc>
                <w:tcPr>
                  <w:tcW w:w="313" w:type="pct"/>
                  <w:vMerge w:val="continue"/>
                  <w:vAlign w:val="center"/>
                </w:tcPr>
                <w:p w14:paraId="1C7D94D4">
                  <w:pPr>
                    <w:pStyle w:val="29"/>
                  </w:pPr>
                </w:p>
              </w:tc>
              <w:tc>
                <w:tcPr>
                  <w:tcW w:w="556" w:type="pct"/>
                  <w:vMerge w:val="continue"/>
                  <w:vAlign w:val="center"/>
                </w:tcPr>
                <w:p w14:paraId="18C34FD3">
                  <w:pPr>
                    <w:pStyle w:val="29"/>
                  </w:pPr>
                </w:p>
              </w:tc>
              <w:tc>
                <w:tcPr>
                  <w:tcW w:w="842" w:type="pct"/>
                  <w:vAlign w:val="center"/>
                </w:tcPr>
                <w:p w14:paraId="17DA1E15">
                  <w:pPr>
                    <w:pStyle w:val="29"/>
                  </w:pPr>
                  <w:r>
                    <w:t>乙苯</w:t>
                  </w:r>
                </w:p>
              </w:tc>
              <w:tc>
                <w:tcPr>
                  <w:tcW w:w="668" w:type="pct"/>
                  <w:vAlign w:val="center"/>
                </w:tcPr>
                <w:p w14:paraId="25C0C999">
                  <w:pPr>
                    <w:pStyle w:val="29"/>
                  </w:pPr>
                  <w:r>
                    <w:t>50</w:t>
                  </w:r>
                </w:p>
              </w:tc>
              <w:tc>
                <w:tcPr>
                  <w:tcW w:w="397" w:type="pct"/>
                  <w:vMerge w:val="continue"/>
                  <w:vAlign w:val="center"/>
                </w:tcPr>
                <w:p w14:paraId="7002AE5F">
                  <w:pPr>
                    <w:pStyle w:val="29"/>
                  </w:pPr>
                </w:p>
              </w:tc>
              <w:tc>
                <w:tcPr>
                  <w:tcW w:w="636" w:type="pct"/>
                  <w:vAlign w:val="center"/>
                </w:tcPr>
                <w:p w14:paraId="31E870C4">
                  <w:pPr>
                    <w:pStyle w:val="29"/>
                  </w:pPr>
                  <w:r>
                    <w:t>/</w:t>
                  </w:r>
                </w:p>
              </w:tc>
              <w:tc>
                <w:tcPr>
                  <w:tcW w:w="1588" w:type="pct"/>
                  <w:vMerge w:val="continue"/>
                  <w:vAlign w:val="center"/>
                </w:tcPr>
                <w:p w14:paraId="72098CC3">
                  <w:pPr>
                    <w:pStyle w:val="29"/>
                    <w:rPr>
                      <w:color w:val="0000FF"/>
                    </w:rPr>
                  </w:pPr>
                </w:p>
              </w:tc>
            </w:tr>
            <w:tr w14:paraId="1DEB4CD0">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340" w:hRule="atLeast"/>
              </w:trPr>
              <w:tc>
                <w:tcPr>
                  <w:tcW w:w="313" w:type="pct"/>
                  <w:vMerge w:val="continue"/>
                  <w:vAlign w:val="center"/>
                </w:tcPr>
                <w:p w14:paraId="31B2B2BF">
                  <w:pPr>
                    <w:pStyle w:val="29"/>
                  </w:pPr>
                </w:p>
              </w:tc>
              <w:tc>
                <w:tcPr>
                  <w:tcW w:w="556" w:type="pct"/>
                  <w:vMerge w:val="continue"/>
                  <w:vAlign w:val="center"/>
                </w:tcPr>
                <w:p w14:paraId="2F801D88">
                  <w:pPr>
                    <w:pStyle w:val="29"/>
                  </w:pPr>
                </w:p>
              </w:tc>
              <w:tc>
                <w:tcPr>
                  <w:tcW w:w="842" w:type="pct"/>
                  <w:vAlign w:val="center"/>
                </w:tcPr>
                <w:p w14:paraId="60F9C392">
                  <w:pPr>
                    <w:pStyle w:val="29"/>
                  </w:pPr>
                  <w:r>
                    <w:t>臭气浓度</w:t>
                  </w:r>
                </w:p>
              </w:tc>
              <w:tc>
                <w:tcPr>
                  <w:tcW w:w="668" w:type="pct"/>
                  <w:vAlign w:val="center"/>
                </w:tcPr>
                <w:p w14:paraId="68D097B8">
                  <w:pPr>
                    <w:pStyle w:val="29"/>
                  </w:pPr>
                  <w:r>
                    <w:t>60000（无量纲）</w:t>
                  </w:r>
                </w:p>
              </w:tc>
              <w:tc>
                <w:tcPr>
                  <w:tcW w:w="397" w:type="pct"/>
                  <w:vMerge w:val="continue"/>
                  <w:vAlign w:val="center"/>
                </w:tcPr>
                <w:p w14:paraId="25596C53">
                  <w:pPr>
                    <w:pStyle w:val="29"/>
                  </w:pPr>
                </w:p>
              </w:tc>
              <w:tc>
                <w:tcPr>
                  <w:tcW w:w="636" w:type="pct"/>
                  <w:vAlign w:val="center"/>
                </w:tcPr>
                <w:p w14:paraId="729D7701">
                  <w:pPr>
                    <w:pStyle w:val="29"/>
                  </w:pPr>
                  <w:r>
                    <w:t>/</w:t>
                  </w:r>
                </w:p>
              </w:tc>
              <w:tc>
                <w:tcPr>
                  <w:tcW w:w="1588" w:type="pct"/>
                  <w:vAlign w:val="center"/>
                </w:tcPr>
                <w:p w14:paraId="4859F14C">
                  <w:pPr>
                    <w:pStyle w:val="29"/>
                    <w:rPr>
                      <w:color w:val="0000FF"/>
                    </w:rPr>
                  </w:pPr>
                  <w:r>
                    <w:rPr>
                      <w:rFonts w:hint="eastAsia"/>
                      <w:color w:val="0000FF"/>
                    </w:rPr>
                    <w:t>《恶臭污染物排放标准》（</w:t>
                  </w:r>
                  <w:r>
                    <w:rPr>
                      <w:color w:val="0000FF"/>
                    </w:rPr>
                    <w:t>GB14554-93</w:t>
                  </w:r>
                  <w:r>
                    <w:rPr>
                      <w:rFonts w:hint="eastAsia"/>
                      <w:color w:val="0000FF"/>
                    </w:rPr>
                    <w:t>）表</w:t>
                  </w:r>
                  <w:r>
                    <w:rPr>
                      <w:color w:val="0000FF"/>
                    </w:rPr>
                    <w:t>2</w:t>
                  </w:r>
                  <w:r>
                    <w:rPr>
                      <w:rFonts w:hint="eastAsia"/>
                      <w:color w:val="0000FF"/>
                    </w:rPr>
                    <w:t>中恶臭污染物排放标准限值</w:t>
                  </w:r>
                </w:p>
              </w:tc>
            </w:tr>
            <w:tr w14:paraId="50403F82">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340" w:hRule="atLeast"/>
              </w:trPr>
              <w:tc>
                <w:tcPr>
                  <w:tcW w:w="313" w:type="pct"/>
                  <w:vMerge w:val="continue"/>
                  <w:vAlign w:val="center"/>
                </w:tcPr>
                <w:p w14:paraId="44FB5C04">
                  <w:pPr>
                    <w:pStyle w:val="29"/>
                  </w:pPr>
                </w:p>
              </w:tc>
              <w:tc>
                <w:tcPr>
                  <w:tcW w:w="556" w:type="pct"/>
                  <w:vMerge w:val="continue"/>
                  <w:vAlign w:val="center"/>
                </w:tcPr>
                <w:p w14:paraId="7A05D134">
                  <w:pPr>
                    <w:pStyle w:val="29"/>
                  </w:pPr>
                </w:p>
              </w:tc>
              <w:tc>
                <w:tcPr>
                  <w:tcW w:w="842" w:type="pct"/>
                  <w:vAlign w:val="center"/>
                </w:tcPr>
                <w:p w14:paraId="4C37AA3B">
                  <w:pPr>
                    <w:pStyle w:val="29"/>
                  </w:pPr>
                  <w:r>
                    <w:rPr>
                      <w:rFonts w:hint="eastAsia"/>
                      <w:color w:val="EE0000"/>
                    </w:rPr>
                    <w:t>TVOC</w:t>
                  </w:r>
                </w:p>
              </w:tc>
              <w:tc>
                <w:tcPr>
                  <w:tcW w:w="668" w:type="pct"/>
                  <w:vAlign w:val="center"/>
                </w:tcPr>
                <w:p w14:paraId="0E8A7A78">
                  <w:pPr>
                    <w:pStyle w:val="29"/>
                  </w:pPr>
                  <w:r>
                    <w:rPr>
                      <w:rFonts w:hint="eastAsia"/>
                      <w:color w:val="EE0000"/>
                    </w:rPr>
                    <w:t>100</w:t>
                  </w:r>
                </w:p>
              </w:tc>
              <w:tc>
                <w:tcPr>
                  <w:tcW w:w="397" w:type="pct"/>
                  <w:vMerge w:val="continue"/>
                  <w:vAlign w:val="center"/>
                </w:tcPr>
                <w:p w14:paraId="718909AF">
                  <w:pPr>
                    <w:pStyle w:val="29"/>
                  </w:pPr>
                </w:p>
              </w:tc>
              <w:tc>
                <w:tcPr>
                  <w:tcW w:w="636" w:type="pct"/>
                  <w:vAlign w:val="center"/>
                </w:tcPr>
                <w:p w14:paraId="31457257">
                  <w:pPr>
                    <w:pStyle w:val="29"/>
                    <w:rPr>
                      <w:color w:val="EE0000"/>
                    </w:rPr>
                  </w:pPr>
                  <w:r>
                    <w:rPr>
                      <w:rFonts w:hint="eastAsia"/>
                      <w:color w:val="EE0000"/>
                    </w:rPr>
                    <w:t>/</w:t>
                  </w:r>
                </w:p>
              </w:tc>
              <w:tc>
                <w:tcPr>
                  <w:tcW w:w="1588" w:type="pct"/>
                  <w:vAlign w:val="center"/>
                </w:tcPr>
                <w:p w14:paraId="0FC1F83F">
                  <w:pPr>
                    <w:pStyle w:val="29"/>
                    <w:rPr>
                      <w:color w:val="0000FF"/>
                    </w:rPr>
                  </w:pPr>
                  <w:r>
                    <w:rPr>
                      <w:color w:val="0000FF"/>
                    </w:rPr>
                    <w:t>《固定污染源挥发性有机物综合排放标准》（DB44/2367-2022）表1限值</w:t>
                  </w:r>
                </w:p>
              </w:tc>
            </w:tr>
            <w:tr w14:paraId="0903CD8E">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340" w:hRule="atLeast"/>
              </w:trPr>
              <w:tc>
                <w:tcPr>
                  <w:tcW w:w="313" w:type="pct"/>
                  <w:vMerge w:val="continue"/>
                  <w:vAlign w:val="center"/>
                </w:tcPr>
                <w:p w14:paraId="410D510F">
                  <w:pPr>
                    <w:pStyle w:val="29"/>
                  </w:pPr>
                </w:p>
              </w:tc>
              <w:tc>
                <w:tcPr>
                  <w:tcW w:w="556" w:type="pct"/>
                  <w:vMerge w:val="continue"/>
                  <w:vAlign w:val="center"/>
                </w:tcPr>
                <w:p w14:paraId="36EB94AD">
                  <w:pPr>
                    <w:pStyle w:val="29"/>
                  </w:pPr>
                </w:p>
              </w:tc>
              <w:tc>
                <w:tcPr>
                  <w:tcW w:w="842" w:type="pct"/>
                  <w:vAlign w:val="center"/>
                </w:tcPr>
                <w:p w14:paraId="06B37DBA">
                  <w:pPr>
                    <w:pStyle w:val="29"/>
                  </w:pPr>
                  <w:r>
                    <w:t>总VOCs</w:t>
                  </w:r>
                </w:p>
              </w:tc>
              <w:tc>
                <w:tcPr>
                  <w:tcW w:w="668" w:type="pct"/>
                  <w:vAlign w:val="center"/>
                </w:tcPr>
                <w:p w14:paraId="2EEB09FC">
                  <w:pPr>
                    <w:pStyle w:val="29"/>
                  </w:pPr>
                  <w:r>
                    <w:t>120</w:t>
                  </w:r>
                </w:p>
              </w:tc>
              <w:tc>
                <w:tcPr>
                  <w:tcW w:w="397" w:type="pct"/>
                  <w:vMerge w:val="continue"/>
                  <w:vAlign w:val="center"/>
                </w:tcPr>
                <w:p w14:paraId="09EAD1FB">
                  <w:pPr>
                    <w:pStyle w:val="29"/>
                  </w:pPr>
                </w:p>
              </w:tc>
              <w:tc>
                <w:tcPr>
                  <w:tcW w:w="636" w:type="pct"/>
                  <w:vAlign w:val="center"/>
                </w:tcPr>
                <w:p w14:paraId="10863DF6">
                  <w:pPr>
                    <w:pStyle w:val="29"/>
                    <w:rPr>
                      <w:color w:val="EE0000"/>
                    </w:rPr>
                  </w:pPr>
                  <w:r>
                    <w:rPr>
                      <w:rFonts w:hint="eastAsia"/>
                      <w:color w:val="EE0000"/>
                    </w:rPr>
                    <w:t>2.</w:t>
                  </w:r>
                  <w:r>
                    <w:rPr>
                      <w:color w:val="EE0000"/>
                    </w:rPr>
                    <w:t>5</w:t>
                  </w:r>
                  <w:r>
                    <w:rPr>
                      <w:rFonts w:hint="eastAsia"/>
                      <w:color w:val="EE0000"/>
                    </w:rPr>
                    <w:t>5</w:t>
                  </w:r>
                </w:p>
              </w:tc>
              <w:tc>
                <w:tcPr>
                  <w:tcW w:w="1588" w:type="pct"/>
                  <w:vAlign w:val="center"/>
                </w:tcPr>
                <w:p w14:paraId="5890BA0F">
                  <w:pPr>
                    <w:pStyle w:val="29"/>
                    <w:rPr>
                      <w:color w:val="0000FF"/>
                    </w:rPr>
                  </w:pPr>
                  <w:r>
                    <w:rPr>
                      <w:rFonts w:hint="eastAsia"/>
                      <w:color w:val="0000FF"/>
                    </w:rPr>
                    <w:t>《印刷行业挥发性有机化合物排放标准》（DB44/815-2010）中凹版印刷、凸版印刷、丝网印刷、平版印刷（以金属、陶瓷、玻璃为承印物的平版印刷）Ⅱ时段排放浓度限值（排放速率按照标准限值50%执行）</w:t>
                  </w:r>
                </w:p>
              </w:tc>
            </w:tr>
            <w:tr w14:paraId="0569A111">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340" w:hRule="atLeast"/>
              </w:trPr>
              <w:tc>
                <w:tcPr>
                  <w:tcW w:w="313" w:type="pct"/>
                  <w:vMerge w:val="continue"/>
                  <w:vAlign w:val="center"/>
                </w:tcPr>
                <w:p w14:paraId="6B54AB64">
                  <w:pPr>
                    <w:pStyle w:val="29"/>
                  </w:pPr>
                </w:p>
              </w:tc>
              <w:tc>
                <w:tcPr>
                  <w:tcW w:w="556" w:type="pct"/>
                  <w:vMerge w:val="continue"/>
                  <w:vAlign w:val="center"/>
                </w:tcPr>
                <w:p w14:paraId="2A3FFBB0">
                  <w:pPr>
                    <w:pStyle w:val="29"/>
                  </w:pPr>
                </w:p>
              </w:tc>
              <w:tc>
                <w:tcPr>
                  <w:tcW w:w="842" w:type="pct"/>
                  <w:vAlign w:val="center"/>
                </w:tcPr>
                <w:p w14:paraId="73A75930">
                  <w:pPr>
                    <w:pStyle w:val="29"/>
                  </w:pPr>
                  <w:r>
                    <w:t>颗粒物</w:t>
                  </w:r>
                </w:p>
              </w:tc>
              <w:tc>
                <w:tcPr>
                  <w:tcW w:w="668" w:type="pct"/>
                  <w:vAlign w:val="center"/>
                </w:tcPr>
                <w:p w14:paraId="761586DD">
                  <w:pPr>
                    <w:pStyle w:val="29"/>
                  </w:pPr>
                  <w:r>
                    <w:t>120</w:t>
                  </w:r>
                </w:p>
              </w:tc>
              <w:tc>
                <w:tcPr>
                  <w:tcW w:w="397" w:type="pct"/>
                  <w:vMerge w:val="continue"/>
                  <w:vAlign w:val="center"/>
                </w:tcPr>
                <w:p w14:paraId="32E3B303">
                  <w:pPr>
                    <w:pStyle w:val="29"/>
                  </w:pPr>
                </w:p>
              </w:tc>
              <w:tc>
                <w:tcPr>
                  <w:tcW w:w="636" w:type="pct"/>
                  <w:vAlign w:val="center"/>
                </w:tcPr>
                <w:p w14:paraId="64575520">
                  <w:pPr>
                    <w:pStyle w:val="29"/>
                    <w:rPr>
                      <w:color w:val="EE0000"/>
                    </w:rPr>
                  </w:pPr>
                  <w:r>
                    <w:rPr>
                      <w:rFonts w:hint="eastAsia"/>
                      <w:color w:val="EE0000"/>
                    </w:rPr>
                    <w:t>41</w:t>
                  </w:r>
                </w:p>
              </w:tc>
              <w:tc>
                <w:tcPr>
                  <w:tcW w:w="1588" w:type="pct"/>
                  <w:vAlign w:val="center"/>
                </w:tcPr>
                <w:p w14:paraId="55860FD5">
                  <w:pPr>
                    <w:pStyle w:val="29"/>
                    <w:rPr>
                      <w:color w:val="0000FF"/>
                    </w:rPr>
                  </w:pPr>
                  <w:r>
                    <w:rPr>
                      <w:color w:val="0000FF"/>
                    </w:rPr>
                    <w:t>广东省《大气污染物排放限值》（DB44/27-2001）中表2第二时段二级标准排放限值</w:t>
                  </w:r>
                  <w:r>
                    <w:rPr>
                      <w:rFonts w:hint="eastAsia"/>
                      <w:color w:val="0000FF"/>
                    </w:rPr>
                    <w:t>（排放速率按照标准限值50%执行）</w:t>
                  </w:r>
                </w:p>
              </w:tc>
            </w:tr>
          </w:tbl>
          <w:p w14:paraId="1007E576">
            <w:pPr>
              <w:ind w:firstLine="420"/>
              <w:rPr>
                <w:rStyle w:val="28"/>
              </w:rPr>
            </w:pPr>
            <w:r>
              <w:rPr>
                <w:rStyle w:val="28"/>
              </w:rPr>
              <w:t>注：1.颗粒物执行广东省《大气污染物排放限值》（DB44/27-2001）中表2第二时段二级标准排放限值，本项目的排气筒高度为65m，高于《大气污染物排放限值》（DB44/27-2001）中表2中的排气筒高度的最高值，根据广东省《大气污染物排放限值》（DB44/27-2001）附录B，B.2 某排气简高度高于本标准表列排气简高度的最高值，用外推法计算其最高允许排放速率。计算过程为：</w:t>
            </w:r>
          </w:p>
          <w:p w14:paraId="24833D9A">
            <w:pPr>
              <w:ind w:firstLine="420"/>
              <w:jc w:val="center"/>
              <w:rPr>
                <w:rStyle w:val="28"/>
              </w:rPr>
            </w:pPr>
            <w:r>
              <w:rPr>
                <w:rStyle w:val="28"/>
              </w:rPr>
              <w:t>Q=Qb（h/h</w:t>
            </w:r>
            <w:r>
              <w:rPr>
                <w:rStyle w:val="28"/>
                <w:vertAlign w:val="subscript"/>
              </w:rPr>
              <w:t>b</w:t>
            </w:r>
            <w:r>
              <w:rPr>
                <w:rStyle w:val="28"/>
              </w:rPr>
              <w:t>）</w:t>
            </w:r>
            <w:r>
              <w:rPr>
                <w:rStyle w:val="28"/>
                <w:vertAlign w:val="superscript"/>
              </w:rPr>
              <w:t>2</w:t>
            </w:r>
            <w:r>
              <w:rPr>
                <w:rStyle w:val="28"/>
              </w:rPr>
              <w:t>=70×（65/60）</w:t>
            </w:r>
            <w:r>
              <w:rPr>
                <w:rStyle w:val="28"/>
                <w:vertAlign w:val="superscript"/>
              </w:rPr>
              <w:t>2</w:t>
            </w:r>
            <w:r>
              <w:rPr>
                <w:rStyle w:val="28"/>
              </w:rPr>
              <w:t>≈82（kg/h）</w:t>
            </w:r>
          </w:p>
          <w:p w14:paraId="3E5AB87A">
            <w:pPr>
              <w:ind w:firstLine="420"/>
              <w:rPr>
                <w:rStyle w:val="28"/>
              </w:rPr>
            </w:pPr>
            <w:r>
              <w:rPr>
                <w:rStyle w:val="28"/>
              </w:rPr>
              <w:t>式中：</w:t>
            </w:r>
          </w:p>
          <w:p w14:paraId="3963E94D">
            <w:pPr>
              <w:ind w:firstLine="420"/>
              <w:rPr>
                <w:rStyle w:val="28"/>
              </w:rPr>
            </w:pPr>
            <w:r>
              <w:rPr>
                <w:rStyle w:val="28"/>
              </w:rPr>
              <w:t>Q——某排气筒的最高允许排放速率;</w:t>
            </w:r>
          </w:p>
          <w:p w14:paraId="48FA05AA">
            <w:pPr>
              <w:ind w:firstLine="420"/>
              <w:rPr>
                <w:rStyle w:val="28"/>
              </w:rPr>
            </w:pPr>
            <w:r>
              <w:rPr>
                <w:rStyle w:val="28"/>
              </w:rPr>
              <w:t>Qb——表列排气筒最高高度对应的最高允许排故速率;</w:t>
            </w:r>
          </w:p>
          <w:p w14:paraId="3AB82AAB">
            <w:pPr>
              <w:ind w:firstLine="420"/>
              <w:rPr>
                <w:rStyle w:val="28"/>
              </w:rPr>
            </w:pPr>
            <w:r>
              <w:rPr>
                <w:rStyle w:val="28"/>
                <w:rFonts w:hint="eastAsia"/>
              </w:rPr>
              <w:t>h</w:t>
            </w:r>
            <w:r>
              <w:rPr>
                <w:rStyle w:val="28"/>
              </w:rPr>
              <w:t>——某排气简的高度;</w:t>
            </w:r>
          </w:p>
          <w:p w14:paraId="02C6FCD0">
            <w:pPr>
              <w:ind w:firstLine="420"/>
              <w:rPr>
                <w:rStyle w:val="28"/>
              </w:rPr>
            </w:pPr>
            <w:r>
              <w:rPr>
                <w:rStyle w:val="28"/>
              </w:rPr>
              <w:t>h</w:t>
            </w:r>
            <w:r>
              <w:rPr>
                <w:rStyle w:val="28"/>
                <w:vertAlign w:val="subscript"/>
              </w:rPr>
              <w:t>b</w:t>
            </w:r>
            <w:r>
              <w:rPr>
                <w:rStyle w:val="28"/>
              </w:rPr>
              <w:t>——表列排气筒的最高高度。</w:t>
            </w:r>
          </w:p>
          <w:p w14:paraId="540FE393">
            <w:pPr>
              <w:ind w:firstLine="420"/>
              <w:rPr>
                <w:rStyle w:val="28"/>
              </w:rPr>
            </w:pPr>
            <w:r>
              <w:rPr>
                <w:rStyle w:val="28"/>
                <w:rFonts w:hint="eastAsia"/>
              </w:rPr>
              <w:t>由于项目排气筒未高出周边建筑5m，因此排放速率按照标准限值50%执行。</w:t>
            </w:r>
          </w:p>
          <w:p w14:paraId="51F0BBBA">
            <w:pPr>
              <w:ind w:firstLine="482"/>
              <w:rPr>
                <w:rFonts w:asciiTheme="majorBidi" w:hAnsiTheme="majorBidi" w:eastAsiaTheme="minorEastAsia" w:cstheme="majorBidi"/>
                <w:b/>
                <w:bCs/>
                <w:color w:val="000000" w:themeColor="text1"/>
                <w14:textFill>
                  <w14:solidFill>
                    <w14:schemeClr w14:val="tx1"/>
                  </w14:solidFill>
                </w14:textFill>
              </w:rPr>
            </w:pPr>
            <w:r>
              <w:rPr>
                <w:rFonts w:asciiTheme="majorBidi" w:hAnsiTheme="majorBidi" w:eastAsiaTheme="minorEastAsia" w:cstheme="majorBidi"/>
                <w:b/>
                <w:bCs/>
                <w:color w:val="000000" w:themeColor="text1"/>
                <w14:textFill>
                  <w14:solidFill>
                    <w14:schemeClr w14:val="tx1"/>
                  </w14:solidFill>
                </w14:textFill>
              </w:rPr>
              <w:t>2.无组织排放</w:t>
            </w:r>
          </w:p>
          <w:p w14:paraId="66DBB2DC">
            <w:pPr>
              <w:ind w:firstLine="480"/>
              <w:rPr>
                <w:rFonts w:asciiTheme="majorBidi" w:hAnsiTheme="majorBidi" w:eastAsiaTheme="minorEastAsia" w:cstheme="majorBidi"/>
                <w:color w:val="EE0000"/>
                <w:kern w:val="2"/>
              </w:rPr>
            </w:pPr>
            <w:r>
              <w:rPr>
                <w:rFonts w:asciiTheme="majorBidi" w:hAnsiTheme="majorBidi" w:eastAsiaTheme="minorEastAsia" w:cstheme="majorBidi"/>
                <w:color w:val="EE0000"/>
                <w:kern w:val="2"/>
              </w:rPr>
              <w:t>项目注塑工序产生非甲烷总烃、甲苯、臭气浓度。非甲烷总烃</w:t>
            </w:r>
            <w:r>
              <w:rPr>
                <w:rFonts w:hint="eastAsia" w:asciiTheme="majorBidi" w:hAnsiTheme="majorBidi" w:eastAsiaTheme="minorEastAsia" w:cstheme="majorBidi"/>
                <w:color w:val="EE0000"/>
                <w:kern w:val="2"/>
              </w:rPr>
              <w:t>、</w:t>
            </w:r>
            <w:r>
              <w:rPr>
                <w:rFonts w:asciiTheme="majorBidi" w:hAnsiTheme="majorBidi" w:eastAsiaTheme="minorEastAsia" w:cstheme="majorBidi"/>
                <w:color w:val="EE0000"/>
                <w:kern w:val="2"/>
              </w:rPr>
              <w:t>甲苯</w:t>
            </w:r>
            <w:r>
              <w:rPr>
                <w:rFonts w:hint="eastAsia" w:asciiTheme="majorBidi" w:hAnsiTheme="majorBidi" w:eastAsiaTheme="minorEastAsia" w:cstheme="majorBidi"/>
                <w:color w:val="EE0000"/>
                <w:kern w:val="2"/>
              </w:rPr>
              <w:t>厂界</w:t>
            </w:r>
            <w:r>
              <w:rPr>
                <w:rFonts w:asciiTheme="majorBidi" w:hAnsiTheme="majorBidi" w:eastAsiaTheme="minorEastAsia" w:cstheme="majorBidi"/>
                <w:color w:val="EE0000"/>
                <w:kern w:val="2"/>
              </w:rPr>
              <w:t>无组织排放执行</w:t>
            </w:r>
            <w:r>
              <w:rPr>
                <w:rFonts w:hint="eastAsia" w:asciiTheme="majorBidi" w:hAnsiTheme="majorBidi" w:eastAsiaTheme="minorEastAsia" w:cstheme="majorBidi"/>
                <w:color w:val="EE0000"/>
                <w:kern w:val="2"/>
              </w:rPr>
              <w:t>《合成树脂工业污染物排放标准》(GB31572-2015，含2024年修改单) 表9企业边界大气污染物浓度限值；臭气浓度厂界无组织排放执行《恶臭污染物排放标准》（GB14554-93）表1恶臭污染物厂界标准值（二级标准中新扩改建）。</w:t>
            </w:r>
          </w:p>
          <w:p w14:paraId="15698FC5">
            <w:pPr>
              <w:ind w:firstLine="480"/>
              <w:rPr>
                <w:rFonts w:asciiTheme="majorBidi" w:hAnsiTheme="majorBidi" w:eastAsiaTheme="minorEastAsia" w:cstheme="majorBidi"/>
                <w:color w:val="EE0000"/>
                <w:kern w:val="2"/>
              </w:rPr>
            </w:pPr>
            <w:r>
              <w:rPr>
                <w:rFonts w:hint="eastAsia" w:asciiTheme="majorBidi" w:hAnsiTheme="majorBidi" w:eastAsiaTheme="minorEastAsia" w:cstheme="majorBidi"/>
                <w:color w:val="EE0000"/>
                <w:kern w:val="2"/>
              </w:rPr>
              <w:t>项目胶合工序产生非甲烷总烃、臭气浓度。非甲烷总烃厂界无组织排放执行《合成树脂工业污染物排放标准》 (GB31572-2015，含2024年修改单) 表9企业边界大气污染物浓度限值；臭气浓度厂界无组织排放执行《恶臭污染物排放标准》（GB14554-93）表1恶臭污染物厂界标准值（二级标准中新扩改建）。</w:t>
            </w:r>
          </w:p>
          <w:p w14:paraId="2CEE0018">
            <w:pPr>
              <w:ind w:firstLine="480"/>
              <w:rPr>
                <w:rFonts w:asciiTheme="majorBidi" w:hAnsiTheme="majorBidi" w:eastAsiaTheme="minorEastAsia" w:cstheme="majorBidi"/>
                <w:color w:val="EE0000"/>
                <w:kern w:val="2"/>
              </w:rPr>
            </w:pPr>
            <w:r>
              <w:rPr>
                <w:rFonts w:hint="eastAsia" w:asciiTheme="majorBidi" w:hAnsiTheme="majorBidi" w:eastAsiaTheme="minorEastAsia" w:cstheme="majorBidi"/>
                <w:color w:val="EE0000"/>
                <w:kern w:val="2"/>
              </w:rPr>
              <w:t>项目混料、破碎工序</w:t>
            </w:r>
            <w:r>
              <w:rPr>
                <w:rFonts w:asciiTheme="majorBidi" w:hAnsiTheme="majorBidi" w:eastAsiaTheme="minorEastAsia" w:cstheme="majorBidi"/>
                <w:color w:val="EE0000"/>
                <w:kern w:val="2"/>
              </w:rPr>
              <w:t>产生</w:t>
            </w:r>
            <w:r>
              <w:rPr>
                <w:rFonts w:hint="eastAsia" w:asciiTheme="majorBidi" w:hAnsiTheme="majorBidi" w:eastAsiaTheme="minorEastAsia" w:cstheme="majorBidi"/>
                <w:color w:val="EE0000"/>
                <w:kern w:val="2"/>
              </w:rPr>
              <w:t>颗粒物。颗粒物厂界</w:t>
            </w:r>
            <w:r>
              <w:rPr>
                <w:rFonts w:asciiTheme="majorBidi" w:hAnsiTheme="majorBidi" w:eastAsiaTheme="minorEastAsia" w:cstheme="majorBidi"/>
                <w:color w:val="EE0000"/>
                <w:kern w:val="2"/>
              </w:rPr>
              <w:t>无组织排放执行</w:t>
            </w:r>
            <w:r>
              <w:rPr>
                <w:rFonts w:hint="eastAsia" w:asciiTheme="majorBidi" w:hAnsiTheme="majorBidi" w:eastAsiaTheme="minorEastAsia" w:cstheme="majorBidi"/>
                <w:color w:val="EE0000"/>
                <w:kern w:val="2"/>
              </w:rPr>
              <w:t>《合成树脂工业污染物排放标准》 (GB31572-2015，含2024年修改单) 表9企业边界大气污染物浓度限值。</w:t>
            </w:r>
          </w:p>
          <w:p w14:paraId="0DBD36FC">
            <w:pPr>
              <w:adjustRightInd/>
              <w:snapToGrid/>
              <w:ind w:firstLine="480"/>
              <w:rPr>
                <w:rFonts w:asciiTheme="majorBidi" w:hAnsiTheme="majorBidi" w:eastAsiaTheme="minorEastAsia" w:cstheme="majorBidi"/>
                <w:color w:val="EE0000"/>
                <w:kern w:val="2"/>
              </w:rPr>
            </w:pPr>
            <w:r>
              <w:rPr>
                <w:rFonts w:asciiTheme="majorBidi" w:hAnsiTheme="majorBidi" w:eastAsiaTheme="minorEastAsia" w:cstheme="majorBidi"/>
                <w:color w:val="EE0000"/>
                <w:kern w:val="2"/>
              </w:rPr>
              <w:t>项目</w:t>
            </w:r>
            <w:r>
              <w:rPr>
                <w:rFonts w:asciiTheme="majorBidi" w:hAnsiTheme="majorBidi" w:eastAsiaTheme="minorEastAsia" w:cstheme="majorBidi"/>
                <w:color w:val="0000FF"/>
                <w:kern w:val="2"/>
              </w:rPr>
              <w:t>喷漆及烘干</w:t>
            </w:r>
            <w:r>
              <w:rPr>
                <w:rFonts w:hint="eastAsia" w:asciiTheme="majorBidi" w:hAnsiTheme="majorBidi" w:eastAsiaTheme="minorEastAsia" w:cstheme="majorBidi"/>
                <w:color w:val="0000FF"/>
                <w:kern w:val="2"/>
              </w:rPr>
              <w:t>、印刷机清洗</w:t>
            </w:r>
            <w:r>
              <w:rPr>
                <w:rFonts w:hint="eastAsia" w:asciiTheme="majorBidi" w:hAnsiTheme="majorBidi" w:eastAsiaTheme="minorEastAsia" w:cstheme="majorBidi"/>
                <w:color w:val="EE0000"/>
                <w:kern w:val="2"/>
              </w:rPr>
              <w:t>和</w:t>
            </w:r>
            <w:r>
              <w:rPr>
                <w:rFonts w:hint="eastAsia" w:asciiTheme="majorBidi" w:hAnsiTheme="majorBidi" w:eastAsiaTheme="minorEastAsia" w:cstheme="majorBidi"/>
                <w:color w:val="0000FF"/>
                <w:kern w:val="2"/>
              </w:rPr>
              <w:t>电火花机</w:t>
            </w:r>
            <w:r>
              <w:rPr>
                <w:rFonts w:hint="eastAsia" w:asciiTheme="majorBidi" w:hAnsiTheme="majorBidi" w:eastAsiaTheme="minorEastAsia" w:cstheme="majorBidi"/>
                <w:color w:val="EE0000"/>
                <w:kern w:val="2"/>
              </w:rPr>
              <w:t>加工</w:t>
            </w:r>
            <w:r>
              <w:rPr>
                <w:rFonts w:asciiTheme="majorBidi" w:hAnsiTheme="majorBidi" w:eastAsiaTheme="minorEastAsia" w:cstheme="majorBidi"/>
                <w:color w:val="EE0000"/>
                <w:kern w:val="2"/>
              </w:rPr>
              <w:t>工序产生</w:t>
            </w:r>
            <w:r>
              <w:rPr>
                <w:rFonts w:hint="eastAsia" w:asciiTheme="majorBidi" w:hAnsiTheme="majorBidi" w:eastAsiaTheme="minorEastAsia" w:cstheme="majorBidi"/>
                <w:color w:val="EE0000"/>
                <w:kern w:val="2"/>
              </w:rPr>
              <w:t>非甲烷总烃、臭气浓度</w:t>
            </w:r>
            <w:r>
              <w:rPr>
                <w:rFonts w:asciiTheme="majorBidi" w:hAnsiTheme="majorBidi" w:eastAsiaTheme="minorEastAsia" w:cstheme="majorBidi"/>
                <w:color w:val="EE0000"/>
                <w:kern w:val="2"/>
              </w:rPr>
              <w:t>，</w:t>
            </w:r>
            <w:r>
              <w:rPr>
                <w:rFonts w:hint="eastAsia" w:asciiTheme="majorBidi" w:hAnsiTheme="majorBidi" w:eastAsiaTheme="minorEastAsia" w:cstheme="majorBidi"/>
                <w:color w:val="EE0000"/>
                <w:kern w:val="2"/>
              </w:rPr>
              <w:t>非甲烷总烃厂区内厂房外无组织排放执行广东省《固定污染源挥发性有机物综合排放标准》（DB44/2367-2022）表3排放限值；臭气浓度厂界无组织排放执行《恶臭污染物排放标准》（GB14554-93）表1恶臭污染物厂界标准值（二级标准中新扩改建）。</w:t>
            </w:r>
          </w:p>
          <w:p w14:paraId="495E9F7A">
            <w:pPr>
              <w:adjustRightInd/>
              <w:snapToGrid/>
              <w:ind w:firstLine="480"/>
              <w:rPr>
                <w:rFonts w:asciiTheme="majorBidi" w:hAnsiTheme="majorBidi" w:eastAsiaTheme="minorEastAsia" w:cstheme="majorBidi"/>
                <w:color w:val="EE0000"/>
                <w:kern w:val="2"/>
              </w:rPr>
            </w:pPr>
            <w:r>
              <w:rPr>
                <w:rFonts w:asciiTheme="majorBidi" w:hAnsiTheme="majorBidi" w:eastAsiaTheme="minorEastAsia" w:cstheme="majorBidi"/>
                <w:color w:val="EE0000"/>
                <w:kern w:val="2"/>
              </w:rPr>
              <w:t>项目喷漆工序产生</w:t>
            </w:r>
            <w:r>
              <w:rPr>
                <w:rFonts w:hint="eastAsia" w:asciiTheme="majorBidi" w:hAnsiTheme="majorBidi" w:eastAsiaTheme="minorEastAsia" w:cstheme="majorBidi"/>
                <w:color w:val="EE0000"/>
                <w:kern w:val="2"/>
              </w:rPr>
              <w:t>颗粒物</w:t>
            </w:r>
            <w:r>
              <w:rPr>
                <w:rFonts w:asciiTheme="majorBidi" w:hAnsiTheme="majorBidi" w:eastAsiaTheme="minorEastAsia" w:cstheme="majorBidi"/>
                <w:color w:val="EE0000"/>
                <w:kern w:val="2"/>
              </w:rPr>
              <w:t>，颗粒物</w:t>
            </w:r>
            <w:r>
              <w:rPr>
                <w:rFonts w:hint="eastAsia" w:asciiTheme="majorBidi" w:hAnsiTheme="majorBidi" w:eastAsiaTheme="minorEastAsia" w:cstheme="majorBidi"/>
                <w:color w:val="EE0000"/>
                <w:kern w:val="2"/>
              </w:rPr>
              <w:t>厂界无组织排放执行广东省《大气污染物排放限值》（DB44/27-2001）中表2第二时段无组织排放监控浓度限值。</w:t>
            </w:r>
          </w:p>
          <w:p w14:paraId="2EF320CA">
            <w:pPr>
              <w:ind w:firstLine="480"/>
              <w:rPr>
                <w:rFonts w:asciiTheme="majorBidi" w:hAnsiTheme="majorBidi" w:eastAsiaTheme="minorEastAsia" w:cstheme="majorBidi"/>
                <w:color w:val="000000" w:themeColor="text1"/>
                <w14:textFill>
                  <w14:solidFill>
                    <w14:schemeClr w14:val="tx1"/>
                  </w14:solidFill>
                </w14:textFill>
              </w:rPr>
            </w:pPr>
            <w:r>
              <w:rPr>
                <w:rFonts w:asciiTheme="majorBidi" w:hAnsiTheme="majorBidi" w:eastAsiaTheme="minorEastAsia" w:cstheme="majorBidi"/>
                <w:color w:val="EE0000"/>
              </w:rPr>
              <w:t>项目印刷工序产生非甲烷总烃</w:t>
            </w:r>
            <w:r>
              <w:rPr>
                <w:rFonts w:hint="eastAsia" w:asciiTheme="majorBidi" w:hAnsiTheme="majorBidi" w:eastAsiaTheme="minorEastAsia" w:cstheme="majorBidi"/>
                <w:color w:val="EE0000"/>
              </w:rPr>
              <w:t>、</w:t>
            </w:r>
            <w:r>
              <w:rPr>
                <w:rFonts w:asciiTheme="majorBidi" w:hAnsiTheme="majorBidi" w:eastAsiaTheme="minorEastAsia" w:cstheme="majorBidi"/>
                <w:color w:val="EE0000"/>
              </w:rPr>
              <w:t>总VOCs</w:t>
            </w:r>
            <w:r>
              <w:rPr>
                <w:rFonts w:hint="eastAsia" w:asciiTheme="majorBidi" w:hAnsiTheme="majorBidi" w:eastAsiaTheme="minorEastAsia" w:cstheme="majorBidi"/>
                <w:color w:val="EE0000"/>
              </w:rPr>
              <w:t>、臭气</w:t>
            </w:r>
            <w:r>
              <w:rPr>
                <w:rFonts w:asciiTheme="majorBidi" w:hAnsiTheme="majorBidi" w:eastAsiaTheme="minorEastAsia" w:cstheme="majorBidi"/>
                <w:color w:val="EE0000"/>
              </w:rPr>
              <w:t>，</w:t>
            </w:r>
            <w:r>
              <w:rPr>
                <w:rFonts w:hint="eastAsia" w:asciiTheme="majorBidi" w:hAnsiTheme="majorBidi" w:eastAsiaTheme="minorEastAsia" w:cstheme="majorBidi"/>
                <w:color w:val="EE0000"/>
                <w:kern w:val="2"/>
              </w:rPr>
              <w:t>非甲烷总烃厂区内厂房外</w:t>
            </w:r>
            <w:r>
              <w:rPr>
                <w:rFonts w:asciiTheme="majorBidi" w:hAnsiTheme="majorBidi" w:eastAsiaTheme="minorEastAsia" w:cstheme="majorBidi"/>
                <w:color w:val="EE0000"/>
              </w:rPr>
              <w:t>《印刷工业大气污染物排放标准》（GB41616-2022）附录A排放限值间较严者要求，总VOCs厂界无组织排放执行广东省《印刷行业挥发性有机化合物排放标准》（DB44/815-2010）无组织排放监控点浓度限值</w:t>
            </w:r>
            <w:r>
              <w:rPr>
                <w:rFonts w:hint="eastAsia" w:asciiTheme="majorBidi" w:hAnsiTheme="majorBidi" w:eastAsiaTheme="minorEastAsia" w:cstheme="majorBidi"/>
                <w:color w:val="EE0000"/>
              </w:rPr>
              <w:t>，臭气浓度厂界无组织排放执行《恶臭污染物排放标准》（GB14554-93）表1恶臭污染物厂界标准值（二级标准中新扩改建）</w:t>
            </w:r>
            <w:r>
              <w:rPr>
                <w:rFonts w:hint="eastAsia"/>
                <w:color w:val="EE0000"/>
              </w:rPr>
              <w:t>。</w:t>
            </w:r>
          </w:p>
          <w:p w14:paraId="5678D45F">
            <w:pPr>
              <w:ind w:firstLine="480"/>
              <w:rPr>
                <w:rFonts w:asciiTheme="majorBidi" w:hAnsiTheme="majorBidi" w:eastAsiaTheme="minorEastAsia" w:cstheme="majorBidi"/>
                <w:color w:val="000000" w:themeColor="text1"/>
                <w14:textFill>
                  <w14:solidFill>
                    <w14:schemeClr w14:val="tx1"/>
                  </w14:solidFill>
                </w14:textFill>
              </w:rPr>
            </w:pPr>
            <w:r>
              <w:rPr>
                <w:rFonts w:hint="eastAsia" w:asciiTheme="majorBidi" w:hAnsiTheme="majorBidi" w:eastAsiaTheme="minorEastAsia" w:cstheme="majorBidi"/>
                <w:color w:val="000000" w:themeColor="text1"/>
                <w14:textFill>
                  <w14:solidFill>
                    <w14:schemeClr w14:val="tx1"/>
                  </w14:solidFill>
                </w14:textFill>
              </w:rPr>
              <w:t>综上所述，</w:t>
            </w:r>
            <w:r>
              <w:rPr>
                <w:rFonts w:asciiTheme="majorBidi" w:hAnsiTheme="majorBidi" w:eastAsiaTheme="minorEastAsia" w:cstheme="majorBidi"/>
                <w:color w:val="000000" w:themeColor="text1"/>
                <w14:textFill>
                  <w14:solidFill>
                    <w14:schemeClr w14:val="tx1"/>
                  </w14:solidFill>
                </w14:textFill>
              </w:rPr>
              <w:t>项目</w:t>
            </w:r>
            <w:r>
              <w:rPr>
                <w:rFonts w:asciiTheme="majorBidi" w:hAnsiTheme="majorBidi" w:eastAsiaTheme="minorEastAsia" w:cstheme="majorBidi"/>
                <w:b/>
                <w:bCs/>
                <w:color w:val="000000" w:themeColor="text1"/>
                <w14:textFill>
                  <w14:solidFill>
                    <w14:schemeClr w14:val="tx1"/>
                  </w14:solidFill>
                </w14:textFill>
              </w:rPr>
              <w:t>非甲烷总烃、甲苯厂界</w:t>
            </w:r>
            <w:r>
              <w:rPr>
                <w:rFonts w:asciiTheme="majorBidi" w:hAnsiTheme="majorBidi" w:eastAsiaTheme="minorEastAsia" w:cstheme="majorBidi"/>
                <w:color w:val="000000" w:themeColor="text1"/>
                <w14:textFill>
                  <w14:solidFill>
                    <w14:schemeClr w14:val="tx1"/>
                  </w14:solidFill>
                </w14:textFill>
              </w:rPr>
              <w:t>无组织排放执行《合成树脂工业污染物排放标准》</w:t>
            </w:r>
            <w:r>
              <w:rPr>
                <w:rFonts w:hint="eastAsia"/>
                <w:color w:val="EE0000"/>
              </w:rPr>
              <w:t xml:space="preserve"> (GB31572-2015，含2024年修改单)</w:t>
            </w:r>
            <w:r>
              <w:rPr>
                <w:rFonts w:asciiTheme="majorBidi" w:hAnsiTheme="majorBidi" w:eastAsiaTheme="minorEastAsia" w:cstheme="majorBidi"/>
                <w:color w:val="000000" w:themeColor="text1"/>
                <w14:textFill>
                  <w14:solidFill>
                    <w14:schemeClr w14:val="tx1"/>
                  </w14:solidFill>
                </w14:textFill>
              </w:rPr>
              <w:t>表9企业边界大气污染物浓度限值；</w:t>
            </w:r>
            <w:r>
              <w:rPr>
                <w:rFonts w:asciiTheme="majorBidi" w:hAnsiTheme="majorBidi" w:eastAsiaTheme="minorEastAsia" w:cstheme="majorBidi"/>
                <w:b/>
                <w:bCs/>
                <w:color w:val="000000" w:themeColor="text1"/>
                <w14:textFill>
                  <w14:solidFill>
                    <w14:schemeClr w14:val="tx1"/>
                  </w14:solidFill>
                </w14:textFill>
              </w:rPr>
              <w:t>总VOCs厂界</w:t>
            </w:r>
            <w:r>
              <w:rPr>
                <w:rFonts w:asciiTheme="majorBidi" w:hAnsiTheme="majorBidi" w:eastAsiaTheme="minorEastAsia" w:cstheme="majorBidi"/>
                <w:color w:val="000000" w:themeColor="text1"/>
                <w14:textFill>
                  <w14:solidFill>
                    <w14:schemeClr w14:val="tx1"/>
                  </w14:solidFill>
                </w14:textFill>
              </w:rPr>
              <w:t>无组织排放执行广东省《印刷行业挥发性有机化合物排放标准》（DB44/815-2010）无组织排放监控点浓度限值；</w:t>
            </w:r>
            <w:r>
              <w:rPr>
                <w:rFonts w:asciiTheme="majorBidi" w:hAnsiTheme="majorBidi" w:eastAsiaTheme="minorEastAsia" w:cstheme="majorBidi"/>
                <w:b/>
                <w:bCs/>
                <w:color w:val="000000" w:themeColor="text1"/>
                <w14:textFill>
                  <w14:solidFill>
                    <w14:schemeClr w14:val="tx1"/>
                  </w14:solidFill>
                </w14:textFill>
              </w:rPr>
              <w:t>颗粒物厂界</w:t>
            </w:r>
            <w:r>
              <w:rPr>
                <w:rFonts w:asciiTheme="majorBidi" w:hAnsiTheme="majorBidi" w:eastAsiaTheme="minorEastAsia" w:cstheme="majorBidi"/>
                <w:color w:val="000000" w:themeColor="text1"/>
                <w14:textFill>
                  <w14:solidFill>
                    <w14:schemeClr w14:val="tx1"/>
                  </w14:solidFill>
                </w14:textFill>
              </w:rPr>
              <w:t>无组织排放执行广东省《大气污染物排放限值》（DB44/27-2001）中表2第二时段无组织排放监控浓度限值</w:t>
            </w:r>
            <w:r>
              <w:rPr>
                <w:rFonts w:hint="eastAsia" w:asciiTheme="majorBidi" w:hAnsiTheme="majorBidi" w:eastAsiaTheme="minorEastAsia" w:cstheme="majorBidi"/>
                <w:color w:val="000000" w:themeColor="text1"/>
                <w14:textFill>
                  <w14:solidFill>
                    <w14:schemeClr w14:val="tx1"/>
                  </w14:solidFill>
                </w14:textFill>
              </w:rPr>
              <w:t>及</w:t>
            </w:r>
            <w:r>
              <w:rPr>
                <w:rFonts w:asciiTheme="majorBidi" w:hAnsiTheme="majorBidi" w:eastAsiaTheme="minorEastAsia" w:cstheme="majorBidi"/>
                <w:color w:val="EE0000"/>
              </w:rPr>
              <w:t>《合成树脂工业污染物排放标准》</w:t>
            </w:r>
            <w:r>
              <w:rPr>
                <w:rFonts w:hint="eastAsia"/>
                <w:color w:val="EE0000"/>
              </w:rPr>
              <w:t xml:space="preserve"> (GB31572-2015，含2024年修改单)</w:t>
            </w:r>
            <w:r>
              <w:rPr>
                <w:rFonts w:asciiTheme="majorBidi" w:hAnsiTheme="majorBidi" w:eastAsiaTheme="minorEastAsia" w:cstheme="majorBidi"/>
                <w:color w:val="EE0000"/>
              </w:rPr>
              <w:t>表9企业边界大气污染物浓度限值</w:t>
            </w:r>
            <w:r>
              <w:rPr>
                <w:rFonts w:hint="eastAsia" w:asciiTheme="majorBidi" w:hAnsiTheme="majorBidi" w:eastAsiaTheme="minorEastAsia" w:cstheme="majorBidi"/>
                <w:color w:val="EE0000"/>
              </w:rPr>
              <w:t>间较严者</w:t>
            </w:r>
            <w:r>
              <w:rPr>
                <w:rFonts w:asciiTheme="majorBidi" w:hAnsiTheme="majorBidi" w:eastAsiaTheme="minorEastAsia" w:cstheme="majorBidi"/>
                <w:color w:val="000000" w:themeColor="text1"/>
                <w14:textFill>
                  <w14:solidFill>
                    <w14:schemeClr w14:val="tx1"/>
                  </w14:solidFill>
                </w14:textFill>
              </w:rPr>
              <w:t>；</w:t>
            </w:r>
            <w:r>
              <w:rPr>
                <w:rFonts w:asciiTheme="majorBidi" w:hAnsiTheme="majorBidi" w:eastAsiaTheme="minorEastAsia" w:cstheme="majorBidi"/>
                <w:b/>
                <w:bCs/>
                <w:color w:val="000000" w:themeColor="text1"/>
                <w14:textFill>
                  <w14:solidFill>
                    <w14:schemeClr w14:val="tx1"/>
                  </w14:solidFill>
                </w14:textFill>
              </w:rPr>
              <w:t>臭气浓度</w:t>
            </w:r>
            <w:r>
              <w:rPr>
                <w:rFonts w:asciiTheme="majorBidi" w:hAnsiTheme="majorBidi" w:eastAsiaTheme="minorEastAsia" w:cstheme="majorBidi"/>
                <w:color w:val="000000" w:themeColor="text1"/>
                <w14:textFill>
                  <w14:solidFill>
                    <w14:schemeClr w14:val="tx1"/>
                  </w14:solidFill>
                </w14:textFill>
              </w:rPr>
              <w:t>无组织排放执行《恶臭污染物排放标准》（GB14554-93）表1恶臭污染物厂界标准值（二级标准中新扩改建）；</w:t>
            </w:r>
            <w:r>
              <w:rPr>
                <w:rFonts w:hint="eastAsia" w:asciiTheme="majorBidi" w:hAnsiTheme="majorBidi" w:eastAsiaTheme="minorEastAsia" w:cstheme="majorBidi"/>
                <w:b/>
                <w:bCs/>
                <w:color w:val="000000" w:themeColor="text1"/>
                <w14:textFill>
                  <w14:solidFill>
                    <w14:schemeClr w14:val="tx1"/>
                  </w14:solidFill>
                </w14:textFill>
              </w:rPr>
              <w:t>非甲烷总烃</w:t>
            </w:r>
            <w:r>
              <w:rPr>
                <w:rFonts w:asciiTheme="majorBidi" w:hAnsiTheme="majorBidi" w:eastAsiaTheme="minorEastAsia" w:cstheme="majorBidi"/>
                <w:b/>
                <w:bCs/>
                <w:color w:val="000000" w:themeColor="text1"/>
                <w14:textFill>
                  <w14:solidFill>
                    <w14:schemeClr w14:val="tx1"/>
                  </w14:solidFill>
                </w14:textFill>
              </w:rPr>
              <w:t>厂区内</w:t>
            </w:r>
            <w:r>
              <w:rPr>
                <w:rFonts w:hint="eastAsia" w:asciiTheme="majorBidi" w:hAnsiTheme="majorBidi" w:eastAsiaTheme="minorEastAsia" w:cstheme="majorBidi"/>
                <w:b/>
                <w:bCs/>
                <w:color w:val="000000" w:themeColor="text1"/>
                <w14:textFill>
                  <w14:solidFill>
                    <w14:schemeClr w14:val="tx1"/>
                  </w14:solidFill>
                </w14:textFill>
              </w:rPr>
              <w:t>厂房外</w:t>
            </w:r>
            <w:r>
              <w:rPr>
                <w:rFonts w:asciiTheme="majorBidi" w:hAnsiTheme="majorBidi" w:eastAsiaTheme="minorEastAsia" w:cstheme="majorBidi"/>
                <w:color w:val="000000" w:themeColor="text1"/>
                <w14:textFill>
                  <w14:solidFill>
                    <w14:schemeClr w14:val="tx1"/>
                  </w14:solidFill>
                </w14:textFill>
              </w:rPr>
              <w:t>无组织排放执行广东省《固定污染源挥发性有机物综合排放标准》（DB44/2367-2022）表3排放限值和《印刷工业大气污染物排放标准》（GB41616-2022）附录A排放限值间较严者要求。</w:t>
            </w:r>
          </w:p>
          <w:p w14:paraId="59967043">
            <w:pPr>
              <w:pStyle w:val="11"/>
              <w:rPr>
                <w:bCs w:val="0"/>
              </w:rPr>
            </w:pPr>
            <w:r>
              <w:rPr>
                <w:bCs w:val="0"/>
              </w:rPr>
              <w:t>表3-6 无组织废气排放限值一览表</w:t>
            </w:r>
          </w:p>
          <w:tbl>
            <w:tblPr>
              <w:tblStyle w:val="21"/>
              <w:tblW w:w="8928" w:type="dxa"/>
              <w:tblInd w:w="0" w:type="dxa"/>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28" w:type="dxa"/>
                <w:bottom w:w="0" w:type="dxa"/>
                <w:right w:w="28" w:type="dxa"/>
              </w:tblCellMar>
            </w:tblPr>
            <w:tblGrid>
              <w:gridCol w:w="1131"/>
              <w:gridCol w:w="1563"/>
              <w:gridCol w:w="1131"/>
              <w:gridCol w:w="5103"/>
            </w:tblGrid>
            <w:tr w14:paraId="2F57AFD1">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340" w:hRule="atLeast"/>
              </w:trPr>
              <w:tc>
                <w:tcPr>
                  <w:tcW w:w="1131" w:type="dxa"/>
                  <w:vAlign w:val="center"/>
                </w:tcPr>
                <w:p w14:paraId="2C0F07C4">
                  <w:pPr>
                    <w:pStyle w:val="29"/>
                  </w:pPr>
                  <w:r>
                    <w:t>污染物项目</w:t>
                  </w:r>
                </w:p>
              </w:tc>
              <w:tc>
                <w:tcPr>
                  <w:tcW w:w="1563" w:type="dxa"/>
                  <w:vAlign w:val="center"/>
                </w:tcPr>
                <w:p w14:paraId="57A9A386">
                  <w:pPr>
                    <w:pStyle w:val="29"/>
                  </w:pPr>
                  <w:r>
                    <w:t>排放限值（mg/m³）</w:t>
                  </w:r>
                </w:p>
              </w:tc>
              <w:tc>
                <w:tcPr>
                  <w:tcW w:w="1131" w:type="dxa"/>
                  <w:vAlign w:val="center"/>
                </w:tcPr>
                <w:p w14:paraId="21F323CC">
                  <w:pPr>
                    <w:pStyle w:val="29"/>
                  </w:pPr>
                  <w:r>
                    <w:t>无组织排放监控位置</w:t>
                  </w:r>
                </w:p>
              </w:tc>
              <w:tc>
                <w:tcPr>
                  <w:tcW w:w="5103" w:type="dxa"/>
                  <w:vAlign w:val="center"/>
                </w:tcPr>
                <w:p w14:paraId="07B113F7">
                  <w:pPr>
                    <w:pStyle w:val="29"/>
                  </w:pPr>
                  <w:r>
                    <w:t>执行标准</w:t>
                  </w:r>
                </w:p>
              </w:tc>
            </w:tr>
            <w:tr w14:paraId="14F287B3">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340" w:hRule="atLeast"/>
              </w:trPr>
              <w:tc>
                <w:tcPr>
                  <w:tcW w:w="1131" w:type="dxa"/>
                  <w:vAlign w:val="center"/>
                </w:tcPr>
                <w:p w14:paraId="424E8274">
                  <w:pPr>
                    <w:pStyle w:val="29"/>
                  </w:pPr>
                  <w:r>
                    <w:t>非甲烷总烃</w:t>
                  </w:r>
                </w:p>
              </w:tc>
              <w:tc>
                <w:tcPr>
                  <w:tcW w:w="1563" w:type="dxa"/>
                  <w:vAlign w:val="center"/>
                </w:tcPr>
                <w:p w14:paraId="58EF8411">
                  <w:pPr>
                    <w:pStyle w:val="29"/>
                  </w:pPr>
                  <w:r>
                    <w:t>4.0</w:t>
                  </w:r>
                </w:p>
              </w:tc>
              <w:tc>
                <w:tcPr>
                  <w:tcW w:w="1131" w:type="dxa"/>
                  <w:vMerge w:val="restart"/>
                  <w:vAlign w:val="center"/>
                </w:tcPr>
                <w:p w14:paraId="77AA578A">
                  <w:pPr>
                    <w:pStyle w:val="29"/>
                    <w:rPr>
                      <w:color w:val="EE0000"/>
                    </w:rPr>
                  </w:pPr>
                  <w:r>
                    <w:rPr>
                      <w:rFonts w:hint="eastAsia"/>
                      <w:color w:val="EE0000"/>
                    </w:rPr>
                    <w:t>厂界</w:t>
                  </w:r>
                </w:p>
              </w:tc>
              <w:tc>
                <w:tcPr>
                  <w:tcW w:w="5103" w:type="dxa"/>
                  <w:vMerge w:val="restart"/>
                  <w:vAlign w:val="center"/>
                </w:tcPr>
                <w:p w14:paraId="5CED4164">
                  <w:pPr>
                    <w:pStyle w:val="29"/>
                  </w:pPr>
                  <w:r>
                    <w:t>《合成树脂工业污染物排放标准》</w:t>
                  </w:r>
                  <w:r>
                    <w:rPr>
                      <w:rFonts w:hint="eastAsia"/>
                      <w:color w:val="EE0000"/>
                    </w:rPr>
                    <w:t>(GB31572-2015，含2024年修改单)</w:t>
                  </w:r>
                  <w:r>
                    <w:t>表9企业边界大气污染物浓度限值</w:t>
                  </w:r>
                </w:p>
              </w:tc>
            </w:tr>
            <w:tr w14:paraId="268F6653">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340" w:hRule="atLeast"/>
              </w:trPr>
              <w:tc>
                <w:tcPr>
                  <w:tcW w:w="1131" w:type="dxa"/>
                  <w:vAlign w:val="center"/>
                </w:tcPr>
                <w:p w14:paraId="3C9DDD84">
                  <w:pPr>
                    <w:pStyle w:val="29"/>
                  </w:pPr>
                  <w:r>
                    <w:t>甲苯</w:t>
                  </w:r>
                </w:p>
              </w:tc>
              <w:tc>
                <w:tcPr>
                  <w:tcW w:w="1563" w:type="dxa"/>
                  <w:vAlign w:val="center"/>
                </w:tcPr>
                <w:p w14:paraId="0F47E999">
                  <w:pPr>
                    <w:pStyle w:val="29"/>
                  </w:pPr>
                  <w:r>
                    <w:t>0.8</w:t>
                  </w:r>
                </w:p>
              </w:tc>
              <w:tc>
                <w:tcPr>
                  <w:tcW w:w="1131" w:type="dxa"/>
                  <w:vMerge w:val="continue"/>
                  <w:vAlign w:val="center"/>
                </w:tcPr>
                <w:p w14:paraId="54D9417C">
                  <w:pPr>
                    <w:pStyle w:val="29"/>
                    <w:rPr>
                      <w:color w:val="EE0000"/>
                    </w:rPr>
                  </w:pPr>
                </w:p>
              </w:tc>
              <w:tc>
                <w:tcPr>
                  <w:tcW w:w="5103" w:type="dxa"/>
                  <w:vMerge w:val="continue"/>
                  <w:vAlign w:val="center"/>
                </w:tcPr>
                <w:p w14:paraId="2DB22703">
                  <w:pPr>
                    <w:pStyle w:val="29"/>
                  </w:pPr>
                </w:p>
              </w:tc>
            </w:tr>
            <w:tr w14:paraId="6576B10F">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340" w:hRule="atLeast"/>
              </w:trPr>
              <w:tc>
                <w:tcPr>
                  <w:tcW w:w="1131" w:type="dxa"/>
                  <w:vAlign w:val="center"/>
                </w:tcPr>
                <w:p w14:paraId="6F304546">
                  <w:pPr>
                    <w:pStyle w:val="29"/>
                  </w:pPr>
                  <w:r>
                    <w:t>总VOCs</w:t>
                  </w:r>
                </w:p>
              </w:tc>
              <w:tc>
                <w:tcPr>
                  <w:tcW w:w="1563" w:type="dxa"/>
                  <w:vAlign w:val="center"/>
                </w:tcPr>
                <w:p w14:paraId="29DE7B87">
                  <w:pPr>
                    <w:pStyle w:val="29"/>
                  </w:pPr>
                  <w:r>
                    <w:t>2.0</w:t>
                  </w:r>
                </w:p>
              </w:tc>
              <w:tc>
                <w:tcPr>
                  <w:tcW w:w="1131" w:type="dxa"/>
                  <w:vMerge w:val="continue"/>
                  <w:vAlign w:val="center"/>
                </w:tcPr>
                <w:p w14:paraId="5735AF80">
                  <w:pPr>
                    <w:pStyle w:val="29"/>
                    <w:rPr>
                      <w:color w:val="EE0000"/>
                    </w:rPr>
                  </w:pPr>
                </w:p>
              </w:tc>
              <w:tc>
                <w:tcPr>
                  <w:tcW w:w="5103" w:type="dxa"/>
                  <w:vAlign w:val="center"/>
                </w:tcPr>
                <w:p w14:paraId="419AA9F3">
                  <w:pPr>
                    <w:pStyle w:val="29"/>
                  </w:pPr>
                  <w:r>
                    <w:t>广东省《印刷行业挥发性有机化合物排放标准》(DB44/815-2010)无组织排放监控点浓度限值</w:t>
                  </w:r>
                </w:p>
              </w:tc>
            </w:tr>
            <w:tr w14:paraId="12825CD4">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340" w:hRule="atLeast"/>
              </w:trPr>
              <w:tc>
                <w:tcPr>
                  <w:tcW w:w="1131" w:type="dxa"/>
                  <w:vAlign w:val="center"/>
                </w:tcPr>
                <w:p w14:paraId="7E11C42D">
                  <w:pPr>
                    <w:pStyle w:val="29"/>
                  </w:pPr>
                  <w:r>
                    <w:t>颗粒物</w:t>
                  </w:r>
                </w:p>
              </w:tc>
              <w:tc>
                <w:tcPr>
                  <w:tcW w:w="1563" w:type="dxa"/>
                  <w:vAlign w:val="center"/>
                </w:tcPr>
                <w:p w14:paraId="0A9FE1C5">
                  <w:pPr>
                    <w:pStyle w:val="29"/>
                  </w:pPr>
                  <w:r>
                    <w:t>1.0</w:t>
                  </w:r>
                </w:p>
              </w:tc>
              <w:tc>
                <w:tcPr>
                  <w:tcW w:w="1131" w:type="dxa"/>
                  <w:vMerge w:val="continue"/>
                  <w:vAlign w:val="center"/>
                </w:tcPr>
                <w:p w14:paraId="32A4F9F1">
                  <w:pPr>
                    <w:pStyle w:val="29"/>
                    <w:rPr>
                      <w:color w:val="EE0000"/>
                    </w:rPr>
                  </w:pPr>
                </w:p>
              </w:tc>
              <w:tc>
                <w:tcPr>
                  <w:tcW w:w="5103" w:type="dxa"/>
                  <w:vAlign w:val="center"/>
                </w:tcPr>
                <w:p w14:paraId="7E154EF1">
                  <w:pPr>
                    <w:pStyle w:val="29"/>
                  </w:pPr>
                  <w:r>
                    <w:t>广东省《大气污染物排放限值》（DB44/27-2001）中表2第二时段无组织排放监控浓度限值</w:t>
                  </w:r>
                  <w:r>
                    <w:rPr>
                      <w:rFonts w:hint="eastAsia" w:asciiTheme="majorBidi" w:hAnsiTheme="majorBidi" w:eastAsiaTheme="minorEastAsia" w:cstheme="majorBidi"/>
                      <w:color w:val="000000" w:themeColor="text1"/>
                      <w14:textFill>
                        <w14:solidFill>
                          <w14:schemeClr w14:val="tx1"/>
                        </w14:solidFill>
                      </w14:textFill>
                    </w:rPr>
                    <w:t>及</w:t>
                  </w:r>
                  <w:r>
                    <w:rPr>
                      <w:rFonts w:asciiTheme="majorBidi" w:hAnsiTheme="majorBidi" w:eastAsiaTheme="minorEastAsia" w:cstheme="majorBidi"/>
                      <w:color w:val="EE0000"/>
                    </w:rPr>
                    <w:t>《合成树脂工业污染物排放标准》</w:t>
                  </w:r>
                  <w:r>
                    <w:rPr>
                      <w:rFonts w:hint="eastAsia"/>
                      <w:color w:val="EE0000"/>
                    </w:rPr>
                    <w:t xml:space="preserve"> (GB31572-2015，含2024年修改单)</w:t>
                  </w:r>
                  <w:r>
                    <w:rPr>
                      <w:rFonts w:asciiTheme="majorBidi" w:hAnsiTheme="majorBidi" w:eastAsiaTheme="minorEastAsia" w:cstheme="majorBidi"/>
                      <w:color w:val="EE0000"/>
                    </w:rPr>
                    <w:t>表9企业边界大气污染物浓度限值</w:t>
                  </w:r>
                  <w:r>
                    <w:rPr>
                      <w:rFonts w:hint="eastAsia" w:asciiTheme="majorBidi" w:hAnsiTheme="majorBidi" w:eastAsiaTheme="minorEastAsia" w:cstheme="majorBidi"/>
                      <w:color w:val="EE0000"/>
                    </w:rPr>
                    <w:t>间较严者</w:t>
                  </w:r>
                </w:p>
              </w:tc>
            </w:tr>
            <w:tr w14:paraId="61E87AE7">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340" w:hRule="atLeast"/>
              </w:trPr>
              <w:tc>
                <w:tcPr>
                  <w:tcW w:w="1131" w:type="dxa"/>
                  <w:vAlign w:val="center"/>
                </w:tcPr>
                <w:p w14:paraId="77B8988C">
                  <w:pPr>
                    <w:pStyle w:val="29"/>
                  </w:pPr>
                  <w:r>
                    <w:t>臭气浓度</w:t>
                  </w:r>
                </w:p>
              </w:tc>
              <w:tc>
                <w:tcPr>
                  <w:tcW w:w="1563" w:type="dxa"/>
                  <w:vAlign w:val="center"/>
                </w:tcPr>
                <w:p w14:paraId="7FC1239F">
                  <w:pPr>
                    <w:pStyle w:val="29"/>
                  </w:pPr>
                  <w:r>
                    <w:t>20（无量纲）</w:t>
                  </w:r>
                </w:p>
              </w:tc>
              <w:tc>
                <w:tcPr>
                  <w:tcW w:w="1131" w:type="dxa"/>
                  <w:vMerge w:val="continue"/>
                  <w:vAlign w:val="center"/>
                </w:tcPr>
                <w:p w14:paraId="2F809934">
                  <w:pPr>
                    <w:pStyle w:val="29"/>
                    <w:rPr>
                      <w:color w:val="EE0000"/>
                    </w:rPr>
                  </w:pPr>
                </w:p>
              </w:tc>
              <w:tc>
                <w:tcPr>
                  <w:tcW w:w="5103" w:type="dxa"/>
                  <w:vAlign w:val="center"/>
                </w:tcPr>
                <w:p w14:paraId="73821EE7">
                  <w:pPr>
                    <w:pStyle w:val="29"/>
                  </w:pPr>
                  <w:r>
                    <w:t>《恶臭污染物排放标准》(GB14554-93)中表1恶臭污染物厂界标准值(二级标准中新扩改建)</w:t>
                  </w:r>
                </w:p>
              </w:tc>
            </w:tr>
            <w:tr w14:paraId="7C130155">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340" w:hRule="atLeast"/>
              </w:trPr>
              <w:tc>
                <w:tcPr>
                  <w:tcW w:w="1131" w:type="dxa"/>
                  <w:vMerge w:val="restart"/>
                  <w:vAlign w:val="center"/>
                </w:tcPr>
                <w:p w14:paraId="2594E437">
                  <w:pPr>
                    <w:pStyle w:val="29"/>
                  </w:pPr>
                  <w:r>
                    <w:t>NMHC</w:t>
                  </w:r>
                </w:p>
              </w:tc>
              <w:tc>
                <w:tcPr>
                  <w:tcW w:w="1563" w:type="dxa"/>
                  <w:vAlign w:val="center"/>
                </w:tcPr>
                <w:p w14:paraId="5C03CC46">
                  <w:pPr>
                    <w:pStyle w:val="29"/>
                  </w:pPr>
                  <w:r>
                    <w:t>6（监控点处1h平均浓度值）</w:t>
                  </w:r>
                </w:p>
              </w:tc>
              <w:tc>
                <w:tcPr>
                  <w:tcW w:w="1131" w:type="dxa"/>
                  <w:vMerge w:val="restart"/>
                  <w:vAlign w:val="center"/>
                </w:tcPr>
                <w:p w14:paraId="568BDCA1">
                  <w:pPr>
                    <w:pStyle w:val="29"/>
                    <w:rPr>
                      <w:color w:val="EE0000"/>
                    </w:rPr>
                  </w:pPr>
                  <w:r>
                    <w:rPr>
                      <w:rFonts w:hint="eastAsia"/>
                      <w:color w:val="EE0000"/>
                    </w:rPr>
                    <w:t>厂区内</w:t>
                  </w:r>
                </w:p>
                <w:p w14:paraId="18C07F69">
                  <w:pPr>
                    <w:pStyle w:val="29"/>
                    <w:rPr>
                      <w:color w:val="EE0000"/>
                    </w:rPr>
                  </w:pPr>
                  <w:r>
                    <w:rPr>
                      <w:rFonts w:hint="eastAsia"/>
                      <w:color w:val="EE0000"/>
                    </w:rPr>
                    <w:t>厂房外</w:t>
                  </w:r>
                </w:p>
              </w:tc>
              <w:tc>
                <w:tcPr>
                  <w:tcW w:w="5103" w:type="dxa"/>
                  <w:vMerge w:val="restart"/>
                  <w:vAlign w:val="center"/>
                </w:tcPr>
                <w:p w14:paraId="2BE49ACA">
                  <w:pPr>
                    <w:pStyle w:val="29"/>
                  </w:pPr>
                  <w:r>
                    <w:t>广东省《固定污染源挥发性有机物综合排放标准》(DB44/2367-2022)表3排放限值和《印刷工业大气污染物排放标准》(GB41616-2022)附录A排放限值间较严者</w:t>
                  </w:r>
                </w:p>
              </w:tc>
            </w:tr>
            <w:tr w14:paraId="54B50EB7">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340" w:hRule="atLeast"/>
              </w:trPr>
              <w:tc>
                <w:tcPr>
                  <w:tcW w:w="1131" w:type="dxa"/>
                  <w:vMerge w:val="continue"/>
                  <w:vAlign w:val="center"/>
                </w:tcPr>
                <w:p w14:paraId="44F92818">
                  <w:pPr>
                    <w:pStyle w:val="29"/>
                  </w:pPr>
                </w:p>
              </w:tc>
              <w:tc>
                <w:tcPr>
                  <w:tcW w:w="1563" w:type="dxa"/>
                  <w:vAlign w:val="center"/>
                </w:tcPr>
                <w:p w14:paraId="258408B9">
                  <w:pPr>
                    <w:pStyle w:val="29"/>
                  </w:pPr>
                  <w:r>
                    <w:t>20（监控点处任意一次浓度值）</w:t>
                  </w:r>
                </w:p>
              </w:tc>
              <w:tc>
                <w:tcPr>
                  <w:tcW w:w="1131" w:type="dxa"/>
                  <w:vMerge w:val="continue"/>
                  <w:vAlign w:val="center"/>
                </w:tcPr>
                <w:p w14:paraId="554F592D">
                  <w:pPr>
                    <w:pStyle w:val="29"/>
                  </w:pPr>
                </w:p>
              </w:tc>
              <w:tc>
                <w:tcPr>
                  <w:tcW w:w="5103" w:type="dxa"/>
                  <w:vMerge w:val="continue"/>
                  <w:vAlign w:val="center"/>
                </w:tcPr>
                <w:p w14:paraId="601D077C">
                  <w:pPr>
                    <w:pStyle w:val="29"/>
                  </w:pPr>
                </w:p>
              </w:tc>
            </w:tr>
          </w:tbl>
          <w:p w14:paraId="52401006">
            <w:pPr>
              <w:ind w:firstLine="482"/>
              <w:rPr>
                <w:rFonts w:asciiTheme="majorBidi" w:hAnsiTheme="majorBidi" w:eastAsiaTheme="minorEastAsia" w:cstheme="majorBidi"/>
                <w:b/>
                <w:bCs/>
                <w:color w:val="000000" w:themeColor="text1"/>
                <w:kern w:val="2"/>
                <w:szCs w:val="21"/>
                <w14:textFill>
                  <w14:solidFill>
                    <w14:schemeClr w14:val="tx1"/>
                  </w14:solidFill>
                </w14:textFill>
              </w:rPr>
            </w:pPr>
            <w:r>
              <w:rPr>
                <w:rFonts w:asciiTheme="majorBidi" w:hAnsiTheme="majorBidi" w:eastAsiaTheme="minorEastAsia" w:cstheme="majorBidi"/>
                <w:b/>
                <w:bCs/>
                <w:color w:val="000000" w:themeColor="text1"/>
                <w:kern w:val="2"/>
                <w:szCs w:val="21"/>
                <w14:textFill>
                  <w14:solidFill>
                    <w14:schemeClr w14:val="tx1"/>
                  </w14:solidFill>
                </w14:textFill>
              </w:rPr>
              <w:t>（三）噪声排放标准</w:t>
            </w:r>
          </w:p>
          <w:p w14:paraId="7EB38A3F">
            <w:pPr>
              <w:adjustRightInd/>
              <w:snapToGrid/>
              <w:ind w:firstLine="480"/>
              <w:rPr>
                <w:rFonts w:asciiTheme="majorBidi" w:hAnsiTheme="majorBidi" w:eastAsiaTheme="minorEastAsia" w:cstheme="majorBidi"/>
                <w:color w:val="000000" w:themeColor="text1"/>
                <w:kern w:val="2"/>
                <w14:textFill>
                  <w14:solidFill>
                    <w14:schemeClr w14:val="tx1"/>
                  </w14:solidFill>
                </w14:textFill>
              </w:rPr>
            </w:pPr>
            <w:r>
              <w:rPr>
                <w:rFonts w:asciiTheme="majorBidi" w:hAnsiTheme="majorBidi" w:eastAsiaTheme="minorEastAsia" w:cstheme="majorBidi"/>
                <w:color w:val="000000" w:themeColor="text1"/>
                <w:kern w:val="2"/>
                <w14:textFill>
                  <w14:solidFill>
                    <w14:schemeClr w14:val="tx1"/>
                  </w14:solidFill>
                </w14:textFill>
              </w:rPr>
              <w:t>厂界噪声排放执行《工业企业厂界环境噪声排放标准》（GB12348-2008）中的2类标准。</w:t>
            </w:r>
          </w:p>
          <w:p w14:paraId="48CB8B72">
            <w:pPr>
              <w:pStyle w:val="11"/>
              <w:rPr>
                <w:bCs w:val="0"/>
              </w:rPr>
            </w:pPr>
            <w:r>
              <w:rPr>
                <w:bCs w:val="0"/>
              </w:rPr>
              <w:t>表3-7 噪声控制标准，单位：dB（A）</w:t>
            </w:r>
          </w:p>
          <w:tbl>
            <w:tblPr>
              <w:tblStyle w:val="21"/>
              <w:tblW w:w="4998" w:type="pct"/>
              <w:tblInd w:w="0" w:type="dxa"/>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1880"/>
              <w:gridCol w:w="1879"/>
              <w:gridCol w:w="1879"/>
              <w:gridCol w:w="3326"/>
            </w:tblGrid>
            <w:tr w14:paraId="405C343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048" w:type="pct"/>
                  <w:vAlign w:val="center"/>
                </w:tcPr>
                <w:p w14:paraId="43B1784B">
                  <w:pPr>
                    <w:pStyle w:val="29"/>
                    <w:rPr>
                      <w:snapToGrid w:val="0"/>
                    </w:rPr>
                  </w:pPr>
                  <w:r>
                    <w:rPr>
                      <w:snapToGrid w:val="0"/>
                    </w:rPr>
                    <w:t>类别</w:t>
                  </w:r>
                </w:p>
              </w:tc>
              <w:tc>
                <w:tcPr>
                  <w:tcW w:w="1048" w:type="pct"/>
                  <w:vAlign w:val="center"/>
                </w:tcPr>
                <w:p w14:paraId="0A60B3F6">
                  <w:pPr>
                    <w:pStyle w:val="29"/>
                    <w:rPr>
                      <w:snapToGrid w:val="0"/>
                    </w:rPr>
                  </w:pPr>
                  <w:r>
                    <w:rPr>
                      <w:snapToGrid w:val="0"/>
                    </w:rPr>
                    <w:t>昼间</w:t>
                  </w:r>
                </w:p>
              </w:tc>
              <w:tc>
                <w:tcPr>
                  <w:tcW w:w="1048" w:type="pct"/>
                  <w:vAlign w:val="center"/>
                </w:tcPr>
                <w:p w14:paraId="3AE48842">
                  <w:pPr>
                    <w:pStyle w:val="29"/>
                    <w:rPr>
                      <w:snapToGrid w:val="0"/>
                    </w:rPr>
                  </w:pPr>
                  <w:r>
                    <w:rPr>
                      <w:snapToGrid w:val="0"/>
                    </w:rPr>
                    <w:t>夜间</w:t>
                  </w:r>
                </w:p>
              </w:tc>
              <w:tc>
                <w:tcPr>
                  <w:tcW w:w="1855" w:type="pct"/>
                  <w:vAlign w:val="center"/>
                </w:tcPr>
                <w:p w14:paraId="6C4C260A">
                  <w:pPr>
                    <w:pStyle w:val="29"/>
                    <w:rPr>
                      <w:snapToGrid w:val="0"/>
                    </w:rPr>
                  </w:pPr>
                  <w:r>
                    <w:rPr>
                      <w:snapToGrid w:val="0"/>
                    </w:rPr>
                    <w:t>执行标准</w:t>
                  </w:r>
                </w:p>
              </w:tc>
            </w:tr>
            <w:tr w14:paraId="4773815C">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048" w:type="pct"/>
                  <w:vAlign w:val="center"/>
                </w:tcPr>
                <w:p w14:paraId="2C4BC8B8">
                  <w:pPr>
                    <w:pStyle w:val="29"/>
                    <w:rPr>
                      <w:snapToGrid w:val="0"/>
                    </w:rPr>
                  </w:pPr>
                  <w:r>
                    <w:rPr>
                      <w:snapToGrid w:val="0"/>
                    </w:rPr>
                    <w:t>2类</w:t>
                  </w:r>
                </w:p>
              </w:tc>
              <w:tc>
                <w:tcPr>
                  <w:tcW w:w="1048" w:type="pct"/>
                  <w:vAlign w:val="center"/>
                </w:tcPr>
                <w:p w14:paraId="72601129">
                  <w:pPr>
                    <w:pStyle w:val="29"/>
                    <w:rPr>
                      <w:snapToGrid w:val="0"/>
                    </w:rPr>
                  </w:pPr>
                  <w:r>
                    <w:rPr>
                      <w:snapToGrid w:val="0"/>
                    </w:rPr>
                    <w:t>60</w:t>
                  </w:r>
                </w:p>
              </w:tc>
              <w:tc>
                <w:tcPr>
                  <w:tcW w:w="1048" w:type="pct"/>
                  <w:vAlign w:val="center"/>
                </w:tcPr>
                <w:p w14:paraId="6A7F3552">
                  <w:pPr>
                    <w:pStyle w:val="29"/>
                    <w:rPr>
                      <w:snapToGrid w:val="0"/>
                    </w:rPr>
                  </w:pPr>
                  <w:r>
                    <w:rPr>
                      <w:snapToGrid w:val="0"/>
                    </w:rPr>
                    <w:t>50</w:t>
                  </w:r>
                </w:p>
              </w:tc>
              <w:tc>
                <w:tcPr>
                  <w:tcW w:w="1855" w:type="pct"/>
                  <w:vAlign w:val="center"/>
                </w:tcPr>
                <w:p w14:paraId="2D2D8C7E">
                  <w:pPr>
                    <w:pStyle w:val="29"/>
                    <w:rPr>
                      <w:snapToGrid w:val="0"/>
                    </w:rPr>
                  </w:pPr>
                  <w:r>
                    <w:rPr>
                      <w:snapToGrid w:val="0"/>
                    </w:rPr>
                    <w:t>（GB12348-2008）2类标准</w:t>
                  </w:r>
                </w:p>
              </w:tc>
            </w:tr>
          </w:tbl>
          <w:p w14:paraId="35367A1E">
            <w:pPr>
              <w:ind w:firstLine="482"/>
              <w:rPr>
                <w:rFonts w:asciiTheme="majorBidi" w:hAnsiTheme="majorBidi" w:eastAsiaTheme="minorEastAsia" w:cstheme="majorBidi"/>
                <w:b/>
                <w:bCs/>
                <w:color w:val="000000" w:themeColor="text1"/>
                <w:kern w:val="2"/>
                <w:szCs w:val="21"/>
                <w14:textFill>
                  <w14:solidFill>
                    <w14:schemeClr w14:val="tx1"/>
                  </w14:solidFill>
                </w14:textFill>
              </w:rPr>
            </w:pPr>
            <w:r>
              <w:rPr>
                <w:rFonts w:asciiTheme="majorBidi" w:hAnsiTheme="majorBidi" w:eastAsiaTheme="minorEastAsia" w:cstheme="majorBidi"/>
                <w:b/>
                <w:bCs/>
                <w:color w:val="000000" w:themeColor="text1"/>
                <w:kern w:val="2"/>
                <w:szCs w:val="21"/>
                <w14:textFill>
                  <w14:solidFill>
                    <w14:schemeClr w14:val="tx1"/>
                  </w14:solidFill>
                </w14:textFill>
              </w:rPr>
              <w:t>（四）固体废物执行标准</w:t>
            </w:r>
          </w:p>
          <w:p w14:paraId="05F7A69F">
            <w:pPr>
              <w:ind w:firstLine="480"/>
              <w:rPr>
                <w:rFonts w:asciiTheme="majorBidi" w:hAnsiTheme="majorBidi" w:eastAsiaTheme="minorEastAsia" w:cstheme="majorBidi"/>
                <w:color w:val="000000" w:themeColor="text1"/>
                <w:kern w:val="2"/>
                <w:szCs w:val="21"/>
                <w14:textFill>
                  <w14:solidFill>
                    <w14:schemeClr w14:val="tx1"/>
                  </w14:solidFill>
                </w14:textFill>
              </w:rPr>
            </w:pPr>
            <w:r>
              <w:rPr>
                <w:rFonts w:asciiTheme="majorBidi" w:hAnsiTheme="majorBidi" w:eastAsiaTheme="minorEastAsia" w:cstheme="majorBidi"/>
                <w:color w:val="000000" w:themeColor="text1"/>
                <w:kern w:val="2"/>
                <w:szCs w:val="21"/>
                <w14:textFill>
                  <w14:solidFill>
                    <w14:schemeClr w14:val="tx1"/>
                  </w14:solidFill>
                </w14:textFill>
              </w:rPr>
              <w:t>一般工业固废贮存应满足《中华人民共和国固体废物污染环境防治法》（2020年修订）、《广东省固体废物污染环境防治条例》（2022年修正），一般工业固体废物在厂区内采用库房、包装工具（罐、桶、包装袋等）贮存，其贮存过程应满足相应防渗漏、防雨淋、防扬尘等环境保护要求；危险废物执行《危险废物贮存污染控制标准》（GB18597-2023）。</w:t>
            </w:r>
          </w:p>
        </w:tc>
      </w:tr>
      <w:tr w14:paraId="0B76A529">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52" w:hRule="atLeast"/>
          <w:jc w:val="center"/>
        </w:trPr>
        <w:tc>
          <w:tcPr>
            <w:tcW w:w="454" w:type="dxa"/>
            <w:vAlign w:val="center"/>
          </w:tcPr>
          <w:p w14:paraId="41396448">
            <w:pPr>
              <w:pStyle w:val="10"/>
              <w:spacing w:before="48"/>
            </w:pPr>
            <w:r>
              <w:t>总量</w:t>
            </w:r>
          </w:p>
          <w:p w14:paraId="51C8FE23">
            <w:pPr>
              <w:pStyle w:val="10"/>
              <w:spacing w:before="48"/>
              <w:rPr>
                <w:rFonts w:asciiTheme="majorBidi" w:hAnsiTheme="majorBidi" w:eastAsiaTheme="minorEastAsia" w:cstheme="majorBidi"/>
                <w:color w:val="000000" w:themeColor="text1"/>
                <w14:textFill>
                  <w14:solidFill>
                    <w14:schemeClr w14:val="tx1"/>
                  </w14:solidFill>
                </w14:textFill>
              </w:rPr>
            </w:pPr>
            <w:r>
              <w:rPr>
                <w:rFonts w:asciiTheme="majorBidi" w:hAnsiTheme="majorBidi" w:eastAsiaTheme="minorEastAsia" w:cstheme="majorBidi"/>
                <w:color w:val="000000" w:themeColor="text1"/>
                <w14:textFill>
                  <w14:solidFill>
                    <w14:schemeClr w14:val="tx1"/>
                  </w14:solidFill>
                </w14:textFill>
              </w:rPr>
              <w:t>控制</w:t>
            </w:r>
          </w:p>
          <w:p w14:paraId="26CA78B5">
            <w:pPr>
              <w:pStyle w:val="10"/>
              <w:spacing w:before="48"/>
              <w:rPr>
                <w:rFonts w:asciiTheme="majorBidi" w:hAnsiTheme="majorBidi" w:eastAsiaTheme="minorEastAsia" w:cstheme="majorBidi"/>
                <w:color w:val="000000" w:themeColor="text1"/>
                <w14:textFill>
                  <w14:solidFill>
                    <w14:schemeClr w14:val="tx1"/>
                  </w14:solidFill>
                </w14:textFill>
              </w:rPr>
            </w:pPr>
            <w:r>
              <w:rPr>
                <w:rFonts w:asciiTheme="majorBidi" w:hAnsiTheme="majorBidi" w:eastAsiaTheme="minorEastAsia" w:cstheme="majorBidi"/>
                <w:color w:val="000000" w:themeColor="text1"/>
                <w14:textFill>
                  <w14:solidFill>
                    <w14:schemeClr w14:val="tx1"/>
                  </w14:solidFill>
                </w14:textFill>
              </w:rPr>
              <w:t>指标</w:t>
            </w:r>
          </w:p>
        </w:tc>
        <w:tc>
          <w:tcPr>
            <w:tcW w:w="9184" w:type="dxa"/>
            <w:vAlign w:val="center"/>
          </w:tcPr>
          <w:p w14:paraId="40857220">
            <w:pPr>
              <w:adjustRightInd/>
              <w:snapToGrid/>
              <w:ind w:firstLine="480"/>
              <w:rPr>
                <w:rFonts w:asciiTheme="majorBidi" w:hAnsiTheme="majorBidi" w:eastAsiaTheme="minorEastAsia" w:cstheme="majorBidi"/>
                <w:color w:val="000000" w:themeColor="text1"/>
                <w:kern w:val="2"/>
                <w:szCs w:val="21"/>
                <w14:textFill>
                  <w14:solidFill>
                    <w14:schemeClr w14:val="tx1"/>
                  </w14:solidFill>
                </w14:textFill>
              </w:rPr>
            </w:pPr>
            <w:r>
              <w:rPr>
                <w:rFonts w:asciiTheme="majorBidi" w:hAnsiTheme="majorBidi" w:eastAsiaTheme="minorEastAsia" w:cstheme="majorBidi"/>
                <w:color w:val="000000" w:themeColor="text1"/>
                <w:kern w:val="2"/>
                <w:szCs w:val="21"/>
                <w14:textFill>
                  <w14:solidFill>
                    <w14:schemeClr w14:val="tx1"/>
                  </w14:solidFill>
                </w14:textFill>
              </w:rPr>
              <w:t>本项目总量控制因子如下：</w:t>
            </w:r>
          </w:p>
          <w:p w14:paraId="1612C025">
            <w:pPr>
              <w:pStyle w:val="11"/>
              <w:rPr>
                <w:bCs w:val="0"/>
                <w:kern w:val="2"/>
              </w:rPr>
            </w:pPr>
            <w:r>
              <w:rPr>
                <w:bCs w:val="0"/>
              </w:rPr>
              <w:t>表3-8 项目污染物总量控制指标</w:t>
            </w:r>
          </w:p>
          <w:tbl>
            <w:tblPr>
              <w:tblStyle w:val="21"/>
              <w:tblW w:w="5000" w:type="pct"/>
              <w:tblInd w:w="0" w:type="dxa"/>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1711"/>
              <w:gridCol w:w="1711"/>
              <w:gridCol w:w="1711"/>
              <w:gridCol w:w="1711"/>
              <w:gridCol w:w="2124"/>
            </w:tblGrid>
            <w:tr w14:paraId="0268688A">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PrEx>
              <w:trPr>
                <w:trHeight w:val="340" w:hRule="atLeast"/>
              </w:trPr>
              <w:tc>
                <w:tcPr>
                  <w:tcW w:w="954" w:type="pct"/>
                  <w:vAlign w:val="center"/>
                </w:tcPr>
                <w:p w14:paraId="6861FFBD">
                  <w:pPr>
                    <w:pStyle w:val="29"/>
                  </w:pPr>
                  <w:r>
                    <w:t>污染物</w:t>
                  </w:r>
                </w:p>
              </w:tc>
              <w:tc>
                <w:tcPr>
                  <w:tcW w:w="954" w:type="pct"/>
                  <w:vAlign w:val="center"/>
                </w:tcPr>
                <w:p w14:paraId="129CEDA0">
                  <w:pPr>
                    <w:pStyle w:val="29"/>
                  </w:pPr>
                  <w:r>
                    <w:t>指标</w:t>
                  </w:r>
                </w:p>
              </w:tc>
              <w:tc>
                <w:tcPr>
                  <w:tcW w:w="954" w:type="pct"/>
                  <w:vAlign w:val="center"/>
                </w:tcPr>
                <w:p w14:paraId="2954BF2F">
                  <w:pPr>
                    <w:pStyle w:val="29"/>
                  </w:pPr>
                  <w:r>
                    <w:t>排放标准</w:t>
                  </w:r>
                </w:p>
              </w:tc>
              <w:tc>
                <w:tcPr>
                  <w:tcW w:w="954" w:type="pct"/>
                  <w:vAlign w:val="center"/>
                </w:tcPr>
                <w:p w14:paraId="3337406C">
                  <w:pPr>
                    <w:pStyle w:val="29"/>
                  </w:pPr>
                  <w:r>
                    <w:t>排放量（t/a）</w:t>
                  </w:r>
                </w:p>
              </w:tc>
              <w:tc>
                <w:tcPr>
                  <w:tcW w:w="1184" w:type="pct"/>
                  <w:vAlign w:val="center"/>
                </w:tcPr>
                <w:p w14:paraId="69AF3A9C">
                  <w:pPr>
                    <w:pStyle w:val="29"/>
                  </w:pPr>
                  <w:r>
                    <w:t>总量建议控制指标</w:t>
                  </w:r>
                </w:p>
              </w:tc>
            </w:tr>
            <w:tr w14:paraId="17B018F4">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954" w:type="pct"/>
                  <w:vMerge w:val="restart"/>
                  <w:vAlign w:val="center"/>
                </w:tcPr>
                <w:p w14:paraId="7A7F1EE4">
                  <w:pPr>
                    <w:pStyle w:val="29"/>
                  </w:pPr>
                  <w:r>
                    <w:t>生活</w:t>
                  </w:r>
                </w:p>
                <w:p w14:paraId="79D109D6">
                  <w:pPr>
                    <w:pStyle w:val="29"/>
                  </w:pPr>
                  <w:r>
                    <w:t>污水</w:t>
                  </w:r>
                </w:p>
              </w:tc>
              <w:tc>
                <w:tcPr>
                  <w:tcW w:w="954" w:type="pct"/>
                  <w:vAlign w:val="center"/>
                </w:tcPr>
                <w:p w14:paraId="637354FF">
                  <w:pPr>
                    <w:pStyle w:val="29"/>
                  </w:pPr>
                  <w:r>
                    <w:t>废水量</w:t>
                  </w:r>
                </w:p>
              </w:tc>
              <w:tc>
                <w:tcPr>
                  <w:tcW w:w="954" w:type="pct"/>
                  <w:vAlign w:val="center"/>
                </w:tcPr>
                <w:p w14:paraId="5A909706">
                  <w:pPr>
                    <w:pStyle w:val="29"/>
                  </w:pPr>
                  <w:r>
                    <w:t>/</w:t>
                  </w:r>
                </w:p>
              </w:tc>
              <w:tc>
                <w:tcPr>
                  <w:tcW w:w="954" w:type="pct"/>
                  <w:vAlign w:val="center"/>
                </w:tcPr>
                <w:p w14:paraId="77FE9998">
                  <w:pPr>
                    <w:pStyle w:val="29"/>
                  </w:pPr>
                  <w:r>
                    <w:t>540</w:t>
                  </w:r>
                </w:p>
              </w:tc>
              <w:tc>
                <w:tcPr>
                  <w:tcW w:w="1184" w:type="pct"/>
                  <w:vMerge w:val="restart"/>
                  <w:vAlign w:val="center"/>
                </w:tcPr>
                <w:p w14:paraId="7D5742F1">
                  <w:pPr>
                    <w:pStyle w:val="29"/>
                  </w:pPr>
                  <w:r>
                    <w:t>无需设置水污染物总量控制指标</w:t>
                  </w:r>
                </w:p>
              </w:tc>
            </w:tr>
            <w:tr w14:paraId="2C496F79">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954" w:type="pct"/>
                  <w:vMerge w:val="continue"/>
                  <w:vAlign w:val="center"/>
                </w:tcPr>
                <w:p w14:paraId="59BA16CA">
                  <w:pPr>
                    <w:pStyle w:val="29"/>
                  </w:pPr>
                </w:p>
              </w:tc>
              <w:tc>
                <w:tcPr>
                  <w:tcW w:w="954" w:type="pct"/>
                  <w:vAlign w:val="center"/>
                </w:tcPr>
                <w:p w14:paraId="53092E88">
                  <w:pPr>
                    <w:pStyle w:val="29"/>
                  </w:pPr>
                  <w:r>
                    <w:t>COD</w:t>
                  </w:r>
                  <w:r>
                    <w:rPr>
                      <w:vertAlign w:val="subscript"/>
                    </w:rPr>
                    <w:t>Cr</w:t>
                  </w:r>
                </w:p>
              </w:tc>
              <w:tc>
                <w:tcPr>
                  <w:tcW w:w="954" w:type="pct"/>
                  <w:vAlign w:val="center"/>
                </w:tcPr>
                <w:p w14:paraId="224AE782">
                  <w:pPr>
                    <w:pStyle w:val="29"/>
                    <w:rPr>
                      <w:kern w:val="2"/>
                    </w:rPr>
                  </w:pPr>
                  <w:r>
                    <w:rPr>
                      <w:kern w:val="2"/>
                    </w:rPr>
                    <w:t>/</w:t>
                  </w:r>
                </w:p>
              </w:tc>
              <w:tc>
                <w:tcPr>
                  <w:tcW w:w="954" w:type="pct"/>
                  <w:vAlign w:val="center"/>
                </w:tcPr>
                <w:p w14:paraId="2EA0205F">
                  <w:pPr>
                    <w:pStyle w:val="29"/>
                    <w:rPr>
                      <w:kern w:val="2"/>
                    </w:rPr>
                  </w:pPr>
                  <w:r>
                    <w:rPr>
                      <w:kern w:val="2"/>
                    </w:rPr>
                    <w:t>0.0216</w:t>
                  </w:r>
                </w:p>
              </w:tc>
              <w:tc>
                <w:tcPr>
                  <w:tcW w:w="1184" w:type="pct"/>
                  <w:vMerge w:val="continue"/>
                  <w:vAlign w:val="center"/>
                </w:tcPr>
                <w:p w14:paraId="5006B48D">
                  <w:pPr>
                    <w:pStyle w:val="29"/>
                  </w:pPr>
                </w:p>
              </w:tc>
            </w:tr>
            <w:tr w14:paraId="0A507261">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954" w:type="pct"/>
                  <w:vMerge w:val="continue"/>
                  <w:vAlign w:val="center"/>
                </w:tcPr>
                <w:p w14:paraId="18463E2A">
                  <w:pPr>
                    <w:pStyle w:val="29"/>
                  </w:pPr>
                </w:p>
              </w:tc>
              <w:tc>
                <w:tcPr>
                  <w:tcW w:w="954" w:type="pct"/>
                  <w:vAlign w:val="center"/>
                </w:tcPr>
                <w:p w14:paraId="59CB967E">
                  <w:pPr>
                    <w:pStyle w:val="29"/>
                  </w:pPr>
                  <w:r>
                    <w:t>NH</w:t>
                  </w:r>
                  <w:r>
                    <w:rPr>
                      <w:vertAlign w:val="subscript"/>
                    </w:rPr>
                    <w:t>3</w:t>
                  </w:r>
                  <w:r>
                    <w:t>-N</w:t>
                  </w:r>
                </w:p>
              </w:tc>
              <w:tc>
                <w:tcPr>
                  <w:tcW w:w="954" w:type="pct"/>
                  <w:vAlign w:val="center"/>
                </w:tcPr>
                <w:p w14:paraId="72593351">
                  <w:pPr>
                    <w:pStyle w:val="29"/>
                    <w:rPr>
                      <w:kern w:val="2"/>
                    </w:rPr>
                  </w:pPr>
                  <w:r>
                    <w:rPr>
                      <w:kern w:val="2"/>
                    </w:rPr>
                    <w:t>/</w:t>
                  </w:r>
                </w:p>
              </w:tc>
              <w:tc>
                <w:tcPr>
                  <w:tcW w:w="954" w:type="pct"/>
                  <w:vAlign w:val="center"/>
                </w:tcPr>
                <w:p w14:paraId="63129892">
                  <w:pPr>
                    <w:pStyle w:val="29"/>
                    <w:rPr>
                      <w:kern w:val="2"/>
                    </w:rPr>
                  </w:pPr>
                  <w:r>
                    <w:rPr>
                      <w:kern w:val="2"/>
                    </w:rPr>
                    <w:t>0.0011</w:t>
                  </w:r>
                </w:p>
              </w:tc>
              <w:tc>
                <w:tcPr>
                  <w:tcW w:w="1184" w:type="pct"/>
                  <w:vMerge w:val="continue"/>
                  <w:vAlign w:val="center"/>
                </w:tcPr>
                <w:p w14:paraId="5B73F37A">
                  <w:pPr>
                    <w:pStyle w:val="29"/>
                  </w:pPr>
                </w:p>
              </w:tc>
            </w:tr>
            <w:tr w14:paraId="7463F03F">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PrEx>
              <w:trPr>
                <w:trHeight w:val="340" w:hRule="atLeast"/>
              </w:trPr>
              <w:tc>
                <w:tcPr>
                  <w:tcW w:w="954" w:type="pct"/>
                  <w:vMerge w:val="restart"/>
                  <w:vAlign w:val="center"/>
                </w:tcPr>
                <w:p w14:paraId="4B40ABA9">
                  <w:pPr>
                    <w:pStyle w:val="29"/>
                  </w:pPr>
                  <w:r>
                    <w:t>废气</w:t>
                  </w:r>
                </w:p>
              </w:tc>
              <w:tc>
                <w:tcPr>
                  <w:tcW w:w="954" w:type="pct"/>
                  <w:vMerge w:val="restart"/>
                  <w:vAlign w:val="center"/>
                </w:tcPr>
                <w:p w14:paraId="0B06439F">
                  <w:pPr>
                    <w:pStyle w:val="29"/>
                    <w:rPr>
                      <w:kern w:val="2"/>
                    </w:rPr>
                  </w:pPr>
                  <w:r>
                    <w:rPr>
                      <w:kern w:val="2"/>
                    </w:rPr>
                    <w:t>颗粒物</w:t>
                  </w:r>
                </w:p>
              </w:tc>
              <w:tc>
                <w:tcPr>
                  <w:tcW w:w="954" w:type="pct"/>
                  <w:vAlign w:val="center"/>
                </w:tcPr>
                <w:p w14:paraId="0A5CDA58">
                  <w:pPr>
                    <w:pStyle w:val="29"/>
                    <w:rPr>
                      <w:kern w:val="2"/>
                    </w:rPr>
                  </w:pPr>
                  <w:r>
                    <w:rPr>
                      <w:kern w:val="2"/>
                    </w:rPr>
                    <w:t>有组织</w:t>
                  </w:r>
                </w:p>
              </w:tc>
              <w:tc>
                <w:tcPr>
                  <w:tcW w:w="954" w:type="pct"/>
                  <w:vAlign w:val="center"/>
                </w:tcPr>
                <w:p w14:paraId="2731228F">
                  <w:pPr>
                    <w:pStyle w:val="29"/>
                    <w:rPr>
                      <w:color w:val="EE0000"/>
                      <w:kern w:val="2"/>
                    </w:rPr>
                  </w:pPr>
                  <w:r>
                    <w:rPr>
                      <w:color w:val="EE0000"/>
                      <w:kern w:val="2"/>
                    </w:rPr>
                    <w:t>0.0</w:t>
                  </w:r>
                  <w:r>
                    <w:rPr>
                      <w:rFonts w:hint="eastAsia"/>
                      <w:color w:val="EE0000"/>
                      <w:kern w:val="2"/>
                    </w:rPr>
                    <w:t>570</w:t>
                  </w:r>
                </w:p>
              </w:tc>
              <w:tc>
                <w:tcPr>
                  <w:tcW w:w="1184" w:type="pct"/>
                  <w:vMerge w:val="restart"/>
                  <w:vAlign w:val="center"/>
                </w:tcPr>
                <w:p w14:paraId="23079175">
                  <w:pPr>
                    <w:pStyle w:val="29"/>
                    <w:rPr>
                      <w:kern w:val="2"/>
                    </w:rPr>
                  </w:pPr>
                  <w:r>
                    <w:rPr>
                      <w:kern w:val="2"/>
                    </w:rPr>
                    <w:t>无需申请总量</w:t>
                  </w:r>
                </w:p>
              </w:tc>
            </w:tr>
            <w:tr w14:paraId="4B52330A">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954" w:type="pct"/>
                  <w:vMerge w:val="continue"/>
                  <w:vAlign w:val="center"/>
                </w:tcPr>
                <w:p w14:paraId="39048A50">
                  <w:pPr>
                    <w:pStyle w:val="29"/>
                  </w:pPr>
                </w:p>
              </w:tc>
              <w:tc>
                <w:tcPr>
                  <w:tcW w:w="954" w:type="pct"/>
                  <w:vMerge w:val="continue"/>
                  <w:vAlign w:val="center"/>
                </w:tcPr>
                <w:p w14:paraId="7E3AE86A">
                  <w:pPr>
                    <w:pStyle w:val="29"/>
                    <w:rPr>
                      <w:kern w:val="2"/>
                    </w:rPr>
                  </w:pPr>
                </w:p>
              </w:tc>
              <w:tc>
                <w:tcPr>
                  <w:tcW w:w="954" w:type="pct"/>
                  <w:vAlign w:val="center"/>
                </w:tcPr>
                <w:p w14:paraId="34F3240B">
                  <w:pPr>
                    <w:pStyle w:val="29"/>
                    <w:rPr>
                      <w:kern w:val="2"/>
                    </w:rPr>
                  </w:pPr>
                  <w:r>
                    <w:rPr>
                      <w:kern w:val="2"/>
                    </w:rPr>
                    <w:t>无组织</w:t>
                  </w:r>
                </w:p>
              </w:tc>
              <w:tc>
                <w:tcPr>
                  <w:tcW w:w="954" w:type="pct"/>
                  <w:vAlign w:val="center"/>
                </w:tcPr>
                <w:p w14:paraId="6EBA8572">
                  <w:pPr>
                    <w:pStyle w:val="29"/>
                    <w:rPr>
                      <w:color w:val="EE0000"/>
                      <w:kern w:val="2"/>
                    </w:rPr>
                  </w:pPr>
                  <w:r>
                    <w:rPr>
                      <w:color w:val="EE0000"/>
                      <w:kern w:val="2"/>
                    </w:rPr>
                    <w:t>0.</w:t>
                  </w:r>
                  <w:r>
                    <w:rPr>
                      <w:rFonts w:hint="eastAsia"/>
                      <w:color w:val="EE0000"/>
                      <w:kern w:val="2"/>
                    </w:rPr>
                    <w:t>1455</w:t>
                  </w:r>
                </w:p>
              </w:tc>
              <w:tc>
                <w:tcPr>
                  <w:tcW w:w="1184" w:type="pct"/>
                  <w:vMerge w:val="continue"/>
                  <w:vAlign w:val="center"/>
                </w:tcPr>
                <w:p w14:paraId="049E6340">
                  <w:pPr>
                    <w:pStyle w:val="29"/>
                    <w:rPr>
                      <w:kern w:val="2"/>
                    </w:rPr>
                  </w:pPr>
                </w:p>
              </w:tc>
            </w:tr>
            <w:tr w14:paraId="7E045501">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954" w:type="pct"/>
                  <w:vMerge w:val="continue"/>
                  <w:vAlign w:val="center"/>
                </w:tcPr>
                <w:p w14:paraId="2B7CE797">
                  <w:pPr>
                    <w:pStyle w:val="29"/>
                  </w:pPr>
                </w:p>
              </w:tc>
              <w:tc>
                <w:tcPr>
                  <w:tcW w:w="954" w:type="pct"/>
                  <w:vMerge w:val="continue"/>
                  <w:vAlign w:val="center"/>
                </w:tcPr>
                <w:p w14:paraId="71CD6757">
                  <w:pPr>
                    <w:pStyle w:val="29"/>
                    <w:rPr>
                      <w:kern w:val="2"/>
                    </w:rPr>
                  </w:pPr>
                </w:p>
              </w:tc>
              <w:tc>
                <w:tcPr>
                  <w:tcW w:w="954" w:type="pct"/>
                  <w:vAlign w:val="center"/>
                </w:tcPr>
                <w:p w14:paraId="70026C7D">
                  <w:pPr>
                    <w:pStyle w:val="29"/>
                    <w:rPr>
                      <w:kern w:val="2"/>
                    </w:rPr>
                  </w:pPr>
                  <w:r>
                    <w:rPr>
                      <w:kern w:val="2"/>
                    </w:rPr>
                    <w:t>合计</w:t>
                  </w:r>
                </w:p>
              </w:tc>
              <w:tc>
                <w:tcPr>
                  <w:tcW w:w="954" w:type="pct"/>
                  <w:vAlign w:val="center"/>
                </w:tcPr>
                <w:p w14:paraId="2808E93A">
                  <w:pPr>
                    <w:pStyle w:val="29"/>
                    <w:rPr>
                      <w:color w:val="EE0000"/>
                      <w:kern w:val="2"/>
                    </w:rPr>
                  </w:pPr>
                  <w:r>
                    <w:rPr>
                      <w:color w:val="EE0000"/>
                      <w:kern w:val="2"/>
                    </w:rPr>
                    <w:t>0.</w:t>
                  </w:r>
                  <w:r>
                    <w:rPr>
                      <w:rFonts w:hint="eastAsia"/>
                      <w:color w:val="EE0000"/>
                      <w:kern w:val="2"/>
                    </w:rPr>
                    <w:t>2025</w:t>
                  </w:r>
                </w:p>
              </w:tc>
              <w:tc>
                <w:tcPr>
                  <w:tcW w:w="1184" w:type="pct"/>
                  <w:vMerge w:val="continue"/>
                  <w:vAlign w:val="center"/>
                </w:tcPr>
                <w:p w14:paraId="78E82C9C">
                  <w:pPr>
                    <w:pStyle w:val="29"/>
                    <w:rPr>
                      <w:kern w:val="2"/>
                    </w:rPr>
                  </w:pPr>
                </w:p>
              </w:tc>
            </w:tr>
            <w:tr w14:paraId="3E8D7ADE">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PrEx>
              <w:trPr>
                <w:trHeight w:val="340" w:hRule="atLeast"/>
              </w:trPr>
              <w:tc>
                <w:tcPr>
                  <w:tcW w:w="954" w:type="pct"/>
                  <w:vMerge w:val="continue"/>
                  <w:vAlign w:val="center"/>
                </w:tcPr>
                <w:p w14:paraId="073DFCC8">
                  <w:pPr>
                    <w:pStyle w:val="29"/>
                  </w:pPr>
                </w:p>
              </w:tc>
              <w:tc>
                <w:tcPr>
                  <w:tcW w:w="954" w:type="pct"/>
                  <w:vMerge w:val="restart"/>
                  <w:vAlign w:val="center"/>
                </w:tcPr>
                <w:p w14:paraId="70172A0B">
                  <w:pPr>
                    <w:pStyle w:val="29"/>
                  </w:pPr>
                  <w:r>
                    <w:rPr>
                      <w:kern w:val="2"/>
                    </w:rPr>
                    <w:t>VOCs</w:t>
                  </w:r>
                </w:p>
              </w:tc>
              <w:tc>
                <w:tcPr>
                  <w:tcW w:w="954" w:type="pct"/>
                  <w:vAlign w:val="center"/>
                </w:tcPr>
                <w:p w14:paraId="43B4DA56">
                  <w:pPr>
                    <w:pStyle w:val="29"/>
                    <w:rPr>
                      <w:kern w:val="2"/>
                    </w:rPr>
                  </w:pPr>
                  <w:r>
                    <w:rPr>
                      <w:kern w:val="2"/>
                    </w:rPr>
                    <w:t>有组织</w:t>
                  </w:r>
                </w:p>
              </w:tc>
              <w:tc>
                <w:tcPr>
                  <w:tcW w:w="954" w:type="pct"/>
                  <w:vAlign w:val="center"/>
                </w:tcPr>
                <w:p w14:paraId="0C28F647">
                  <w:pPr>
                    <w:pStyle w:val="29"/>
                    <w:rPr>
                      <w:color w:val="EE0000"/>
                      <w:kern w:val="2"/>
                    </w:rPr>
                  </w:pPr>
                  <w:r>
                    <w:rPr>
                      <w:color w:val="EE0000"/>
                      <w:kern w:val="2"/>
                    </w:rPr>
                    <w:t>0.09</w:t>
                  </w:r>
                  <w:r>
                    <w:rPr>
                      <w:rFonts w:hint="eastAsia"/>
                      <w:color w:val="EE0000"/>
                      <w:kern w:val="2"/>
                    </w:rPr>
                    <w:t>79</w:t>
                  </w:r>
                </w:p>
              </w:tc>
              <w:tc>
                <w:tcPr>
                  <w:tcW w:w="1184" w:type="pct"/>
                  <w:vMerge w:val="restart"/>
                  <w:vAlign w:val="center"/>
                </w:tcPr>
                <w:p w14:paraId="1A7CBDE3">
                  <w:pPr>
                    <w:pStyle w:val="29"/>
                    <w:rPr>
                      <w:kern w:val="2"/>
                    </w:rPr>
                  </w:pPr>
                  <w:r>
                    <w:rPr>
                      <w:kern w:val="2"/>
                    </w:rPr>
                    <w:t>总量指标由惠州市生态环境局博罗分局进行分配</w:t>
                  </w:r>
                </w:p>
              </w:tc>
            </w:tr>
            <w:tr w14:paraId="69A60538">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PrEx>
              <w:trPr>
                <w:trHeight w:val="340" w:hRule="atLeast"/>
              </w:trPr>
              <w:tc>
                <w:tcPr>
                  <w:tcW w:w="954" w:type="pct"/>
                  <w:vMerge w:val="continue"/>
                  <w:vAlign w:val="center"/>
                </w:tcPr>
                <w:p w14:paraId="54AF627A">
                  <w:pPr>
                    <w:pStyle w:val="29"/>
                  </w:pPr>
                </w:p>
              </w:tc>
              <w:tc>
                <w:tcPr>
                  <w:tcW w:w="954" w:type="pct"/>
                  <w:vMerge w:val="continue"/>
                  <w:vAlign w:val="center"/>
                </w:tcPr>
                <w:p w14:paraId="6761B544">
                  <w:pPr>
                    <w:pStyle w:val="29"/>
                    <w:rPr>
                      <w:kern w:val="2"/>
                    </w:rPr>
                  </w:pPr>
                </w:p>
              </w:tc>
              <w:tc>
                <w:tcPr>
                  <w:tcW w:w="954" w:type="pct"/>
                  <w:vAlign w:val="center"/>
                </w:tcPr>
                <w:p w14:paraId="2A73CE77">
                  <w:pPr>
                    <w:pStyle w:val="29"/>
                    <w:rPr>
                      <w:kern w:val="2"/>
                    </w:rPr>
                  </w:pPr>
                  <w:r>
                    <w:rPr>
                      <w:kern w:val="2"/>
                    </w:rPr>
                    <w:t>无组织</w:t>
                  </w:r>
                </w:p>
              </w:tc>
              <w:tc>
                <w:tcPr>
                  <w:tcW w:w="954" w:type="pct"/>
                  <w:vAlign w:val="center"/>
                </w:tcPr>
                <w:p w14:paraId="37C48020">
                  <w:pPr>
                    <w:pStyle w:val="29"/>
                    <w:rPr>
                      <w:color w:val="EE0000"/>
                      <w:kern w:val="2"/>
                    </w:rPr>
                  </w:pPr>
                  <w:r>
                    <w:rPr>
                      <w:color w:val="EE0000"/>
                      <w:kern w:val="2"/>
                    </w:rPr>
                    <w:t>0.</w:t>
                  </w:r>
                  <w:r>
                    <w:rPr>
                      <w:rFonts w:hint="eastAsia"/>
                      <w:color w:val="EE0000"/>
                      <w:kern w:val="2"/>
                    </w:rPr>
                    <w:t>1942</w:t>
                  </w:r>
                </w:p>
              </w:tc>
              <w:tc>
                <w:tcPr>
                  <w:tcW w:w="1184" w:type="pct"/>
                  <w:vMerge w:val="continue"/>
                  <w:vAlign w:val="center"/>
                </w:tcPr>
                <w:p w14:paraId="08741DC0">
                  <w:pPr>
                    <w:pStyle w:val="29"/>
                    <w:rPr>
                      <w:kern w:val="2"/>
                    </w:rPr>
                  </w:pPr>
                </w:p>
              </w:tc>
            </w:tr>
            <w:tr w14:paraId="7A38661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954" w:type="pct"/>
                  <w:vMerge w:val="continue"/>
                  <w:vAlign w:val="center"/>
                </w:tcPr>
                <w:p w14:paraId="21233792">
                  <w:pPr>
                    <w:pStyle w:val="29"/>
                  </w:pPr>
                </w:p>
              </w:tc>
              <w:tc>
                <w:tcPr>
                  <w:tcW w:w="954" w:type="pct"/>
                  <w:vMerge w:val="continue"/>
                  <w:vAlign w:val="center"/>
                </w:tcPr>
                <w:p w14:paraId="5F17AA0A">
                  <w:pPr>
                    <w:pStyle w:val="29"/>
                    <w:rPr>
                      <w:kern w:val="2"/>
                    </w:rPr>
                  </w:pPr>
                </w:p>
              </w:tc>
              <w:tc>
                <w:tcPr>
                  <w:tcW w:w="954" w:type="pct"/>
                  <w:vAlign w:val="center"/>
                </w:tcPr>
                <w:p w14:paraId="29E31ED8">
                  <w:pPr>
                    <w:pStyle w:val="29"/>
                    <w:rPr>
                      <w:kern w:val="2"/>
                    </w:rPr>
                  </w:pPr>
                  <w:r>
                    <w:rPr>
                      <w:kern w:val="2"/>
                    </w:rPr>
                    <w:t>合计</w:t>
                  </w:r>
                </w:p>
              </w:tc>
              <w:tc>
                <w:tcPr>
                  <w:tcW w:w="954" w:type="pct"/>
                  <w:vAlign w:val="center"/>
                </w:tcPr>
                <w:p w14:paraId="09231CD0">
                  <w:pPr>
                    <w:pStyle w:val="29"/>
                    <w:rPr>
                      <w:color w:val="EE0000"/>
                      <w:kern w:val="2"/>
                    </w:rPr>
                  </w:pPr>
                  <w:r>
                    <w:rPr>
                      <w:color w:val="EE0000"/>
                      <w:kern w:val="2"/>
                    </w:rPr>
                    <w:t>0.2</w:t>
                  </w:r>
                  <w:r>
                    <w:rPr>
                      <w:rFonts w:hint="eastAsia"/>
                      <w:color w:val="EE0000"/>
                      <w:kern w:val="2"/>
                    </w:rPr>
                    <w:t>921</w:t>
                  </w:r>
                </w:p>
              </w:tc>
              <w:tc>
                <w:tcPr>
                  <w:tcW w:w="1184" w:type="pct"/>
                  <w:vMerge w:val="continue"/>
                  <w:vAlign w:val="center"/>
                </w:tcPr>
                <w:p w14:paraId="231510F6">
                  <w:pPr>
                    <w:pStyle w:val="29"/>
                    <w:rPr>
                      <w:kern w:val="2"/>
                    </w:rPr>
                  </w:pPr>
                </w:p>
              </w:tc>
            </w:tr>
          </w:tbl>
          <w:p w14:paraId="348FCB4A">
            <w:pPr>
              <w:ind w:firstLine="420"/>
              <w:rPr>
                <w:rFonts w:asciiTheme="majorBidi" w:hAnsiTheme="majorBidi" w:cstheme="majorBidi"/>
                <w:color w:val="000000" w:themeColor="text1"/>
                <w:sz w:val="21"/>
                <w:szCs w:val="21"/>
                <w14:textFill>
                  <w14:solidFill>
                    <w14:schemeClr w14:val="tx1"/>
                  </w14:solidFill>
                </w14:textFill>
              </w:rPr>
            </w:pPr>
            <w:r>
              <w:rPr>
                <w:rFonts w:asciiTheme="majorBidi" w:hAnsiTheme="majorBidi" w:cstheme="majorBidi"/>
                <w:color w:val="000000" w:themeColor="text1"/>
                <w:sz w:val="21"/>
                <w:szCs w:val="21"/>
                <w14:textFill>
                  <w14:solidFill>
                    <w14:schemeClr w14:val="tx1"/>
                  </w14:solidFill>
                </w14:textFill>
              </w:rPr>
              <w:t>注：1.项目生活污水纳入博罗县园洲镇第五生活污水处理厂处理，CODcr和NH</w:t>
            </w:r>
            <w:r>
              <w:rPr>
                <w:rFonts w:asciiTheme="majorBidi" w:hAnsiTheme="majorBidi" w:cstheme="majorBidi"/>
                <w:color w:val="000000" w:themeColor="text1"/>
                <w:sz w:val="21"/>
                <w:szCs w:val="21"/>
                <w:vertAlign w:val="subscript"/>
                <w14:textFill>
                  <w14:solidFill>
                    <w14:schemeClr w14:val="tx1"/>
                  </w14:solidFill>
                </w14:textFill>
              </w:rPr>
              <w:t>3</w:t>
            </w:r>
            <w:r>
              <w:rPr>
                <w:rFonts w:asciiTheme="majorBidi" w:hAnsiTheme="majorBidi" w:cstheme="majorBidi"/>
                <w:color w:val="000000" w:themeColor="text1"/>
                <w:sz w:val="21"/>
                <w:szCs w:val="21"/>
                <w14:textFill>
                  <w14:solidFill>
                    <w14:schemeClr w14:val="tx1"/>
                  </w14:solidFill>
                </w14:textFill>
              </w:rPr>
              <w:t>-N</w:t>
            </w:r>
            <w:r>
              <w:rPr>
                <w:rFonts w:hint="eastAsia" w:asciiTheme="majorBidi" w:hAnsiTheme="majorBidi" w:cstheme="majorBidi"/>
                <w:color w:val="000000" w:themeColor="text1"/>
                <w:sz w:val="21"/>
                <w:szCs w:val="21"/>
                <w14:textFill>
                  <w14:solidFill>
                    <w14:schemeClr w14:val="tx1"/>
                  </w14:solidFill>
                </w14:textFill>
              </w:rPr>
              <w:t xml:space="preserve">   </w:t>
            </w:r>
            <w:r>
              <w:rPr>
                <w:rFonts w:asciiTheme="majorBidi" w:hAnsiTheme="majorBidi" w:cstheme="majorBidi"/>
                <w:color w:val="000000" w:themeColor="text1"/>
                <w:sz w:val="21"/>
                <w:szCs w:val="21"/>
                <w14:textFill>
                  <w14:solidFill>
                    <w14:schemeClr w14:val="tx1"/>
                  </w14:solidFill>
                </w14:textFill>
              </w:rPr>
              <w:t>总量指标由博罗县园洲镇第五生活污水处理厂分配总量指标中核减，不另行分配。2.项目废气总量指标由惠州市生态环境局博罗分局分配，废气量包含有组织和无组织排放的量，颗粒物无需申请总量。</w:t>
            </w:r>
          </w:p>
        </w:tc>
      </w:tr>
    </w:tbl>
    <w:p w14:paraId="5CA1BC3E">
      <w:pPr>
        <w:ind w:firstLine="600"/>
        <w:jc w:val="center"/>
        <w:outlineLvl w:val="0"/>
        <w:rPr>
          <w:rFonts w:asciiTheme="majorBidi" w:hAnsiTheme="majorBidi" w:eastAsiaTheme="minorEastAsia" w:cstheme="majorBidi"/>
          <w:snapToGrid w:val="0"/>
          <w:color w:val="000000" w:themeColor="text1"/>
          <w:sz w:val="30"/>
          <w:szCs w:val="30"/>
          <w14:textFill>
            <w14:solidFill>
              <w14:schemeClr w14:val="tx1"/>
            </w14:solidFill>
          </w14:textFill>
        </w:rPr>
        <w:sectPr>
          <w:pgSz w:w="11906" w:h="16838"/>
          <w:pgMar w:top="1418" w:right="1134" w:bottom="1418" w:left="1134" w:header="708" w:footer="708" w:gutter="0"/>
          <w:cols w:space="708" w:num="1"/>
          <w:docGrid w:linePitch="360" w:charSpace="0"/>
        </w:sectPr>
      </w:pPr>
    </w:p>
    <w:p w14:paraId="70FEC78B">
      <w:pPr>
        <w:ind w:firstLine="602"/>
        <w:jc w:val="center"/>
        <w:outlineLvl w:val="0"/>
        <w:rPr>
          <w:rFonts w:asciiTheme="majorBidi" w:hAnsiTheme="majorBidi" w:eastAsiaTheme="minorEastAsia" w:cstheme="majorBidi"/>
          <w:b/>
          <w:bCs/>
          <w:snapToGrid w:val="0"/>
          <w:color w:val="000000" w:themeColor="text1"/>
          <w:sz w:val="30"/>
          <w:szCs w:val="30"/>
          <w14:textFill>
            <w14:solidFill>
              <w14:schemeClr w14:val="tx1"/>
            </w14:solidFill>
          </w14:textFill>
        </w:rPr>
      </w:pPr>
      <w:bookmarkStart w:id="7" w:name="_Toc200987722"/>
      <w:bookmarkStart w:id="8" w:name="_Toc199146997"/>
      <w:r>
        <w:rPr>
          <w:rFonts w:asciiTheme="majorBidi" w:hAnsiTheme="majorBidi" w:eastAsiaTheme="minorEastAsia" w:cstheme="majorBidi"/>
          <w:b/>
          <w:bCs/>
          <w:snapToGrid w:val="0"/>
          <w:color w:val="000000" w:themeColor="text1"/>
          <w:sz w:val="30"/>
          <w:szCs w:val="30"/>
          <w14:textFill>
            <w14:solidFill>
              <w14:schemeClr w14:val="tx1"/>
            </w14:solidFill>
          </w14:textFill>
        </w:rPr>
        <w:t>四、主要环境影响和保护措施</w:t>
      </w:r>
      <w:bookmarkEnd w:id="7"/>
      <w:bookmarkEnd w:id="8"/>
    </w:p>
    <w:tbl>
      <w:tblPr>
        <w:tblStyle w:val="22"/>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16"/>
        <w:gridCol w:w="13502"/>
      </w:tblGrid>
      <w:tr w14:paraId="28A88A0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52" w:type="pct"/>
            <w:vAlign w:val="center"/>
          </w:tcPr>
          <w:p w14:paraId="0AB9C187">
            <w:pPr>
              <w:pStyle w:val="10"/>
              <w:spacing w:before="48"/>
            </w:pPr>
            <w:r>
              <w:t>施工期环境保护措施</w:t>
            </w:r>
          </w:p>
        </w:tc>
        <w:tc>
          <w:tcPr>
            <w:tcW w:w="4748" w:type="pct"/>
            <w:vAlign w:val="center"/>
          </w:tcPr>
          <w:p w14:paraId="7423283B">
            <w:pPr>
              <w:pStyle w:val="29"/>
              <w:rPr>
                <w:rFonts w:asciiTheme="majorBidi" w:hAnsiTheme="majorBidi" w:cstheme="majorBidi"/>
                <w:b/>
                <w:bCs/>
                <w:color w:val="000000" w:themeColor="text1"/>
                <w14:textFill>
                  <w14:solidFill>
                    <w14:schemeClr w14:val="tx1"/>
                  </w14:solidFill>
                </w14:textFill>
              </w:rPr>
            </w:pPr>
            <w:r>
              <w:rPr>
                <w:rFonts w:asciiTheme="majorBidi" w:hAnsiTheme="majorBidi" w:cstheme="majorBidi"/>
                <w:color w:val="000000" w:themeColor="text1"/>
                <w14:textFill>
                  <w14:solidFill>
                    <w14:schemeClr w14:val="tx1"/>
                  </w14:solidFill>
                </w14:textFill>
              </w:rPr>
              <w:t>建设单位利用现有厂房进行生产，施工期无土建施工，主要为设备的安装和调试，施工期环境影响较小，本次环评不对施工期开展环境影响评价。</w:t>
            </w:r>
          </w:p>
        </w:tc>
      </w:tr>
      <w:tr w14:paraId="212CA32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52" w:type="pct"/>
            <w:vAlign w:val="center"/>
          </w:tcPr>
          <w:p w14:paraId="670027A7">
            <w:pPr>
              <w:pStyle w:val="10"/>
              <w:spacing w:before="48"/>
            </w:pPr>
            <w:r>
              <w:t>运营期环境影响和保护措施</w:t>
            </w:r>
          </w:p>
        </w:tc>
        <w:tc>
          <w:tcPr>
            <w:tcW w:w="4748" w:type="pct"/>
          </w:tcPr>
          <w:p w14:paraId="6DD93D43">
            <w:pPr>
              <w:tabs>
                <w:tab w:val="left" w:pos="312"/>
              </w:tabs>
              <w:ind w:firstLine="482"/>
              <w:rPr>
                <w:rFonts w:asciiTheme="majorBidi" w:hAnsiTheme="majorBidi" w:eastAsiaTheme="minorEastAsia" w:cstheme="majorBidi"/>
                <w:b/>
                <w:bCs/>
                <w:color w:val="000000" w:themeColor="text1"/>
                <w:kern w:val="2"/>
                <w14:textFill>
                  <w14:solidFill>
                    <w14:schemeClr w14:val="tx1"/>
                  </w14:solidFill>
                </w14:textFill>
              </w:rPr>
            </w:pPr>
            <w:r>
              <w:rPr>
                <w:rFonts w:asciiTheme="majorBidi" w:hAnsiTheme="majorBidi" w:eastAsiaTheme="minorEastAsia" w:cstheme="majorBidi"/>
                <w:b/>
                <w:bCs/>
                <w:color w:val="000000" w:themeColor="text1"/>
                <w:kern w:val="2"/>
                <w14:textFill>
                  <w14:solidFill>
                    <w14:schemeClr w14:val="tx1"/>
                  </w14:solidFill>
                </w14:textFill>
              </w:rPr>
              <w:t>（一）废气</w:t>
            </w:r>
          </w:p>
          <w:p w14:paraId="421016D8">
            <w:pPr>
              <w:ind w:firstLine="482"/>
              <w:rPr>
                <w:rFonts w:asciiTheme="majorBidi" w:hAnsiTheme="majorBidi" w:eastAsiaTheme="minorEastAsia" w:cstheme="majorBidi"/>
                <w:b/>
                <w:bCs/>
                <w:color w:val="000000" w:themeColor="text1"/>
                <w14:textFill>
                  <w14:solidFill>
                    <w14:schemeClr w14:val="tx1"/>
                  </w14:solidFill>
                </w14:textFill>
              </w:rPr>
            </w:pPr>
            <w:r>
              <w:rPr>
                <w:rFonts w:asciiTheme="majorBidi" w:hAnsiTheme="majorBidi" w:eastAsiaTheme="minorEastAsia" w:cstheme="majorBidi"/>
                <w:b/>
                <w:bCs/>
                <w:color w:val="000000" w:themeColor="text1"/>
                <w14:textFill>
                  <w14:solidFill>
                    <w14:schemeClr w14:val="tx1"/>
                  </w14:solidFill>
                </w14:textFill>
              </w:rPr>
              <w:t>1.废气源强</w:t>
            </w:r>
          </w:p>
          <w:p w14:paraId="7E493EB2">
            <w:pPr>
              <w:pStyle w:val="11"/>
              <w:numPr>
                <w:ilvl w:val="0"/>
                <w:numId w:val="4"/>
              </w:numPr>
              <w:rPr>
                <w:bCs w:val="0"/>
              </w:rPr>
            </w:pPr>
            <w:r>
              <w:rPr>
                <w:bCs w:val="0"/>
              </w:rPr>
              <w:t>项目废气污染物源强核算结果一览表</w:t>
            </w:r>
          </w:p>
          <w:tbl>
            <w:tblPr>
              <w:tblStyle w:val="21"/>
              <w:tblW w:w="13033" w:type="dxa"/>
              <w:tblInd w:w="0" w:type="dxa"/>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0" w:type="dxa"/>
                <w:bottom w:w="0" w:type="dxa"/>
                <w:right w:w="0" w:type="dxa"/>
              </w:tblCellMar>
            </w:tblPr>
            <w:tblGrid>
              <w:gridCol w:w="450"/>
              <w:gridCol w:w="1448"/>
              <w:gridCol w:w="547"/>
              <w:gridCol w:w="1145"/>
              <w:gridCol w:w="697"/>
              <w:gridCol w:w="709"/>
              <w:gridCol w:w="852"/>
              <w:gridCol w:w="568"/>
              <w:gridCol w:w="655"/>
              <w:gridCol w:w="510"/>
              <w:gridCol w:w="678"/>
              <w:gridCol w:w="613"/>
              <w:gridCol w:w="680"/>
              <w:gridCol w:w="576"/>
              <w:gridCol w:w="715"/>
              <w:gridCol w:w="56"/>
              <w:gridCol w:w="702"/>
              <w:gridCol w:w="60"/>
              <w:gridCol w:w="850"/>
              <w:gridCol w:w="522"/>
            </w:tblGrid>
            <w:tr w14:paraId="2D98C733">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40" w:hRule="atLeast"/>
              </w:trPr>
              <w:tc>
                <w:tcPr>
                  <w:tcW w:w="450" w:type="dxa"/>
                  <w:vMerge w:val="restart"/>
                  <w:vAlign w:val="center"/>
                </w:tcPr>
                <w:p w14:paraId="77A8E1DE">
                  <w:pPr>
                    <w:pStyle w:val="29"/>
                  </w:pPr>
                  <w:bookmarkStart w:id="9" w:name="_Hlk194498772"/>
                  <w:r>
                    <w:t>排放形式</w:t>
                  </w:r>
                </w:p>
              </w:tc>
              <w:tc>
                <w:tcPr>
                  <w:tcW w:w="1448" w:type="dxa"/>
                  <w:vMerge w:val="restart"/>
                  <w:vAlign w:val="center"/>
                </w:tcPr>
                <w:p w14:paraId="24EE0AC5">
                  <w:pPr>
                    <w:pStyle w:val="29"/>
                  </w:pPr>
                  <w:r>
                    <w:t>污染源</w:t>
                  </w:r>
                </w:p>
              </w:tc>
              <w:tc>
                <w:tcPr>
                  <w:tcW w:w="547" w:type="dxa"/>
                  <w:vMerge w:val="restart"/>
                  <w:vAlign w:val="center"/>
                </w:tcPr>
                <w:p w14:paraId="5C029D6A">
                  <w:pPr>
                    <w:pStyle w:val="29"/>
                  </w:pPr>
                  <w:r>
                    <w:rPr>
                      <w:rFonts w:hint="eastAsia"/>
                      <w:color w:val="0000FF"/>
                    </w:rPr>
                    <w:t>集气风</w:t>
                  </w:r>
                  <w:r>
                    <w:rPr>
                      <w:color w:val="0000FF"/>
                    </w:rPr>
                    <w:t>量</w:t>
                  </w:r>
                  <w:r>
                    <w:rPr>
                      <w:rFonts w:hint="eastAsia"/>
                      <w:color w:val="0000FF"/>
                    </w:rPr>
                    <w:t>(</w:t>
                  </w:r>
                  <w:r>
                    <w:rPr>
                      <w:color w:val="0000FF"/>
                    </w:rPr>
                    <w:t>m³/h</w:t>
                  </w:r>
                  <w:r>
                    <w:rPr>
                      <w:rFonts w:hint="eastAsia"/>
                    </w:rPr>
                    <w:t>)</w:t>
                  </w:r>
                </w:p>
              </w:tc>
              <w:tc>
                <w:tcPr>
                  <w:tcW w:w="1145" w:type="dxa"/>
                  <w:vMerge w:val="restart"/>
                  <w:vAlign w:val="center"/>
                </w:tcPr>
                <w:p w14:paraId="23F9B0C5">
                  <w:pPr>
                    <w:pStyle w:val="29"/>
                  </w:pPr>
                  <w:r>
                    <w:t>污染物</w:t>
                  </w:r>
                </w:p>
              </w:tc>
              <w:tc>
                <w:tcPr>
                  <w:tcW w:w="2258" w:type="dxa"/>
                  <w:gridSpan w:val="3"/>
                  <w:vAlign w:val="center"/>
                </w:tcPr>
                <w:p w14:paraId="3CFF4511">
                  <w:pPr>
                    <w:pStyle w:val="29"/>
                  </w:pPr>
                  <w:r>
                    <w:t>产生情况</w:t>
                  </w:r>
                </w:p>
              </w:tc>
              <w:tc>
                <w:tcPr>
                  <w:tcW w:w="3024" w:type="dxa"/>
                  <w:gridSpan w:val="5"/>
                  <w:vAlign w:val="center"/>
                </w:tcPr>
                <w:p w14:paraId="15BCAABB">
                  <w:pPr>
                    <w:pStyle w:val="29"/>
                  </w:pPr>
                  <w:r>
                    <w:t>治理措施</w:t>
                  </w:r>
                </w:p>
              </w:tc>
              <w:tc>
                <w:tcPr>
                  <w:tcW w:w="680" w:type="dxa"/>
                  <w:vMerge w:val="restart"/>
                  <w:vAlign w:val="center"/>
                </w:tcPr>
                <w:p w14:paraId="748E5022">
                  <w:pPr>
                    <w:pStyle w:val="29"/>
                  </w:pPr>
                  <w:r>
                    <w:t>是否为可行性技术</w:t>
                  </w:r>
                </w:p>
              </w:tc>
              <w:tc>
                <w:tcPr>
                  <w:tcW w:w="576" w:type="dxa"/>
                  <w:vMerge w:val="restart"/>
                  <w:vAlign w:val="center"/>
                </w:tcPr>
                <w:p w14:paraId="1622E4B8">
                  <w:pPr>
                    <w:pStyle w:val="29"/>
                    <w:rPr>
                      <w:color w:val="0000FF"/>
                    </w:rPr>
                  </w:pPr>
                  <w:r>
                    <w:rPr>
                      <w:rFonts w:hint="eastAsia"/>
                      <w:color w:val="0000FF"/>
                    </w:rPr>
                    <w:t>排气量(</w:t>
                  </w:r>
                  <w:r>
                    <w:rPr>
                      <w:color w:val="0000FF"/>
                    </w:rPr>
                    <w:t>m³/h</w:t>
                  </w:r>
                  <w:r>
                    <w:rPr>
                      <w:rFonts w:hint="eastAsia"/>
                      <w:color w:val="0000FF"/>
                    </w:rPr>
                    <w:t>)</w:t>
                  </w:r>
                </w:p>
              </w:tc>
              <w:tc>
                <w:tcPr>
                  <w:tcW w:w="2383" w:type="dxa"/>
                  <w:gridSpan w:val="5"/>
                  <w:vAlign w:val="center"/>
                </w:tcPr>
                <w:p w14:paraId="08C7CCA7">
                  <w:pPr>
                    <w:pStyle w:val="29"/>
                  </w:pPr>
                  <w:r>
                    <w:t>污染物排放情况</w:t>
                  </w:r>
                </w:p>
              </w:tc>
              <w:tc>
                <w:tcPr>
                  <w:tcW w:w="522" w:type="dxa"/>
                  <w:vMerge w:val="restart"/>
                  <w:vAlign w:val="center"/>
                </w:tcPr>
                <w:p w14:paraId="7402E1AE">
                  <w:pPr>
                    <w:pStyle w:val="29"/>
                  </w:pPr>
                  <w:r>
                    <w:t>排放口</w:t>
                  </w:r>
                </w:p>
              </w:tc>
            </w:tr>
            <w:tr w14:paraId="3A98B821">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270" w:hRule="atLeast"/>
              </w:trPr>
              <w:tc>
                <w:tcPr>
                  <w:tcW w:w="450" w:type="dxa"/>
                  <w:vMerge w:val="continue"/>
                  <w:vAlign w:val="center"/>
                </w:tcPr>
                <w:p w14:paraId="591EB416">
                  <w:pPr>
                    <w:pStyle w:val="29"/>
                  </w:pPr>
                </w:p>
              </w:tc>
              <w:tc>
                <w:tcPr>
                  <w:tcW w:w="1448" w:type="dxa"/>
                  <w:vMerge w:val="continue"/>
                  <w:vAlign w:val="center"/>
                </w:tcPr>
                <w:p w14:paraId="09EF918D">
                  <w:pPr>
                    <w:pStyle w:val="29"/>
                  </w:pPr>
                </w:p>
              </w:tc>
              <w:tc>
                <w:tcPr>
                  <w:tcW w:w="547" w:type="dxa"/>
                  <w:vMerge w:val="continue"/>
                  <w:tcBorders>
                    <w:bottom w:val="single" w:color="auto" w:sz="4" w:space="0"/>
                  </w:tcBorders>
                </w:tcPr>
                <w:p w14:paraId="09880091">
                  <w:pPr>
                    <w:pStyle w:val="29"/>
                  </w:pPr>
                </w:p>
              </w:tc>
              <w:tc>
                <w:tcPr>
                  <w:tcW w:w="1145" w:type="dxa"/>
                  <w:vMerge w:val="continue"/>
                  <w:vAlign w:val="center"/>
                </w:tcPr>
                <w:p w14:paraId="58E9A0D9">
                  <w:pPr>
                    <w:pStyle w:val="29"/>
                  </w:pPr>
                </w:p>
              </w:tc>
              <w:tc>
                <w:tcPr>
                  <w:tcW w:w="697" w:type="dxa"/>
                  <w:vAlign w:val="center"/>
                </w:tcPr>
                <w:p w14:paraId="15CC99A6">
                  <w:pPr>
                    <w:pStyle w:val="29"/>
                  </w:pPr>
                  <w:r>
                    <w:t>产生量t/a</w:t>
                  </w:r>
                </w:p>
              </w:tc>
              <w:tc>
                <w:tcPr>
                  <w:tcW w:w="709" w:type="dxa"/>
                  <w:vAlign w:val="center"/>
                </w:tcPr>
                <w:p w14:paraId="652F2F99">
                  <w:pPr>
                    <w:pStyle w:val="29"/>
                  </w:pPr>
                  <w:r>
                    <w:t>产生速率kg/h</w:t>
                  </w:r>
                </w:p>
              </w:tc>
              <w:tc>
                <w:tcPr>
                  <w:tcW w:w="852" w:type="dxa"/>
                  <w:vAlign w:val="center"/>
                </w:tcPr>
                <w:p w14:paraId="5E41E68F">
                  <w:pPr>
                    <w:pStyle w:val="29"/>
                  </w:pPr>
                  <w:r>
                    <w:t>产生浓度mg/m³</w:t>
                  </w:r>
                </w:p>
              </w:tc>
              <w:tc>
                <w:tcPr>
                  <w:tcW w:w="568" w:type="dxa"/>
                  <w:vAlign w:val="center"/>
                </w:tcPr>
                <w:p w14:paraId="2136DDF5">
                  <w:pPr>
                    <w:pStyle w:val="29"/>
                  </w:pPr>
                  <w:r>
                    <w:t>收集方式</w:t>
                  </w:r>
                </w:p>
              </w:tc>
              <w:tc>
                <w:tcPr>
                  <w:tcW w:w="655" w:type="dxa"/>
                  <w:vAlign w:val="center"/>
                </w:tcPr>
                <w:p w14:paraId="50EDC9F5">
                  <w:pPr>
                    <w:pStyle w:val="29"/>
                  </w:pPr>
                  <w:r>
                    <w:t>收集效率%</w:t>
                  </w:r>
                </w:p>
              </w:tc>
              <w:tc>
                <w:tcPr>
                  <w:tcW w:w="510" w:type="dxa"/>
                  <w:vAlign w:val="center"/>
                </w:tcPr>
                <w:p w14:paraId="4D69A08F">
                  <w:pPr>
                    <w:pStyle w:val="29"/>
                  </w:pPr>
                  <w:r>
                    <w:t>处理工艺</w:t>
                  </w:r>
                </w:p>
              </w:tc>
              <w:tc>
                <w:tcPr>
                  <w:tcW w:w="678" w:type="dxa"/>
                  <w:vAlign w:val="center"/>
                </w:tcPr>
                <w:p w14:paraId="2ED8D1D5">
                  <w:pPr>
                    <w:pStyle w:val="29"/>
                  </w:pPr>
                  <w:r>
                    <w:t>处理效率%</w:t>
                  </w:r>
                </w:p>
              </w:tc>
              <w:tc>
                <w:tcPr>
                  <w:tcW w:w="613" w:type="dxa"/>
                  <w:vAlign w:val="center"/>
                </w:tcPr>
                <w:p w14:paraId="34DEBE5F">
                  <w:pPr>
                    <w:pStyle w:val="29"/>
                  </w:pPr>
                  <w:r>
                    <w:rPr>
                      <w:rFonts w:hint="eastAsia"/>
                    </w:rPr>
                    <w:t>处理量(</w:t>
                  </w:r>
                  <w:r>
                    <w:t>t/a</w:t>
                  </w:r>
                  <w:r>
                    <w:rPr>
                      <w:rFonts w:hint="eastAsia"/>
                    </w:rPr>
                    <w:t>)</w:t>
                  </w:r>
                </w:p>
              </w:tc>
              <w:tc>
                <w:tcPr>
                  <w:tcW w:w="680" w:type="dxa"/>
                  <w:vMerge w:val="continue"/>
                  <w:vAlign w:val="center"/>
                </w:tcPr>
                <w:p w14:paraId="64458A70">
                  <w:pPr>
                    <w:pStyle w:val="29"/>
                  </w:pPr>
                </w:p>
              </w:tc>
              <w:tc>
                <w:tcPr>
                  <w:tcW w:w="576" w:type="dxa"/>
                  <w:vMerge w:val="continue"/>
                  <w:vAlign w:val="center"/>
                </w:tcPr>
                <w:p w14:paraId="338CA551">
                  <w:pPr>
                    <w:pStyle w:val="29"/>
                    <w:rPr>
                      <w:color w:val="0000FF"/>
                    </w:rPr>
                  </w:pPr>
                </w:p>
              </w:tc>
              <w:tc>
                <w:tcPr>
                  <w:tcW w:w="715" w:type="dxa"/>
                  <w:vAlign w:val="center"/>
                </w:tcPr>
                <w:p w14:paraId="4EF6B5D0">
                  <w:pPr>
                    <w:pStyle w:val="29"/>
                  </w:pPr>
                  <w:r>
                    <w:t>排放量</w:t>
                  </w:r>
                  <w:r>
                    <w:rPr>
                      <w:rFonts w:hint="eastAsia"/>
                    </w:rPr>
                    <w:t>(</w:t>
                  </w:r>
                  <w:r>
                    <w:t>t/a</w:t>
                  </w:r>
                  <w:r>
                    <w:rPr>
                      <w:rFonts w:hint="eastAsia"/>
                    </w:rPr>
                    <w:t>)</w:t>
                  </w:r>
                </w:p>
              </w:tc>
              <w:tc>
                <w:tcPr>
                  <w:tcW w:w="818" w:type="dxa"/>
                  <w:gridSpan w:val="3"/>
                  <w:vAlign w:val="center"/>
                </w:tcPr>
                <w:p w14:paraId="69A9D9CE">
                  <w:pPr>
                    <w:pStyle w:val="29"/>
                  </w:pPr>
                  <w:r>
                    <w:t>排放速率</w:t>
                  </w:r>
                  <w:r>
                    <w:rPr>
                      <w:rFonts w:hint="eastAsia"/>
                    </w:rPr>
                    <w:t>(</w:t>
                  </w:r>
                  <w:r>
                    <w:t>kg/h</w:t>
                  </w:r>
                  <w:r>
                    <w:rPr>
                      <w:rFonts w:hint="eastAsia"/>
                    </w:rPr>
                    <w:t>)</w:t>
                  </w:r>
                </w:p>
              </w:tc>
              <w:tc>
                <w:tcPr>
                  <w:tcW w:w="850" w:type="dxa"/>
                  <w:vAlign w:val="center"/>
                </w:tcPr>
                <w:p w14:paraId="3415AD98">
                  <w:pPr>
                    <w:pStyle w:val="29"/>
                  </w:pPr>
                  <w:r>
                    <w:t>排放浓度</w:t>
                  </w:r>
                  <w:r>
                    <w:rPr>
                      <w:rFonts w:hint="eastAsia"/>
                    </w:rPr>
                    <w:t>(</w:t>
                  </w:r>
                  <w:r>
                    <w:t>mg/m³</w:t>
                  </w:r>
                  <w:r>
                    <w:rPr>
                      <w:rFonts w:hint="eastAsia"/>
                    </w:rPr>
                    <w:t>)</w:t>
                  </w:r>
                </w:p>
              </w:tc>
              <w:tc>
                <w:tcPr>
                  <w:tcW w:w="522" w:type="dxa"/>
                  <w:vMerge w:val="continue"/>
                  <w:vAlign w:val="center"/>
                </w:tcPr>
                <w:p w14:paraId="3EB1806D">
                  <w:pPr>
                    <w:pStyle w:val="29"/>
                  </w:pPr>
                </w:p>
              </w:tc>
            </w:tr>
            <w:tr w14:paraId="620CEB82">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40" w:hRule="atLeast"/>
              </w:trPr>
              <w:tc>
                <w:tcPr>
                  <w:tcW w:w="450" w:type="dxa"/>
                  <w:vMerge w:val="restart"/>
                  <w:noWrap/>
                  <w:vAlign w:val="center"/>
                </w:tcPr>
                <w:p w14:paraId="0FDC9E5C">
                  <w:pPr>
                    <w:pStyle w:val="29"/>
                  </w:pPr>
                  <w:r>
                    <w:t>有组织</w:t>
                  </w:r>
                </w:p>
              </w:tc>
              <w:tc>
                <w:tcPr>
                  <w:tcW w:w="1448" w:type="dxa"/>
                  <w:noWrap/>
                  <w:vAlign w:val="center"/>
                </w:tcPr>
                <w:p w14:paraId="1DB3F721">
                  <w:pPr>
                    <w:pStyle w:val="29"/>
                  </w:pPr>
                  <w:r>
                    <w:t>注塑</w:t>
                  </w:r>
                </w:p>
              </w:tc>
              <w:tc>
                <w:tcPr>
                  <w:tcW w:w="547" w:type="dxa"/>
                  <w:tcBorders>
                    <w:top w:val="single" w:color="auto" w:sz="4" w:space="0"/>
                    <w:left w:val="nil"/>
                    <w:bottom w:val="single" w:color="auto" w:sz="4" w:space="0"/>
                    <w:right w:val="nil"/>
                  </w:tcBorders>
                  <w:shd w:val="clear" w:color="auto" w:fill="auto"/>
                  <w:vAlign w:val="center"/>
                </w:tcPr>
                <w:p w14:paraId="74E4B487">
                  <w:pPr>
                    <w:pStyle w:val="29"/>
                    <w:rPr>
                      <w:color w:val="EE0000"/>
                    </w:rPr>
                  </w:pPr>
                  <w:r>
                    <w:rPr>
                      <w:color w:val="EE0000"/>
                    </w:rPr>
                    <w:t>12960</w:t>
                  </w:r>
                </w:p>
              </w:tc>
              <w:tc>
                <w:tcPr>
                  <w:tcW w:w="1145" w:type="dxa"/>
                  <w:noWrap/>
                  <w:vAlign w:val="center"/>
                </w:tcPr>
                <w:p w14:paraId="3A02F0D7">
                  <w:pPr>
                    <w:pStyle w:val="29"/>
                    <w:rPr>
                      <w:color w:val="EE0000"/>
                    </w:rPr>
                  </w:pPr>
                  <w:r>
                    <w:rPr>
                      <w:rFonts w:hint="eastAsia"/>
                      <w:color w:val="0000FF"/>
                    </w:rPr>
                    <w:t>非甲烷总烃</w:t>
                  </w:r>
                </w:p>
              </w:tc>
              <w:tc>
                <w:tcPr>
                  <w:tcW w:w="697" w:type="dxa"/>
                  <w:tcBorders>
                    <w:top w:val="single" w:color="auto" w:sz="4" w:space="0"/>
                    <w:left w:val="single" w:color="auto" w:sz="4" w:space="0"/>
                    <w:bottom w:val="single" w:color="auto" w:sz="4" w:space="0"/>
                    <w:right w:val="single" w:color="auto" w:sz="4" w:space="0"/>
                  </w:tcBorders>
                  <w:shd w:val="clear" w:color="auto" w:fill="auto"/>
                  <w:noWrap/>
                  <w:vAlign w:val="center"/>
                </w:tcPr>
                <w:p w14:paraId="1DDE3C1A">
                  <w:pPr>
                    <w:pStyle w:val="29"/>
                    <w:rPr>
                      <w:color w:val="0000FF"/>
                    </w:rPr>
                  </w:pPr>
                  <w:r>
                    <w:rPr>
                      <w:rFonts w:eastAsia="等线"/>
                      <w:color w:val="0000FF"/>
                    </w:rPr>
                    <w:t>0.3780</w:t>
                  </w:r>
                </w:p>
              </w:tc>
              <w:tc>
                <w:tcPr>
                  <w:tcW w:w="709" w:type="dxa"/>
                  <w:tcBorders>
                    <w:top w:val="single" w:color="auto" w:sz="4" w:space="0"/>
                    <w:left w:val="single" w:color="auto" w:sz="4" w:space="0"/>
                    <w:bottom w:val="single" w:color="auto" w:sz="4" w:space="0"/>
                    <w:right w:val="single" w:color="auto" w:sz="4" w:space="0"/>
                  </w:tcBorders>
                  <w:shd w:val="clear" w:color="auto" w:fill="auto"/>
                  <w:noWrap/>
                  <w:vAlign w:val="center"/>
                </w:tcPr>
                <w:p w14:paraId="71B47CAC">
                  <w:pPr>
                    <w:pStyle w:val="29"/>
                    <w:rPr>
                      <w:color w:val="0000FF"/>
                    </w:rPr>
                  </w:pPr>
                  <w:r>
                    <w:rPr>
                      <w:rFonts w:eastAsia="等线"/>
                      <w:color w:val="0000FF"/>
                    </w:rPr>
                    <w:t>0.0512</w:t>
                  </w:r>
                </w:p>
              </w:tc>
              <w:tc>
                <w:tcPr>
                  <w:tcW w:w="852" w:type="dxa"/>
                  <w:tcBorders>
                    <w:top w:val="single" w:color="auto" w:sz="4" w:space="0"/>
                    <w:left w:val="single" w:color="auto" w:sz="4" w:space="0"/>
                    <w:bottom w:val="single" w:color="auto" w:sz="4" w:space="0"/>
                    <w:right w:val="single" w:color="auto" w:sz="4" w:space="0"/>
                  </w:tcBorders>
                  <w:shd w:val="clear" w:color="auto" w:fill="auto"/>
                  <w:noWrap/>
                  <w:vAlign w:val="center"/>
                </w:tcPr>
                <w:p w14:paraId="341FBA69">
                  <w:pPr>
                    <w:pStyle w:val="29"/>
                    <w:rPr>
                      <w:color w:val="0000FF"/>
                    </w:rPr>
                  </w:pPr>
                  <w:r>
                    <w:rPr>
                      <w:rFonts w:eastAsia="等线"/>
                      <w:color w:val="0000FF"/>
                    </w:rPr>
                    <w:t>3.9497</w:t>
                  </w:r>
                </w:p>
              </w:tc>
              <w:tc>
                <w:tcPr>
                  <w:tcW w:w="568" w:type="dxa"/>
                  <w:vMerge w:val="restart"/>
                  <w:vAlign w:val="center"/>
                </w:tcPr>
                <w:p w14:paraId="403F2596">
                  <w:pPr>
                    <w:pStyle w:val="29"/>
                  </w:pPr>
                  <w:r>
                    <w:t>半密闭型集气设备</w:t>
                  </w:r>
                </w:p>
              </w:tc>
              <w:tc>
                <w:tcPr>
                  <w:tcW w:w="655" w:type="dxa"/>
                  <w:vAlign w:val="center"/>
                </w:tcPr>
                <w:p w14:paraId="5191C45B">
                  <w:pPr>
                    <w:pStyle w:val="29"/>
                  </w:pPr>
                  <w:r>
                    <w:t>65</w:t>
                  </w:r>
                </w:p>
              </w:tc>
              <w:tc>
                <w:tcPr>
                  <w:tcW w:w="510" w:type="dxa"/>
                  <w:vMerge w:val="restart"/>
                  <w:vAlign w:val="center"/>
                </w:tcPr>
                <w:p w14:paraId="6026C13B">
                  <w:pPr>
                    <w:pStyle w:val="29"/>
                  </w:pPr>
                  <w:r>
                    <w:t>水喷淋+干式过滤+二级活性炭吸附</w:t>
                  </w:r>
                </w:p>
              </w:tc>
              <w:tc>
                <w:tcPr>
                  <w:tcW w:w="678" w:type="dxa"/>
                  <w:vAlign w:val="center"/>
                </w:tcPr>
                <w:p w14:paraId="465F6BA0">
                  <w:pPr>
                    <w:pStyle w:val="29"/>
                  </w:pPr>
                  <w:r>
                    <w:t>80</w:t>
                  </w:r>
                </w:p>
              </w:tc>
              <w:tc>
                <w:tcPr>
                  <w:tcW w:w="613" w:type="dxa"/>
                  <w:tcBorders>
                    <w:top w:val="single" w:color="auto" w:sz="4" w:space="0"/>
                    <w:left w:val="single" w:color="auto" w:sz="4" w:space="0"/>
                    <w:bottom w:val="single" w:color="auto" w:sz="4" w:space="0"/>
                    <w:right w:val="single" w:color="auto" w:sz="4" w:space="0"/>
                  </w:tcBorders>
                  <w:shd w:val="clear" w:color="auto" w:fill="auto"/>
                  <w:vAlign w:val="center"/>
                </w:tcPr>
                <w:p w14:paraId="2C370139">
                  <w:pPr>
                    <w:pStyle w:val="29"/>
                    <w:rPr>
                      <w:color w:val="0000FF"/>
                    </w:rPr>
                  </w:pPr>
                  <w:r>
                    <w:rPr>
                      <w:rFonts w:eastAsia="等线"/>
                      <w:color w:val="0000FF"/>
                    </w:rPr>
                    <w:t xml:space="preserve">0.1966 </w:t>
                  </w:r>
                </w:p>
              </w:tc>
              <w:tc>
                <w:tcPr>
                  <w:tcW w:w="680" w:type="dxa"/>
                  <w:vMerge w:val="restart"/>
                  <w:vAlign w:val="center"/>
                </w:tcPr>
                <w:p w14:paraId="65F5B7FA">
                  <w:pPr>
                    <w:pStyle w:val="29"/>
                    <w:rPr>
                      <w:color w:val="EE0000"/>
                    </w:rPr>
                  </w:pPr>
                  <w:r>
                    <w:t>是</w:t>
                  </w:r>
                </w:p>
              </w:tc>
              <w:tc>
                <w:tcPr>
                  <w:tcW w:w="576" w:type="dxa"/>
                  <w:vMerge w:val="restart"/>
                  <w:vAlign w:val="center"/>
                </w:tcPr>
                <w:p w14:paraId="0E7C8BFB">
                  <w:pPr>
                    <w:pStyle w:val="29"/>
                    <w:rPr>
                      <w:color w:val="0000FF"/>
                    </w:rPr>
                  </w:pPr>
                  <w:r>
                    <w:rPr>
                      <w:rFonts w:hint="eastAsia"/>
                      <w:color w:val="0000FF"/>
                    </w:rPr>
                    <w:t>29180</w:t>
                  </w:r>
                </w:p>
              </w:tc>
              <w:tc>
                <w:tcPr>
                  <w:tcW w:w="715" w:type="dxa"/>
                  <w:tcBorders>
                    <w:top w:val="single" w:color="auto" w:sz="4" w:space="0"/>
                    <w:left w:val="single" w:color="auto" w:sz="4" w:space="0"/>
                    <w:bottom w:val="single" w:color="auto" w:sz="4" w:space="0"/>
                    <w:right w:val="single" w:color="auto" w:sz="4" w:space="0"/>
                  </w:tcBorders>
                  <w:shd w:val="clear" w:color="auto" w:fill="auto"/>
                  <w:vAlign w:val="center"/>
                </w:tcPr>
                <w:p w14:paraId="55B0AC4B">
                  <w:pPr>
                    <w:pStyle w:val="29"/>
                    <w:rPr>
                      <w:color w:val="0000FF"/>
                    </w:rPr>
                  </w:pPr>
                  <w:r>
                    <w:rPr>
                      <w:rFonts w:eastAsia="等线"/>
                      <w:color w:val="0000FF"/>
                    </w:rPr>
                    <w:t>0.2457</w:t>
                  </w:r>
                </w:p>
              </w:tc>
              <w:tc>
                <w:tcPr>
                  <w:tcW w:w="818" w:type="dxa"/>
                  <w:gridSpan w:val="3"/>
                  <w:tcBorders>
                    <w:top w:val="single" w:color="auto" w:sz="4" w:space="0"/>
                    <w:left w:val="single" w:color="auto" w:sz="4" w:space="0"/>
                    <w:bottom w:val="single" w:color="auto" w:sz="4" w:space="0"/>
                    <w:right w:val="single" w:color="auto" w:sz="4" w:space="0"/>
                  </w:tcBorders>
                  <w:shd w:val="clear" w:color="auto" w:fill="auto"/>
                  <w:vAlign w:val="center"/>
                </w:tcPr>
                <w:p w14:paraId="75CEAAE9">
                  <w:pPr>
                    <w:pStyle w:val="29"/>
                    <w:rPr>
                      <w:color w:val="0000FF"/>
                    </w:rPr>
                  </w:pPr>
                  <w:r>
                    <w:rPr>
                      <w:rFonts w:eastAsia="等线"/>
                      <w:color w:val="0000FF"/>
                    </w:rPr>
                    <w:t>0.0102</w:t>
                  </w:r>
                </w:p>
              </w:tc>
              <w:tc>
                <w:tcPr>
                  <w:tcW w:w="850" w:type="dxa"/>
                  <w:tcBorders>
                    <w:top w:val="single" w:color="auto" w:sz="4" w:space="0"/>
                    <w:left w:val="nil"/>
                    <w:bottom w:val="single" w:color="auto" w:sz="4" w:space="0"/>
                    <w:right w:val="single" w:color="auto" w:sz="4" w:space="0"/>
                  </w:tcBorders>
                  <w:shd w:val="clear" w:color="auto" w:fill="auto"/>
                  <w:vAlign w:val="center"/>
                </w:tcPr>
                <w:p w14:paraId="147F9B8B">
                  <w:pPr>
                    <w:pStyle w:val="29"/>
                    <w:rPr>
                      <w:color w:val="0000FF"/>
                    </w:rPr>
                  </w:pPr>
                  <w:r>
                    <w:rPr>
                      <w:rFonts w:eastAsia="等线"/>
                      <w:color w:val="0000FF"/>
                    </w:rPr>
                    <w:t>0.3506</w:t>
                  </w:r>
                </w:p>
              </w:tc>
              <w:tc>
                <w:tcPr>
                  <w:tcW w:w="522" w:type="dxa"/>
                  <w:vMerge w:val="restart"/>
                  <w:vAlign w:val="center"/>
                </w:tcPr>
                <w:p w14:paraId="7E7ED060">
                  <w:pPr>
                    <w:pStyle w:val="29"/>
                  </w:pPr>
                  <w:r>
                    <w:t>DA001</w:t>
                  </w:r>
                </w:p>
              </w:tc>
            </w:tr>
            <w:tr w14:paraId="43B51B27">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40" w:hRule="atLeast"/>
              </w:trPr>
              <w:tc>
                <w:tcPr>
                  <w:tcW w:w="450" w:type="dxa"/>
                  <w:vMerge w:val="continue"/>
                  <w:vAlign w:val="center"/>
                </w:tcPr>
                <w:p w14:paraId="3D48868E">
                  <w:pPr>
                    <w:pStyle w:val="29"/>
                  </w:pPr>
                </w:p>
              </w:tc>
              <w:tc>
                <w:tcPr>
                  <w:tcW w:w="1448" w:type="dxa"/>
                  <w:noWrap/>
                  <w:vAlign w:val="center"/>
                </w:tcPr>
                <w:p w14:paraId="225ECB88">
                  <w:pPr>
                    <w:pStyle w:val="29"/>
                  </w:pPr>
                  <w:r>
                    <w:rPr>
                      <w:rFonts w:hint="eastAsia"/>
                      <w:color w:val="EE0000"/>
                    </w:rPr>
                    <w:t>胶合</w:t>
                  </w:r>
                </w:p>
              </w:tc>
              <w:tc>
                <w:tcPr>
                  <w:tcW w:w="547" w:type="dxa"/>
                  <w:tcBorders>
                    <w:top w:val="single" w:color="auto" w:sz="4" w:space="0"/>
                    <w:left w:val="nil"/>
                    <w:bottom w:val="single" w:color="auto" w:sz="4" w:space="0"/>
                    <w:right w:val="nil"/>
                  </w:tcBorders>
                  <w:shd w:val="clear" w:color="auto" w:fill="auto"/>
                  <w:vAlign w:val="center"/>
                </w:tcPr>
                <w:p w14:paraId="27472BF9">
                  <w:pPr>
                    <w:pStyle w:val="29"/>
                    <w:rPr>
                      <w:color w:val="EE0000"/>
                    </w:rPr>
                  </w:pPr>
                  <w:r>
                    <w:rPr>
                      <w:color w:val="0000FF"/>
                    </w:rPr>
                    <w:t>1080</w:t>
                  </w:r>
                </w:p>
              </w:tc>
              <w:tc>
                <w:tcPr>
                  <w:tcW w:w="1145" w:type="dxa"/>
                  <w:noWrap/>
                  <w:vAlign w:val="center"/>
                </w:tcPr>
                <w:p w14:paraId="4E6E6024">
                  <w:pPr>
                    <w:pStyle w:val="29"/>
                    <w:rPr>
                      <w:color w:val="0000FF"/>
                    </w:rPr>
                  </w:pPr>
                  <w:r>
                    <w:rPr>
                      <w:rFonts w:hint="eastAsia"/>
                      <w:color w:val="0000FF"/>
                    </w:rPr>
                    <w:t>非甲烷总烃</w:t>
                  </w:r>
                </w:p>
              </w:tc>
              <w:tc>
                <w:tcPr>
                  <w:tcW w:w="697" w:type="dxa"/>
                  <w:tcBorders>
                    <w:top w:val="nil"/>
                    <w:left w:val="single" w:color="auto" w:sz="4" w:space="0"/>
                    <w:bottom w:val="single" w:color="auto" w:sz="4" w:space="0"/>
                    <w:right w:val="single" w:color="auto" w:sz="4" w:space="0"/>
                  </w:tcBorders>
                  <w:shd w:val="clear" w:color="auto" w:fill="auto"/>
                  <w:noWrap/>
                  <w:vAlign w:val="center"/>
                </w:tcPr>
                <w:p w14:paraId="7B6B262F">
                  <w:pPr>
                    <w:pStyle w:val="29"/>
                    <w:rPr>
                      <w:color w:val="0000FF"/>
                    </w:rPr>
                  </w:pPr>
                  <w:r>
                    <w:rPr>
                      <w:rFonts w:eastAsia="等线"/>
                      <w:color w:val="0000FF"/>
                    </w:rPr>
                    <w:t>0.0002</w:t>
                  </w:r>
                </w:p>
              </w:tc>
              <w:tc>
                <w:tcPr>
                  <w:tcW w:w="709" w:type="dxa"/>
                  <w:tcBorders>
                    <w:top w:val="nil"/>
                    <w:left w:val="single" w:color="auto" w:sz="4" w:space="0"/>
                    <w:bottom w:val="single" w:color="auto" w:sz="4" w:space="0"/>
                    <w:right w:val="single" w:color="auto" w:sz="4" w:space="0"/>
                  </w:tcBorders>
                  <w:shd w:val="clear" w:color="auto" w:fill="auto"/>
                  <w:noWrap/>
                  <w:vAlign w:val="center"/>
                </w:tcPr>
                <w:p w14:paraId="58A4C27F">
                  <w:pPr>
                    <w:pStyle w:val="29"/>
                    <w:rPr>
                      <w:color w:val="0000FF"/>
                    </w:rPr>
                  </w:pPr>
                  <w:r>
                    <w:rPr>
                      <w:rFonts w:eastAsia="等线"/>
                      <w:color w:val="0000FF"/>
                    </w:rPr>
                    <w:t>0.0002</w:t>
                  </w:r>
                </w:p>
              </w:tc>
              <w:tc>
                <w:tcPr>
                  <w:tcW w:w="852" w:type="dxa"/>
                  <w:tcBorders>
                    <w:top w:val="nil"/>
                    <w:left w:val="single" w:color="auto" w:sz="4" w:space="0"/>
                    <w:bottom w:val="single" w:color="auto" w:sz="4" w:space="0"/>
                    <w:right w:val="single" w:color="auto" w:sz="4" w:space="0"/>
                  </w:tcBorders>
                  <w:shd w:val="clear" w:color="auto" w:fill="auto"/>
                  <w:noWrap/>
                  <w:vAlign w:val="center"/>
                </w:tcPr>
                <w:p w14:paraId="43C671DB">
                  <w:pPr>
                    <w:pStyle w:val="29"/>
                    <w:rPr>
                      <w:color w:val="0000FF"/>
                    </w:rPr>
                  </w:pPr>
                  <w:r>
                    <w:rPr>
                      <w:rFonts w:eastAsia="等线"/>
                      <w:color w:val="0000FF"/>
                    </w:rPr>
                    <w:t>0.2006</w:t>
                  </w:r>
                </w:p>
              </w:tc>
              <w:tc>
                <w:tcPr>
                  <w:tcW w:w="568" w:type="dxa"/>
                  <w:vMerge w:val="continue"/>
                  <w:vAlign w:val="center"/>
                </w:tcPr>
                <w:p w14:paraId="2F0AB1BB">
                  <w:pPr>
                    <w:pStyle w:val="29"/>
                  </w:pPr>
                </w:p>
              </w:tc>
              <w:tc>
                <w:tcPr>
                  <w:tcW w:w="655" w:type="dxa"/>
                  <w:vAlign w:val="center"/>
                </w:tcPr>
                <w:p w14:paraId="48511E3D">
                  <w:pPr>
                    <w:pStyle w:val="29"/>
                  </w:pPr>
                  <w:r>
                    <w:t>65</w:t>
                  </w:r>
                </w:p>
              </w:tc>
              <w:tc>
                <w:tcPr>
                  <w:tcW w:w="510" w:type="dxa"/>
                  <w:vMerge w:val="continue"/>
                  <w:vAlign w:val="center"/>
                </w:tcPr>
                <w:p w14:paraId="6B01D2B0">
                  <w:pPr>
                    <w:pStyle w:val="29"/>
                  </w:pPr>
                </w:p>
              </w:tc>
              <w:tc>
                <w:tcPr>
                  <w:tcW w:w="678" w:type="dxa"/>
                  <w:vAlign w:val="center"/>
                </w:tcPr>
                <w:p w14:paraId="5A1B0434">
                  <w:pPr>
                    <w:pStyle w:val="29"/>
                  </w:pPr>
                  <w:r>
                    <w:t>80</w:t>
                  </w:r>
                </w:p>
              </w:tc>
              <w:tc>
                <w:tcPr>
                  <w:tcW w:w="613" w:type="dxa"/>
                  <w:tcBorders>
                    <w:top w:val="nil"/>
                    <w:left w:val="single" w:color="auto" w:sz="4" w:space="0"/>
                    <w:bottom w:val="single" w:color="auto" w:sz="4" w:space="0"/>
                    <w:right w:val="single" w:color="auto" w:sz="4" w:space="0"/>
                  </w:tcBorders>
                  <w:shd w:val="clear" w:color="auto" w:fill="auto"/>
                  <w:vAlign w:val="center"/>
                </w:tcPr>
                <w:p w14:paraId="2DC92AC5">
                  <w:pPr>
                    <w:pStyle w:val="29"/>
                    <w:rPr>
                      <w:color w:val="0000FF"/>
                    </w:rPr>
                  </w:pPr>
                  <w:r>
                    <w:rPr>
                      <w:rFonts w:eastAsia="等线"/>
                      <w:color w:val="0000FF"/>
                    </w:rPr>
                    <w:t xml:space="preserve">0.0001 </w:t>
                  </w:r>
                </w:p>
              </w:tc>
              <w:tc>
                <w:tcPr>
                  <w:tcW w:w="680" w:type="dxa"/>
                  <w:vMerge w:val="continue"/>
                </w:tcPr>
                <w:p w14:paraId="74323A1B">
                  <w:pPr>
                    <w:pStyle w:val="29"/>
                    <w:rPr>
                      <w:color w:val="EE0000"/>
                    </w:rPr>
                  </w:pPr>
                </w:p>
              </w:tc>
              <w:tc>
                <w:tcPr>
                  <w:tcW w:w="576" w:type="dxa"/>
                  <w:vMerge w:val="continue"/>
                  <w:vAlign w:val="center"/>
                </w:tcPr>
                <w:p w14:paraId="7AD80205">
                  <w:pPr>
                    <w:pStyle w:val="29"/>
                    <w:rPr>
                      <w:color w:val="EE0000"/>
                    </w:rPr>
                  </w:pPr>
                </w:p>
              </w:tc>
              <w:tc>
                <w:tcPr>
                  <w:tcW w:w="715" w:type="dxa"/>
                  <w:tcBorders>
                    <w:top w:val="nil"/>
                    <w:left w:val="single" w:color="auto" w:sz="4" w:space="0"/>
                    <w:bottom w:val="single" w:color="auto" w:sz="4" w:space="0"/>
                    <w:right w:val="single" w:color="auto" w:sz="4" w:space="0"/>
                  </w:tcBorders>
                  <w:shd w:val="clear" w:color="auto" w:fill="auto"/>
                  <w:vAlign w:val="center"/>
                </w:tcPr>
                <w:p w14:paraId="597D30A1">
                  <w:pPr>
                    <w:pStyle w:val="29"/>
                    <w:rPr>
                      <w:color w:val="0000FF"/>
                    </w:rPr>
                  </w:pPr>
                  <w:r>
                    <w:rPr>
                      <w:rFonts w:eastAsia="等线"/>
                      <w:color w:val="0000FF"/>
                    </w:rPr>
                    <w:t>0.0001</w:t>
                  </w:r>
                </w:p>
              </w:tc>
              <w:tc>
                <w:tcPr>
                  <w:tcW w:w="818" w:type="dxa"/>
                  <w:gridSpan w:val="3"/>
                  <w:tcBorders>
                    <w:top w:val="nil"/>
                    <w:left w:val="single" w:color="auto" w:sz="4" w:space="0"/>
                    <w:bottom w:val="single" w:color="auto" w:sz="4" w:space="0"/>
                    <w:right w:val="single" w:color="auto" w:sz="4" w:space="0"/>
                  </w:tcBorders>
                  <w:shd w:val="clear" w:color="auto" w:fill="auto"/>
                  <w:vAlign w:val="center"/>
                </w:tcPr>
                <w:p w14:paraId="32BF865A">
                  <w:pPr>
                    <w:pStyle w:val="29"/>
                    <w:rPr>
                      <w:color w:val="0000FF"/>
                    </w:rPr>
                  </w:pPr>
                  <w:r>
                    <w:t>少量</w:t>
                  </w:r>
                </w:p>
              </w:tc>
              <w:tc>
                <w:tcPr>
                  <w:tcW w:w="850" w:type="dxa"/>
                  <w:tcBorders>
                    <w:top w:val="nil"/>
                    <w:left w:val="nil"/>
                    <w:bottom w:val="single" w:color="auto" w:sz="4" w:space="0"/>
                    <w:right w:val="single" w:color="auto" w:sz="4" w:space="0"/>
                  </w:tcBorders>
                  <w:shd w:val="clear" w:color="auto" w:fill="auto"/>
                  <w:vAlign w:val="center"/>
                </w:tcPr>
                <w:p w14:paraId="7891F9D1">
                  <w:pPr>
                    <w:pStyle w:val="29"/>
                    <w:rPr>
                      <w:color w:val="0000FF"/>
                    </w:rPr>
                  </w:pPr>
                  <w:r>
                    <w:t>少量</w:t>
                  </w:r>
                </w:p>
              </w:tc>
              <w:tc>
                <w:tcPr>
                  <w:tcW w:w="522" w:type="dxa"/>
                  <w:vMerge w:val="continue"/>
                  <w:vAlign w:val="center"/>
                </w:tcPr>
                <w:p w14:paraId="1329BFF0">
                  <w:pPr>
                    <w:pStyle w:val="29"/>
                  </w:pPr>
                </w:p>
              </w:tc>
            </w:tr>
            <w:tr w14:paraId="3789D98B">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40" w:hRule="atLeast"/>
              </w:trPr>
              <w:tc>
                <w:tcPr>
                  <w:tcW w:w="450" w:type="dxa"/>
                  <w:vMerge w:val="continue"/>
                  <w:vAlign w:val="center"/>
                </w:tcPr>
                <w:p w14:paraId="5EB94A7C">
                  <w:pPr>
                    <w:pStyle w:val="29"/>
                  </w:pPr>
                </w:p>
              </w:tc>
              <w:tc>
                <w:tcPr>
                  <w:tcW w:w="1448" w:type="dxa"/>
                  <w:noWrap/>
                  <w:vAlign w:val="center"/>
                </w:tcPr>
                <w:p w14:paraId="056B5D67">
                  <w:pPr>
                    <w:pStyle w:val="29"/>
                  </w:pPr>
                  <w:r>
                    <w:t>印刷</w:t>
                  </w:r>
                </w:p>
              </w:tc>
              <w:tc>
                <w:tcPr>
                  <w:tcW w:w="547" w:type="dxa"/>
                  <w:vMerge w:val="restart"/>
                  <w:tcBorders>
                    <w:top w:val="single" w:color="auto" w:sz="4" w:space="0"/>
                    <w:left w:val="single" w:color="auto" w:sz="4" w:space="0"/>
                    <w:right w:val="nil"/>
                  </w:tcBorders>
                  <w:shd w:val="clear" w:color="auto" w:fill="auto"/>
                  <w:vAlign w:val="center"/>
                </w:tcPr>
                <w:p w14:paraId="619E0347">
                  <w:pPr>
                    <w:pStyle w:val="29"/>
                    <w:rPr>
                      <w:color w:val="0000FF"/>
                    </w:rPr>
                  </w:pPr>
                  <w:r>
                    <w:rPr>
                      <w:rFonts w:hint="eastAsia"/>
                      <w:color w:val="0000FF"/>
                    </w:rPr>
                    <w:t>8640</w:t>
                  </w:r>
                </w:p>
              </w:tc>
              <w:tc>
                <w:tcPr>
                  <w:tcW w:w="1145" w:type="dxa"/>
                  <w:noWrap/>
                  <w:vAlign w:val="center"/>
                </w:tcPr>
                <w:p w14:paraId="0A1AB9D9">
                  <w:pPr>
                    <w:pStyle w:val="29"/>
                    <w:rPr>
                      <w:color w:val="0000FF"/>
                    </w:rPr>
                  </w:pPr>
                  <w:r>
                    <w:rPr>
                      <w:rFonts w:hint="eastAsia"/>
                      <w:color w:val="0000FF"/>
                    </w:rPr>
                    <w:t>非甲烷总烃</w:t>
                  </w:r>
                </w:p>
              </w:tc>
              <w:tc>
                <w:tcPr>
                  <w:tcW w:w="697" w:type="dxa"/>
                  <w:tcBorders>
                    <w:top w:val="nil"/>
                    <w:left w:val="single" w:color="auto" w:sz="4" w:space="0"/>
                    <w:bottom w:val="single" w:color="auto" w:sz="4" w:space="0"/>
                    <w:right w:val="single" w:color="auto" w:sz="4" w:space="0"/>
                  </w:tcBorders>
                  <w:shd w:val="clear" w:color="auto" w:fill="auto"/>
                  <w:noWrap/>
                  <w:vAlign w:val="center"/>
                </w:tcPr>
                <w:p w14:paraId="3E5879E6">
                  <w:pPr>
                    <w:pStyle w:val="29"/>
                    <w:rPr>
                      <w:color w:val="0000FF"/>
                    </w:rPr>
                  </w:pPr>
                  <w:r>
                    <w:rPr>
                      <w:rFonts w:eastAsia="等线"/>
                      <w:color w:val="0000FF"/>
                    </w:rPr>
                    <w:t>0.0016</w:t>
                  </w:r>
                </w:p>
              </w:tc>
              <w:tc>
                <w:tcPr>
                  <w:tcW w:w="709" w:type="dxa"/>
                  <w:tcBorders>
                    <w:top w:val="nil"/>
                    <w:left w:val="single" w:color="auto" w:sz="4" w:space="0"/>
                    <w:bottom w:val="single" w:color="auto" w:sz="4" w:space="0"/>
                    <w:right w:val="single" w:color="auto" w:sz="4" w:space="0"/>
                  </w:tcBorders>
                  <w:shd w:val="clear" w:color="auto" w:fill="auto"/>
                  <w:noWrap/>
                  <w:vAlign w:val="center"/>
                </w:tcPr>
                <w:p w14:paraId="634942A3">
                  <w:pPr>
                    <w:pStyle w:val="29"/>
                    <w:rPr>
                      <w:color w:val="0000FF"/>
                    </w:rPr>
                  </w:pPr>
                  <w:r>
                    <w:rPr>
                      <w:rFonts w:eastAsia="等线"/>
                      <w:color w:val="0000FF"/>
                    </w:rPr>
                    <w:t>0.0012</w:t>
                  </w:r>
                </w:p>
              </w:tc>
              <w:tc>
                <w:tcPr>
                  <w:tcW w:w="852" w:type="dxa"/>
                  <w:tcBorders>
                    <w:top w:val="nil"/>
                    <w:left w:val="single" w:color="auto" w:sz="4" w:space="0"/>
                    <w:bottom w:val="single" w:color="auto" w:sz="4" w:space="0"/>
                    <w:right w:val="single" w:color="auto" w:sz="4" w:space="0"/>
                  </w:tcBorders>
                  <w:shd w:val="clear" w:color="auto" w:fill="auto"/>
                  <w:noWrap/>
                  <w:vAlign w:val="center"/>
                </w:tcPr>
                <w:p w14:paraId="0C8E4CD2">
                  <w:pPr>
                    <w:pStyle w:val="29"/>
                    <w:rPr>
                      <w:color w:val="0000FF"/>
                    </w:rPr>
                  </w:pPr>
                  <w:r>
                    <w:rPr>
                      <w:rFonts w:eastAsia="等线"/>
                      <w:color w:val="0000FF"/>
                    </w:rPr>
                    <w:t>0.1337</w:t>
                  </w:r>
                </w:p>
              </w:tc>
              <w:tc>
                <w:tcPr>
                  <w:tcW w:w="568" w:type="dxa"/>
                  <w:vMerge w:val="continue"/>
                  <w:vAlign w:val="center"/>
                </w:tcPr>
                <w:p w14:paraId="4A25D374">
                  <w:pPr>
                    <w:pStyle w:val="29"/>
                  </w:pPr>
                </w:p>
              </w:tc>
              <w:tc>
                <w:tcPr>
                  <w:tcW w:w="655" w:type="dxa"/>
                  <w:vAlign w:val="center"/>
                </w:tcPr>
                <w:p w14:paraId="282DE7B4">
                  <w:pPr>
                    <w:pStyle w:val="29"/>
                    <w:rPr>
                      <w:color w:val="EE0000"/>
                    </w:rPr>
                  </w:pPr>
                  <w:r>
                    <w:t>65</w:t>
                  </w:r>
                </w:p>
              </w:tc>
              <w:tc>
                <w:tcPr>
                  <w:tcW w:w="510" w:type="dxa"/>
                  <w:vMerge w:val="continue"/>
                  <w:vAlign w:val="center"/>
                </w:tcPr>
                <w:p w14:paraId="041EA0B6">
                  <w:pPr>
                    <w:pStyle w:val="29"/>
                  </w:pPr>
                </w:p>
              </w:tc>
              <w:tc>
                <w:tcPr>
                  <w:tcW w:w="678" w:type="dxa"/>
                  <w:vAlign w:val="center"/>
                </w:tcPr>
                <w:p w14:paraId="210F7F47">
                  <w:pPr>
                    <w:pStyle w:val="29"/>
                  </w:pPr>
                  <w:r>
                    <w:t>80</w:t>
                  </w:r>
                </w:p>
              </w:tc>
              <w:tc>
                <w:tcPr>
                  <w:tcW w:w="613" w:type="dxa"/>
                  <w:tcBorders>
                    <w:top w:val="nil"/>
                    <w:left w:val="single" w:color="auto" w:sz="4" w:space="0"/>
                    <w:bottom w:val="single" w:color="auto" w:sz="4" w:space="0"/>
                    <w:right w:val="single" w:color="auto" w:sz="4" w:space="0"/>
                  </w:tcBorders>
                  <w:shd w:val="clear" w:color="auto" w:fill="auto"/>
                  <w:vAlign w:val="center"/>
                </w:tcPr>
                <w:p w14:paraId="0E3BDF3A">
                  <w:pPr>
                    <w:pStyle w:val="29"/>
                    <w:rPr>
                      <w:color w:val="0000FF"/>
                    </w:rPr>
                  </w:pPr>
                  <w:r>
                    <w:rPr>
                      <w:rFonts w:eastAsia="等线"/>
                      <w:color w:val="0000FF"/>
                    </w:rPr>
                    <w:t xml:space="preserve">0.0008 </w:t>
                  </w:r>
                </w:p>
              </w:tc>
              <w:tc>
                <w:tcPr>
                  <w:tcW w:w="680" w:type="dxa"/>
                  <w:vMerge w:val="continue"/>
                </w:tcPr>
                <w:p w14:paraId="0CA75DAB">
                  <w:pPr>
                    <w:pStyle w:val="29"/>
                    <w:rPr>
                      <w:color w:val="EE0000"/>
                    </w:rPr>
                  </w:pPr>
                </w:p>
              </w:tc>
              <w:tc>
                <w:tcPr>
                  <w:tcW w:w="576" w:type="dxa"/>
                  <w:vMerge w:val="continue"/>
                  <w:vAlign w:val="center"/>
                </w:tcPr>
                <w:p w14:paraId="661E3249">
                  <w:pPr>
                    <w:pStyle w:val="29"/>
                    <w:rPr>
                      <w:color w:val="EE0000"/>
                    </w:rPr>
                  </w:pPr>
                </w:p>
              </w:tc>
              <w:tc>
                <w:tcPr>
                  <w:tcW w:w="715" w:type="dxa"/>
                  <w:tcBorders>
                    <w:top w:val="nil"/>
                    <w:left w:val="single" w:color="auto" w:sz="4" w:space="0"/>
                    <w:bottom w:val="single" w:color="auto" w:sz="4" w:space="0"/>
                    <w:right w:val="single" w:color="auto" w:sz="4" w:space="0"/>
                  </w:tcBorders>
                  <w:shd w:val="clear" w:color="auto" w:fill="auto"/>
                  <w:vAlign w:val="center"/>
                </w:tcPr>
                <w:p w14:paraId="6A929ADC">
                  <w:pPr>
                    <w:pStyle w:val="29"/>
                    <w:rPr>
                      <w:color w:val="0000FF"/>
                    </w:rPr>
                  </w:pPr>
                  <w:r>
                    <w:rPr>
                      <w:rFonts w:eastAsia="等线"/>
                      <w:color w:val="0000FF"/>
                    </w:rPr>
                    <w:t>0.0010</w:t>
                  </w:r>
                </w:p>
              </w:tc>
              <w:tc>
                <w:tcPr>
                  <w:tcW w:w="818" w:type="dxa"/>
                  <w:gridSpan w:val="3"/>
                  <w:tcBorders>
                    <w:top w:val="nil"/>
                    <w:left w:val="single" w:color="auto" w:sz="4" w:space="0"/>
                    <w:bottom w:val="single" w:color="auto" w:sz="4" w:space="0"/>
                    <w:right w:val="single" w:color="auto" w:sz="4" w:space="0"/>
                  </w:tcBorders>
                  <w:shd w:val="clear" w:color="auto" w:fill="auto"/>
                  <w:vAlign w:val="center"/>
                </w:tcPr>
                <w:p w14:paraId="154BE27C">
                  <w:pPr>
                    <w:pStyle w:val="29"/>
                    <w:rPr>
                      <w:color w:val="0000FF"/>
                    </w:rPr>
                  </w:pPr>
                  <w:r>
                    <w:rPr>
                      <w:rFonts w:eastAsia="等线"/>
                      <w:color w:val="0000FF"/>
                    </w:rPr>
                    <w:t>0.0002</w:t>
                  </w:r>
                </w:p>
              </w:tc>
              <w:tc>
                <w:tcPr>
                  <w:tcW w:w="850" w:type="dxa"/>
                  <w:tcBorders>
                    <w:top w:val="nil"/>
                    <w:left w:val="nil"/>
                    <w:bottom w:val="single" w:color="auto" w:sz="4" w:space="0"/>
                    <w:right w:val="single" w:color="auto" w:sz="4" w:space="0"/>
                  </w:tcBorders>
                  <w:shd w:val="clear" w:color="auto" w:fill="auto"/>
                  <w:vAlign w:val="center"/>
                </w:tcPr>
                <w:p w14:paraId="1B3C6C7E">
                  <w:pPr>
                    <w:pStyle w:val="29"/>
                    <w:rPr>
                      <w:color w:val="0000FF"/>
                    </w:rPr>
                  </w:pPr>
                  <w:r>
                    <w:rPr>
                      <w:rFonts w:eastAsia="等线"/>
                      <w:color w:val="0000FF"/>
                    </w:rPr>
                    <w:t>0.0076</w:t>
                  </w:r>
                </w:p>
              </w:tc>
              <w:tc>
                <w:tcPr>
                  <w:tcW w:w="522" w:type="dxa"/>
                  <w:vMerge w:val="continue"/>
                  <w:vAlign w:val="center"/>
                </w:tcPr>
                <w:p w14:paraId="781ACF26">
                  <w:pPr>
                    <w:pStyle w:val="29"/>
                  </w:pPr>
                </w:p>
              </w:tc>
            </w:tr>
            <w:tr w14:paraId="5B70254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40" w:hRule="atLeast"/>
              </w:trPr>
              <w:tc>
                <w:tcPr>
                  <w:tcW w:w="450" w:type="dxa"/>
                  <w:vMerge w:val="continue"/>
                  <w:vAlign w:val="center"/>
                </w:tcPr>
                <w:p w14:paraId="13151407">
                  <w:pPr>
                    <w:pStyle w:val="29"/>
                  </w:pPr>
                </w:p>
              </w:tc>
              <w:tc>
                <w:tcPr>
                  <w:tcW w:w="1448" w:type="dxa"/>
                  <w:noWrap/>
                  <w:vAlign w:val="center"/>
                </w:tcPr>
                <w:p w14:paraId="2AAE02E5">
                  <w:pPr>
                    <w:pStyle w:val="29"/>
                  </w:pPr>
                  <w:r>
                    <w:rPr>
                      <w:color w:val="0000FF"/>
                    </w:rPr>
                    <w:t>印刷</w:t>
                  </w:r>
                  <w:r>
                    <w:rPr>
                      <w:rFonts w:hint="eastAsia"/>
                      <w:color w:val="0000FF"/>
                    </w:rPr>
                    <w:t>机清洗</w:t>
                  </w:r>
                </w:p>
              </w:tc>
              <w:tc>
                <w:tcPr>
                  <w:tcW w:w="547" w:type="dxa"/>
                  <w:vMerge w:val="continue"/>
                  <w:tcBorders>
                    <w:left w:val="single" w:color="auto" w:sz="4" w:space="0"/>
                    <w:bottom w:val="single" w:color="auto" w:sz="4" w:space="0"/>
                    <w:right w:val="nil"/>
                  </w:tcBorders>
                  <w:shd w:val="clear" w:color="auto" w:fill="auto"/>
                  <w:vAlign w:val="center"/>
                </w:tcPr>
                <w:p w14:paraId="70B1E76D">
                  <w:pPr>
                    <w:pStyle w:val="29"/>
                    <w:rPr>
                      <w:color w:val="0000FF"/>
                    </w:rPr>
                  </w:pPr>
                </w:p>
              </w:tc>
              <w:tc>
                <w:tcPr>
                  <w:tcW w:w="1145" w:type="dxa"/>
                  <w:noWrap/>
                  <w:vAlign w:val="center"/>
                </w:tcPr>
                <w:p w14:paraId="74083170">
                  <w:pPr>
                    <w:pStyle w:val="29"/>
                    <w:rPr>
                      <w:color w:val="0000FF"/>
                    </w:rPr>
                  </w:pPr>
                  <w:r>
                    <w:rPr>
                      <w:rFonts w:hint="eastAsia"/>
                      <w:color w:val="0000FF"/>
                    </w:rPr>
                    <w:t>非甲烷总烃</w:t>
                  </w:r>
                </w:p>
              </w:tc>
              <w:tc>
                <w:tcPr>
                  <w:tcW w:w="697" w:type="dxa"/>
                  <w:tcBorders>
                    <w:top w:val="nil"/>
                    <w:left w:val="single" w:color="auto" w:sz="4" w:space="0"/>
                    <w:bottom w:val="single" w:color="auto" w:sz="4" w:space="0"/>
                    <w:right w:val="single" w:color="auto" w:sz="4" w:space="0"/>
                  </w:tcBorders>
                  <w:shd w:val="clear" w:color="auto" w:fill="auto"/>
                  <w:noWrap/>
                  <w:vAlign w:val="center"/>
                </w:tcPr>
                <w:p w14:paraId="795D84CE">
                  <w:pPr>
                    <w:pStyle w:val="29"/>
                    <w:rPr>
                      <w:color w:val="0000FF"/>
                    </w:rPr>
                  </w:pPr>
                  <w:r>
                    <w:rPr>
                      <w:rFonts w:eastAsia="等线"/>
                      <w:color w:val="0000FF"/>
                    </w:rPr>
                    <w:t>0.0006</w:t>
                  </w:r>
                </w:p>
              </w:tc>
              <w:tc>
                <w:tcPr>
                  <w:tcW w:w="709" w:type="dxa"/>
                  <w:tcBorders>
                    <w:top w:val="nil"/>
                    <w:left w:val="single" w:color="auto" w:sz="4" w:space="0"/>
                    <w:bottom w:val="single" w:color="auto" w:sz="4" w:space="0"/>
                    <w:right w:val="single" w:color="auto" w:sz="4" w:space="0"/>
                  </w:tcBorders>
                  <w:shd w:val="clear" w:color="auto" w:fill="auto"/>
                  <w:noWrap/>
                  <w:vAlign w:val="center"/>
                </w:tcPr>
                <w:p w14:paraId="13BCBB10">
                  <w:pPr>
                    <w:pStyle w:val="29"/>
                    <w:rPr>
                      <w:color w:val="0000FF"/>
                    </w:rPr>
                  </w:pPr>
                  <w:r>
                    <w:rPr>
                      <w:rFonts w:eastAsia="等线"/>
                      <w:color w:val="0000FF"/>
                    </w:rPr>
                    <w:t>0.0004</w:t>
                  </w:r>
                </w:p>
              </w:tc>
              <w:tc>
                <w:tcPr>
                  <w:tcW w:w="852" w:type="dxa"/>
                  <w:tcBorders>
                    <w:top w:val="nil"/>
                    <w:left w:val="single" w:color="auto" w:sz="4" w:space="0"/>
                    <w:bottom w:val="single" w:color="auto" w:sz="4" w:space="0"/>
                    <w:right w:val="single" w:color="auto" w:sz="4" w:space="0"/>
                  </w:tcBorders>
                  <w:shd w:val="clear" w:color="auto" w:fill="auto"/>
                  <w:noWrap/>
                  <w:vAlign w:val="center"/>
                </w:tcPr>
                <w:p w14:paraId="4A6121C3">
                  <w:pPr>
                    <w:pStyle w:val="29"/>
                    <w:rPr>
                      <w:color w:val="0000FF"/>
                    </w:rPr>
                  </w:pPr>
                  <w:r>
                    <w:rPr>
                      <w:rFonts w:eastAsia="等线"/>
                      <w:color w:val="0000FF"/>
                    </w:rPr>
                    <w:t>0.0502</w:t>
                  </w:r>
                </w:p>
              </w:tc>
              <w:tc>
                <w:tcPr>
                  <w:tcW w:w="568" w:type="dxa"/>
                  <w:vMerge w:val="continue"/>
                  <w:vAlign w:val="center"/>
                </w:tcPr>
                <w:p w14:paraId="0B592496">
                  <w:pPr>
                    <w:pStyle w:val="29"/>
                  </w:pPr>
                </w:p>
              </w:tc>
              <w:tc>
                <w:tcPr>
                  <w:tcW w:w="655" w:type="dxa"/>
                  <w:vAlign w:val="center"/>
                </w:tcPr>
                <w:p w14:paraId="75DD53CC">
                  <w:pPr>
                    <w:pStyle w:val="29"/>
                  </w:pPr>
                  <w:r>
                    <w:t>65</w:t>
                  </w:r>
                </w:p>
              </w:tc>
              <w:tc>
                <w:tcPr>
                  <w:tcW w:w="510" w:type="dxa"/>
                  <w:vMerge w:val="continue"/>
                  <w:vAlign w:val="center"/>
                </w:tcPr>
                <w:p w14:paraId="46E4B9FC">
                  <w:pPr>
                    <w:pStyle w:val="29"/>
                  </w:pPr>
                </w:p>
              </w:tc>
              <w:tc>
                <w:tcPr>
                  <w:tcW w:w="678" w:type="dxa"/>
                  <w:vAlign w:val="center"/>
                </w:tcPr>
                <w:p w14:paraId="0F63D5B5">
                  <w:pPr>
                    <w:pStyle w:val="29"/>
                  </w:pPr>
                  <w:r>
                    <w:t>80</w:t>
                  </w:r>
                </w:p>
              </w:tc>
              <w:tc>
                <w:tcPr>
                  <w:tcW w:w="613" w:type="dxa"/>
                  <w:tcBorders>
                    <w:top w:val="nil"/>
                    <w:left w:val="single" w:color="auto" w:sz="4" w:space="0"/>
                    <w:bottom w:val="single" w:color="auto" w:sz="4" w:space="0"/>
                    <w:right w:val="single" w:color="auto" w:sz="4" w:space="0"/>
                  </w:tcBorders>
                  <w:shd w:val="clear" w:color="auto" w:fill="auto"/>
                  <w:vAlign w:val="center"/>
                </w:tcPr>
                <w:p w14:paraId="61AEC8A8">
                  <w:pPr>
                    <w:pStyle w:val="29"/>
                    <w:rPr>
                      <w:rFonts w:eastAsia="等线"/>
                      <w:color w:val="0000FF"/>
                    </w:rPr>
                  </w:pPr>
                  <w:r>
                    <w:rPr>
                      <w:rFonts w:eastAsia="等线"/>
                      <w:color w:val="0000FF"/>
                    </w:rPr>
                    <w:t xml:space="preserve">0.0003 </w:t>
                  </w:r>
                </w:p>
              </w:tc>
              <w:tc>
                <w:tcPr>
                  <w:tcW w:w="680" w:type="dxa"/>
                  <w:vMerge w:val="continue"/>
                </w:tcPr>
                <w:p w14:paraId="0A08900B">
                  <w:pPr>
                    <w:pStyle w:val="29"/>
                    <w:rPr>
                      <w:rFonts w:eastAsia="等线"/>
                      <w:color w:val="EE0000"/>
                    </w:rPr>
                  </w:pPr>
                </w:p>
              </w:tc>
              <w:tc>
                <w:tcPr>
                  <w:tcW w:w="576" w:type="dxa"/>
                  <w:vMerge w:val="continue"/>
                  <w:vAlign w:val="center"/>
                </w:tcPr>
                <w:p w14:paraId="456230AA">
                  <w:pPr>
                    <w:pStyle w:val="29"/>
                    <w:rPr>
                      <w:rFonts w:eastAsia="等线"/>
                      <w:color w:val="EE0000"/>
                    </w:rPr>
                  </w:pPr>
                </w:p>
              </w:tc>
              <w:tc>
                <w:tcPr>
                  <w:tcW w:w="715" w:type="dxa"/>
                  <w:tcBorders>
                    <w:top w:val="nil"/>
                    <w:left w:val="single" w:color="auto" w:sz="4" w:space="0"/>
                    <w:bottom w:val="single" w:color="auto" w:sz="4" w:space="0"/>
                    <w:right w:val="single" w:color="auto" w:sz="4" w:space="0"/>
                  </w:tcBorders>
                  <w:shd w:val="clear" w:color="auto" w:fill="auto"/>
                  <w:vAlign w:val="center"/>
                </w:tcPr>
                <w:p w14:paraId="040A2BFE">
                  <w:pPr>
                    <w:pStyle w:val="29"/>
                    <w:rPr>
                      <w:color w:val="0000FF"/>
                    </w:rPr>
                  </w:pPr>
                  <w:r>
                    <w:rPr>
                      <w:rFonts w:eastAsia="等线"/>
                      <w:color w:val="0000FF"/>
                    </w:rPr>
                    <w:t>0.0004</w:t>
                  </w:r>
                </w:p>
              </w:tc>
              <w:tc>
                <w:tcPr>
                  <w:tcW w:w="818" w:type="dxa"/>
                  <w:gridSpan w:val="3"/>
                  <w:tcBorders>
                    <w:top w:val="nil"/>
                    <w:left w:val="single" w:color="auto" w:sz="4" w:space="0"/>
                    <w:bottom w:val="single" w:color="auto" w:sz="4" w:space="0"/>
                    <w:right w:val="single" w:color="auto" w:sz="4" w:space="0"/>
                  </w:tcBorders>
                  <w:shd w:val="clear" w:color="auto" w:fill="auto"/>
                  <w:vAlign w:val="center"/>
                </w:tcPr>
                <w:p w14:paraId="15465B56">
                  <w:pPr>
                    <w:pStyle w:val="29"/>
                    <w:rPr>
                      <w:color w:val="0000FF"/>
                    </w:rPr>
                  </w:pPr>
                  <w:r>
                    <w:rPr>
                      <w:rFonts w:eastAsia="等线"/>
                      <w:color w:val="0000FF"/>
                    </w:rPr>
                    <w:t>0.0001</w:t>
                  </w:r>
                </w:p>
              </w:tc>
              <w:tc>
                <w:tcPr>
                  <w:tcW w:w="850" w:type="dxa"/>
                  <w:tcBorders>
                    <w:top w:val="nil"/>
                    <w:left w:val="nil"/>
                    <w:bottom w:val="single" w:color="auto" w:sz="4" w:space="0"/>
                    <w:right w:val="single" w:color="auto" w:sz="4" w:space="0"/>
                  </w:tcBorders>
                  <w:shd w:val="clear" w:color="auto" w:fill="auto"/>
                  <w:vAlign w:val="center"/>
                </w:tcPr>
                <w:p w14:paraId="472A9E3A">
                  <w:pPr>
                    <w:pStyle w:val="29"/>
                    <w:rPr>
                      <w:color w:val="0000FF"/>
                    </w:rPr>
                  </w:pPr>
                  <w:r>
                    <w:rPr>
                      <w:rFonts w:eastAsia="等线"/>
                      <w:color w:val="0000FF"/>
                    </w:rPr>
                    <w:t>0.0038</w:t>
                  </w:r>
                </w:p>
              </w:tc>
              <w:tc>
                <w:tcPr>
                  <w:tcW w:w="522" w:type="dxa"/>
                  <w:vMerge w:val="continue"/>
                  <w:vAlign w:val="center"/>
                </w:tcPr>
                <w:p w14:paraId="4904E273">
                  <w:pPr>
                    <w:pStyle w:val="29"/>
                  </w:pPr>
                </w:p>
              </w:tc>
            </w:tr>
            <w:tr w14:paraId="47E35FB7">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40" w:hRule="atLeast"/>
              </w:trPr>
              <w:tc>
                <w:tcPr>
                  <w:tcW w:w="450" w:type="dxa"/>
                  <w:vMerge w:val="continue"/>
                  <w:vAlign w:val="center"/>
                </w:tcPr>
                <w:p w14:paraId="6617B817">
                  <w:pPr>
                    <w:pStyle w:val="29"/>
                  </w:pPr>
                </w:p>
              </w:tc>
              <w:tc>
                <w:tcPr>
                  <w:tcW w:w="1448" w:type="dxa"/>
                  <w:noWrap/>
                  <w:vAlign w:val="center"/>
                </w:tcPr>
                <w:p w14:paraId="36FE4384">
                  <w:pPr>
                    <w:pStyle w:val="29"/>
                  </w:pPr>
                  <w:r>
                    <w:t>喷漆</w:t>
                  </w:r>
                  <w:r>
                    <w:rPr>
                      <w:rFonts w:hint="eastAsia"/>
                    </w:rPr>
                    <w:t>及</w:t>
                  </w:r>
                  <w:r>
                    <w:t>烘干</w:t>
                  </w:r>
                </w:p>
              </w:tc>
              <w:tc>
                <w:tcPr>
                  <w:tcW w:w="547" w:type="dxa"/>
                  <w:vMerge w:val="restart"/>
                  <w:tcBorders>
                    <w:top w:val="single" w:color="auto" w:sz="4" w:space="0"/>
                    <w:left w:val="single" w:color="auto" w:sz="4" w:space="0"/>
                    <w:right w:val="nil"/>
                  </w:tcBorders>
                  <w:shd w:val="clear" w:color="auto" w:fill="auto"/>
                  <w:vAlign w:val="center"/>
                </w:tcPr>
                <w:p w14:paraId="79C219AD">
                  <w:pPr>
                    <w:pStyle w:val="29"/>
                    <w:rPr>
                      <w:color w:val="0000FF"/>
                    </w:rPr>
                  </w:pPr>
                  <w:r>
                    <w:rPr>
                      <w:rFonts w:hint="eastAsia"/>
                      <w:color w:val="0000FF"/>
                    </w:rPr>
                    <w:t>65</w:t>
                  </w:r>
                  <w:r>
                    <w:rPr>
                      <w:color w:val="0000FF"/>
                    </w:rPr>
                    <w:t>00</w:t>
                  </w:r>
                </w:p>
              </w:tc>
              <w:tc>
                <w:tcPr>
                  <w:tcW w:w="1145" w:type="dxa"/>
                  <w:noWrap/>
                  <w:vAlign w:val="center"/>
                </w:tcPr>
                <w:p w14:paraId="2E5EC86E">
                  <w:pPr>
                    <w:pStyle w:val="29"/>
                    <w:rPr>
                      <w:color w:val="0000FF"/>
                    </w:rPr>
                  </w:pPr>
                  <w:r>
                    <w:rPr>
                      <w:rFonts w:hint="eastAsia"/>
                      <w:color w:val="0000FF"/>
                    </w:rPr>
                    <w:t>非甲烷总烃</w:t>
                  </w:r>
                </w:p>
              </w:tc>
              <w:tc>
                <w:tcPr>
                  <w:tcW w:w="697" w:type="dxa"/>
                  <w:tcBorders>
                    <w:top w:val="nil"/>
                    <w:left w:val="single" w:color="auto" w:sz="4" w:space="0"/>
                    <w:bottom w:val="single" w:color="auto" w:sz="4" w:space="0"/>
                    <w:right w:val="single" w:color="auto" w:sz="4" w:space="0"/>
                  </w:tcBorders>
                  <w:shd w:val="clear" w:color="auto" w:fill="auto"/>
                  <w:noWrap/>
                  <w:vAlign w:val="center"/>
                </w:tcPr>
                <w:p w14:paraId="053BF556">
                  <w:pPr>
                    <w:pStyle w:val="29"/>
                    <w:rPr>
                      <w:color w:val="0000FF"/>
                    </w:rPr>
                  </w:pPr>
                  <w:r>
                    <w:rPr>
                      <w:rFonts w:eastAsia="等线"/>
                      <w:color w:val="0000FF"/>
                    </w:rPr>
                    <w:t>0.0861</w:t>
                  </w:r>
                </w:p>
              </w:tc>
              <w:tc>
                <w:tcPr>
                  <w:tcW w:w="709" w:type="dxa"/>
                  <w:tcBorders>
                    <w:top w:val="nil"/>
                    <w:left w:val="single" w:color="auto" w:sz="4" w:space="0"/>
                    <w:bottom w:val="single" w:color="auto" w:sz="4" w:space="0"/>
                    <w:right w:val="single" w:color="auto" w:sz="4" w:space="0"/>
                  </w:tcBorders>
                  <w:shd w:val="clear" w:color="auto" w:fill="auto"/>
                  <w:noWrap/>
                  <w:vAlign w:val="center"/>
                </w:tcPr>
                <w:p w14:paraId="683FA1C2">
                  <w:pPr>
                    <w:pStyle w:val="29"/>
                    <w:rPr>
                      <w:color w:val="0000FF"/>
                    </w:rPr>
                  </w:pPr>
                  <w:r>
                    <w:rPr>
                      <w:rFonts w:eastAsia="等线"/>
                      <w:color w:val="0000FF"/>
                    </w:rPr>
                    <w:t>0.0765</w:t>
                  </w:r>
                </w:p>
              </w:tc>
              <w:tc>
                <w:tcPr>
                  <w:tcW w:w="852" w:type="dxa"/>
                  <w:tcBorders>
                    <w:top w:val="nil"/>
                    <w:left w:val="single" w:color="auto" w:sz="4" w:space="0"/>
                    <w:bottom w:val="single" w:color="auto" w:sz="4" w:space="0"/>
                    <w:right w:val="single" w:color="auto" w:sz="4" w:space="0"/>
                  </w:tcBorders>
                  <w:shd w:val="clear" w:color="auto" w:fill="auto"/>
                  <w:noWrap/>
                  <w:vAlign w:val="center"/>
                </w:tcPr>
                <w:p w14:paraId="6C2D6E2F">
                  <w:pPr>
                    <w:pStyle w:val="29"/>
                    <w:rPr>
                      <w:color w:val="0000FF"/>
                    </w:rPr>
                  </w:pPr>
                  <w:r>
                    <w:rPr>
                      <w:rFonts w:eastAsia="等线"/>
                      <w:color w:val="0000FF"/>
                    </w:rPr>
                    <w:t>11.7744</w:t>
                  </w:r>
                </w:p>
              </w:tc>
              <w:tc>
                <w:tcPr>
                  <w:tcW w:w="568" w:type="dxa"/>
                  <w:vMerge w:val="restart"/>
                  <w:vAlign w:val="center"/>
                </w:tcPr>
                <w:p w14:paraId="25E8F1B2">
                  <w:pPr>
                    <w:pStyle w:val="29"/>
                  </w:pPr>
                  <w:r>
                    <w:rPr>
                      <w:rFonts w:hint="eastAsia"/>
                      <w:color w:val="EE0000"/>
                    </w:rPr>
                    <w:t>单层密闭</w:t>
                  </w:r>
                  <w:r>
                    <w:rPr>
                      <w:color w:val="EE0000"/>
                    </w:rPr>
                    <w:t>正</w:t>
                  </w:r>
                  <w:r>
                    <w:rPr>
                      <w:rFonts w:hint="eastAsia"/>
                      <w:color w:val="EE0000"/>
                    </w:rPr>
                    <w:t>压</w:t>
                  </w:r>
                </w:p>
              </w:tc>
              <w:tc>
                <w:tcPr>
                  <w:tcW w:w="655" w:type="dxa"/>
                  <w:vAlign w:val="center"/>
                </w:tcPr>
                <w:p w14:paraId="748CED70">
                  <w:pPr>
                    <w:pStyle w:val="29"/>
                    <w:rPr>
                      <w:color w:val="EE0000"/>
                    </w:rPr>
                  </w:pPr>
                  <w:r>
                    <w:rPr>
                      <w:rFonts w:hint="eastAsia"/>
                      <w:color w:val="EE0000"/>
                    </w:rPr>
                    <w:t>80</w:t>
                  </w:r>
                </w:p>
              </w:tc>
              <w:tc>
                <w:tcPr>
                  <w:tcW w:w="510" w:type="dxa"/>
                  <w:vMerge w:val="continue"/>
                  <w:vAlign w:val="center"/>
                </w:tcPr>
                <w:p w14:paraId="5D7DCF3B">
                  <w:pPr>
                    <w:pStyle w:val="29"/>
                  </w:pPr>
                </w:p>
              </w:tc>
              <w:tc>
                <w:tcPr>
                  <w:tcW w:w="678" w:type="dxa"/>
                  <w:vAlign w:val="center"/>
                </w:tcPr>
                <w:p w14:paraId="6814FDDB">
                  <w:pPr>
                    <w:pStyle w:val="29"/>
                  </w:pPr>
                  <w:r>
                    <w:t>80</w:t>
                  </w:r>
                </w:p>
              </w:tc>
              <w:tc>
                <w:tcPr>
                  <w:tcW w:w="613" w:type="dxa"/>
                  <w:tcBorders>
                    <w:top w:val="nil"/>
                    <w:left w:val="single" w:color="auto" w:sz="4" w:space="0"/>
                    <w:bottom w:val="single" w:color="auto" w:sz="4" w:space="0"/>
                    <w:right w:val="single" w:color="auto" w:sz="4" w:space="0"/>
                  </w:tcBorders>
                  <w:shd w:val="clear" w:color="auto" w:fill="auto"/>
                  <w:vAlign w:val="center"/>
                </w:tcPr>
                <w:p w14:paraId="146BA8A8">
                  <w:pPr>
                    <w:pStyle w:val="29"/>
                    <w:rPr>
                      <w:color w:val="0000FF"/>
                    </w:rPr>
                  </w:pPr>
                  <w:r>
                    <w:rPr>
                      <w:rFonts w:eastAsia="等线"/>
                      <w:color w:val="0000FF"/>
                    </w:rPr>
                    <w:t xml:space="preserve">0.0551 </w:t>
                  </w:r>
                </w:p>
              </w:tc>
              <w:tc>
                <w:tcPr>
                  <w:tcW w:w="680" w:type="dxa"/>
                  <w:vMerge w:val="continue"/>
                </w:tcPr>
                <w:p w14:paraId="335DBB16">
                  <w:pPr>
                    <w:pStyle w:val="29"/>
                    <w:rPr>
                      <w:color w:val="EE0000"/>
                    </w:rPr>
                  </w:pPr>
                </w:p>
              </w:tc>
              <w:tc>
                <w:tcPr>
                  <w:tcW w:w="576" w:type="dxa"/>
                  <w:vMerge w:val="continue"/>
                  <w:vAlign w:val="center"/>
                </w:tcPr>
                <w:p w14:paraId="72595A30">
                  <w:pPr>
                    <w:pStyle w:val="29"/>
                    <w:rPr>
                      <w:color w:val="EE0000"/>
                    </w:rPr>
                  </w:pPr>
                </w:p>
              </w:tc>
              <w:tc>
                <w:tcPr>
                  <w:tcW w:w="715" w:type="dxa"/>
                  <w:tcBorders>
                    <w:top w:val="nil"/>
                    <w:left w:val="single" w:color="auto" w:sz="4" w:space="0"/>
                    <w:bottom w:val="single" w:color="auto" w:sz="4" w:space="0"/>
                    <w:right w:val="single" w:color="auto" w:sz="4" w:space="0"/>
                  </w:tcBorders>
                  <w:shd w:val="clear" w:color="auto" w:fill="auto"/>
                  <w:vAlign w:val="center"/>
                </w:tcPr>
                <w:p w14:paraId="085B9659">
                  <w:pPr>
                    <w:pStyle w:val="29"/>
                    <w:rPr>
                      <w:color w:val="0000FF"/>
                    </w:rPr>
                  </w:pPr>
                  <w:r>
                    <w:rPr>
                      <w:rFonts w:eastAsia="等线"/>
                      <w:color w:val="0000FF"/>
                    </w:rPr>
                    <w:t>0.0689</w:t>
                  </w:r>
                </w:p>
              </w:tc>
              <w:tc>
                <w:tcPr>
                  <w:tcW w:w="818" w:type="dxa"/>
                  <w:gridSpan w:val="3"/>
                  <w:tcBorders>
                    <w:top w:val="nil"/>
                    <w:left w:val="single" w:color="auto" w:sz="4" w:space="0"/>
                    <w:bottom w:val="single" w:color="auto" w:sz="4" w:space="0"/>
                    <w:right w:val="single" w:color="auto" w:sz="4" w:space="0"/>
                  </w:tcBorders>
                  <w:shd w:val="clear" w:color="auto" w:fill="auto"/>
                  <w:vAlign w:val="center"/>
                </w:tcPr>
                <w:p w14:paraId="3CA39B5D">
                  <w:pPr>
                    <w:pStyle w:val="29"/>
                    <w:rPr>
                      <w:color w:val="0000FF"/>
                    </w:rPr>
                  </w:pPr>
                  <w:r>
                    <w:rPr>
                      <w:rFonts w:eastAsia="等线"/>
                      <w:color w:val="0000FF"/>
                    </w:rPr>
                    <w:t>0.0153</w:t>
                  </w:r>
                </w:p>
              </w:tc>
              <w:tc>
                <w:tcPr>
                  <w:tcW w:w="850" w:type="dxa"/>
                  <w:tcBorders>
                    <w:top w:val="nil"/>
                    <w:left w:val="nil"/>
                    <w:bottom w:val="single" w:color="auto" w:sz="4" w:space="0"/>
                    <w:right w:val="single" w:color="auto" w:sz="4" w:space="0"/>
                  </w:tcBorders>
                  <w:shd w:val="clear" w:color="auto" w:fill="auto"/>
                  <w:vAlign w:val="center"/>
                </w:tcPr>
                <w:p w14:paraId="6B8C201D">
                  <w:pPr>
                    <w:pStyle w:val="29"/>
                    <w:rPr>
                      <w:color w:val="0000FF"/>
                    </w:rPr>
                  </w:pPr>
                  <w:r>
                    <w:rPr>
                      <w:rFonts w:eastAsia="等线"/>
                      <w:color w:val="0000FF"/>
                    </w:rPr>
                    <w:t>0.5255</w:t>
                  </w:r>
                </w:p>
              </w:tc>
              <w:tc>
                <w:tcPr>
                  <w:tcW w:w="522" w:type="dxa"/>
                  <w:vMerge w:val="continue"/>
                  <w:vAlign w:val="center"/>
                </w:tcPr>
                <w:p w14:paraId="79B8F6DC">
                  <w:pPr>
                    <w:pStyle w:val="29"/>
                  </w:pPr>
                </w:p>
              </w:tc>
            </w:tr>
            <w:tr w14:paraId="6A2709D4">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40" w:hRule="atLeast"/>
              </w:trPr>
              <w:tc>
                <w:tcPr>
                  <w:tcW w:w="450" w:type="dxa"/>
                  <w:vMerge w:val="continue"/>
                  <w:vAlign w:val="center"/>
                </w:tcPr>
                <w:p w14:paraId="5FB12194">
                  <w:pPr>
                    <w:pStyle w:val="29"/>
                  </w:pPr>
                </w:p>
              </w:tc>
              <w:tc>
                <w:tcPr>
                  <w:tcW w:w="1448" w:type="dxa"/>
                  <w:tcBorders>
                    <w:right w:val="single" w:color="auto" w:sz="4" w:space="0"/>
                  </w:tcBorders>
                  <w:noWrap/>
                  <w:vAlign w:val="center"/>
                </w:tcPr>
                <w:p w14:paraId="2962201B">
                  <w:pPr>
                    <w:pStyle w:val="29"/>
                  </w:pPr>
                  <w:r>
                    <w:t>漆雾</w:t>
                  </w:r>
                </w:p>
              </w:tc>
              <w:tc>
                <w:tcPr>
                  <w:tcW w:w="547" w:type="dxa"/>
                  <w:vMerge w:val="continue"/>
                  <w:tcBorders>
                    <w:left w:val="single" w:color="auto" w:sz="4" w:space="0"/>
                  </w:tcBorders>
                  <w:vAlign w:val="center"/>
                </w:tcPr>
                <w:p w14:paraId="5968B0D0">
                  <w:pPr>
                    <w:pStyle w:val="29"/>
                    <w:rPr>
                      <w:color w:val="EE0000"/>
                    </w:rPr>
                  </w:pPr>
                </w:p>
              </w:tc>
              <w:tc>
                <w:tcPr>
                  <w:tcW w:w="1145" w:type="dxa"/>
                  <w:noWrap/>
                  <w:vAlign w:val="center"/>
                </w:tcPr>
                <w:p w14:paraId="3EC76772">
                  <w:pPr>
                    <w:pStyle w:val="29"/>
                  </w:pPr>
                  <w:r>
                    <w:t>颗粒物</w:t>
                  </w:r>
                </w:p>
              </w:tc>
              <w:tc>
                <w:tcPr>
                  <w:tcW w:w="697" w:type="dxa"/>
                  <w:shd w:val="clear" w:color="auto" w:fill="auto"/>
                  <w:noWrap/>
                  <w:vAlign w:val="center"/>
                </w:tcPr>
                <w:p w14:paraId="02D8650C">
                  <w:pPr>
                    <w:pStyle w:val="29"/>
                    <w:rPr>
                      <w:color w:val="0000FF"/>
                    </w:rPr>
                  </w:pPr>
                  <w:r>
                    <w:rPr>
                      <w:color w:val="0000FF"/>
                    </w:rPr>
                    <w:t>0.5502</w:t>
                  </w:r>
                </w:p>
              </w:tc>
              <w:tc>
                <w:tcPr>
                  <w:tcW w:w="709" w:type="dxa"/>
                  <w:tcBorders>
                    <w:top w:val="single" w:color="auto" w:sz="4" w:space="0"/>
                    <w:left w:val="single" w:color="auto" w:sz="4" w:space="0"/>
                    <w:bottom w:val="single" w:color="auto" w:sz="4" w:space="0"/>
                    <w:right w:val="single" w:color="auto" w:sz="4" w:space="0"/>
                  </w:tcBorders>
                  <w:shd w:val="clear" w:color="auto" w:fill="auto"/>
                  <w:noWrap/>
                  <w:vAlign w:val="center"/>
                </w:tcPr>
                <w:p w14:paraId="42A92EAA">
                  <w:pPr>
                    <w:pStyle w:val="29"/>
                    <w:rPr>
                      <w:color w:val="0000FF"/>
                    </w:rPr>
                  </w:pPr>
                  <w:r>
                    <w:rPr>
                      <w:rFonts w:eastAsia="等线"/>
                      <w:color w:val="0000FF"/>
                    </w:rPr>
                    <w:t>0.4891</w:t>
                  </w:r>
                </w:p>
              </w:tc>
              <w:tc>
                <w:tcPr>
                  <w:tcW w:w="852" w:type="dxa"/>
                  <w:tcBorders>
                    <w:top w:val="single" w:color="auto" w:sz="4" w:space="0"/>
                    <w:left w:val="single" w:color="auto" w:sz="4" w:space="0"/>
                    <w:bottom w:val="single" w:color="auto" w:sz="4" w:space="0"/>
                    <w:right w:val="single" w:color="auto" w:sz="4" w:space="0"/>
                  </w:tcBorders>
                  <w:shd w:val="clear" w:color="auto" w:fill="auto"/>
                  <w:noWrap/>
                  <w:vAlign w:val="center"/>
                </w:tcPr>
                <w:p w14:paraId="6F6FF72A">
                  <w:pPr>
                    <w:pStyle w:val="29"/>
                    <w:rPr>
                      <w:color w:val="0000FF"/>
                    </w:rPr>
                  </w:pPr>
                  <w:r>
                    <w:rPr>
                      <w:rFonts w:eastAsia="等线"/>
                      <w:color w:val="0000FF"/>
                    </w:rPr>
                    <w:t>75.241</w:t>
                  </w:r>
                  <w:r>
                    <w:rPr>
                      <w:rFonts w:hint="eastAsia" w:eastAsia="等线"/>
                      <w:color w:val="0000FF"/>
                    </w:rPr>
                    <w:t>0</w:t>
                  </w:r>
                </w:p>
              </w:tc>
              <w:tc>
                <w:tcPr>
                  <w:tcW w:w="568" w:type="dxa"/>
                  <w:vMerge w:val="continue"/>
                  <w:vAlign w:val="center"/>
                </w:tcPr>
                <w:p w14:paraId="3569FB12">
                  <w:pPr>
                    <w:pStyle w:val="29"/>
                  </w:pPr>
                </w:p>
              </w:tc>
              <w:tc>
                <w:tcPr>
                  <w:tcW w:w="655" w:type="dxa"/>
                  <w:vAlign w:val="center"/>
                </w:tcPr>
                <w:p w14:paraId="3DD1C246">
                  <w:pPr>
                    <w:pStyle w:val="29"/>
                  </w:pPr>
                  <w:r>
                    <w:rPr>
                      <w:rFonts w:hint="eastAsia"/>
                      <w:color w:val="EE0000"/>
                    </w:rPr>
                    <w:t>80</w:t>
                  </w:r>
                </w:p>
              </w:tc>
              <w:tc>
                <w:tcPr>
                  <w:tcW w:w="510" w:type="dxa"/>
                  <w:vMerge w:val="continue"/>
                  <w:vAlign w:val="center"/>
                </w:tcPr>
                <w:p w14:paraId="3316BE03">
                  <w:pPr>
                    <w:pStyle w:val="29"/>
                  </w:pPr>
                </w:p>
              </w:tc>
              <w:tc>
                <w:tcPr>
                  <w:tcW w:w="678" w:type="dxa"/>
                  <w:vAlign w:val="center"/>
                </w:tcPr>
                <w:p w14:paraId="12097F27">
                  <w:pPr>
                    <w:pStyle w:val="29"/>
                  </w:pPr>
                  <w:r>
                    <w:t>9</w:t>
                  </w:r>
                  <w:r>
                    <w:rPr>
                      <w:rFonts w:hint="eastAsia"/>
                    </w:rPr>
                    <w:t>5.5</w:t>
                  </w:r>
                </w:p>
              </w:tc>
              <w:tc>
                <w:tcPr>
                  <w:tcW w:w="613" w:type="dxa"/>
                  <w:tcBorders>
                    <w:top w:val="single" w:color="auto" w:sz="4" w:space="0"/>
                    <w:left w:val="single" w:color="auto" w:sz="4" w:space="0"/>
                    <w:bottom w:val="single" w:color="auto" w:sz="4" w:space="0"/>
                    <w:right w:val="single" w:color="auto" w:sz="4" w:space="0"/>
                  </w:tcBorders>
                  <w:shd w:val="clear" w:color="auto" w:fill="auto"/>
                  <w:vAlign w:val="center"/>
                </w:tcPr>
                <w:p w14:paraId="15929997">
                  <w:pPr>
                    <w:pStyle w:val="29"/>
                    <w:rPr>
                      <w:color w:val="0000FF"/>
                    </w:rPr>
                  </w:pPr>
                  <w:r>
                    <w:rPr>
                      <w:rFonts w:eastAsia="等线"/>
                      <w:color w:val="0000FF"/>
                    </w:rPr>
                    <w:t xml:space="preserve">0.4204 </w:t>
                  </w:r>
                </w:p>
              </w:tc>
              <w:tc>
                <w:tcPr>
                  <w:tcW w:w="680" w:type="dxa"/>
                  <w:vMerge w:val="continue"/>
                  <w:shd w:val="clear" w:color="auto" w:fill="auto"/>
                </w:tcPr>
                <w:p w14:paraId="5CD6BECD">
                  <w:pPr>
                    <w:pStyle w:val="29"/>
                    <w:rPr>
                      <w:color w:val="EE0000"/>
                    </w:rPr>
                  </w:pPr>
                </w:p>
              </w:tc>
              <w:tc>
                <w:tcPr>
                  <w:tcW w:w="576" w:type="dxa"/>
                  <w:vMerge w:val="continue"/>
                  <w:shd w:val="clear" w:color="auto" w:fill="auto"/>
                  <w:vAlign w:val="center"/>
                </w:tcPr>
                <w:p w14:paraId="090BF022">
                  <w:pPr>
                    <w:pStyle w:val="29"/>
                    <w:rPr>
                      <w:color w:val="EE0000"/>
                    </w:rPr>
                  </w:pPr>
                </w:p>
              </w:tc>
              <w:tc>
                <w:tcPr>
                  <w:tcW w:w="715" w:type="dxa"/>
                  <w:tcBorders>
                    <w:top w:val="single" w:color="auto" w:sz="4" w:space="0"/>
                    <w:left w:val="single" w:color="auto" w:sz="4" w:space="0"/>
                    <w:bottom w:val="single" w:color="auto" w:sz="4" w:space="0"/>
                    <w:right w:val="single" w:color="auto" w:sz="4" w:space="0"/>
                  </w:tcBorders>
                  <w:shd w:val="clear" w:color="auto" w:fill="auto"/>
                  <w:vAlign w:val="center"/>
                </w:tcPr>
                <w:p w14:paraId="115FB5D7">
                  <w:pPr>
                    <w:pStyle w:val="29"/>
                    <w:rPr>
                      <w:color w:val="0000FF"/>
                    </w:rPr>
                  </w:pPr>
                  <w:r>
                    <w:rPr>
                      <w:rFonts w:eastAsia="等线"/>
                      <w:color w:val="0000FF"/>
                    </w:rPr>
                    <w:t>0.0198</w:t>
                  </w:r>
                </w:p>
              </w:tc>
              <w:tc>
                <w:tcPr>
                  <w:tcW w:w="818" w:type="dxa"/>
                  <w:gridSpan w:val="3"/>
                  <w:tcBorders>
                    <w:top w:val="single" w:color="auto" w:sz="4" w:space="0"/>
                    <w:left w:val="nil"/>
                    <w:bottom w:val="single" w:color="auto" w:sz="4" w:space="0"/>
                    <w:right w:val="single" w:color="auto" w:sz="4" w:space="0"/>
                  </w:tcBorders>
                  <w:shd w:val="clear" w:color="auto" w:fill="auto"/>
                  <w:vAlign w:val="center"/>
                </w:tcPr>
                <w:p w14:paraId="1FCFB533">
                  <w:pPr>
                    <w:pStyle w:val="29"/>
                    <w:rPr>
                      <w:color w:val="0000FF"/>
                    </w:rPr>
                  </w:pPr>
                  <w:r>
                    <w:rPr>
                      <w:rFonts w:eastAsia="等线"/>
                      <w:color w:val="0000FF"/>
                    </w:rPr>
                    <w:t>0.022</w:t>
                  </w:r>
                </w:p>
              </w:tc>
              <w:tc>
                <w:tcPr>
                  <w:tcW w:w="850" w:type="dxa"/>
                  <w:tcBorders>
                    <w:top w:val="single" w:color="auto" w:sz="4" w:space="0"/>
                    <w:left w:val="nil"/>
                    <w:bottom w:val="single" w:color="auto" w:sz="4" w:space="0"/>
                    <w:right w:val="single" w:color="auto" w:sz="4" w:space="0"/>
                  </w:tcBorders>
                  <w:shd w:val="clear" w:color="auto" w:fill="auto"/>
                  <w:vAlign w:val="center"/>
                </w:tcPr>
                <w:p w14:paraId="7E6732ED">
                  <w:pPr>
                    <w:pStyle w:val="29"/>
                    <w:rPr>
                      <w:color w:val="0000FF"/>
                    </w:rPr>
                  </w:pPr>
                  <w:r>
                    <w:rPr>
                      <w:rFonts w:eastAsia="等线"/>
                      <w:color w:val="0000FF"/>
                    </w:rPr>
                    <w:t>0.9700</w:t>
                  </w:r>
                </w:p>
              </w:tc>
              <w:tc>
                <w:tcPr>
                  <w:tcW w:w="522" w:type="dxa"/>
                  <w:vMerge w:val="continue"/>
                  <w:vAlign w:val="center"/>
                </w:tcPr>
                <w:p w14:paraId="5819A04A">
                  <w:pPr>
                    <w:pStyle w:val="29"/>
                  </w:pPr>
                </w:p>
              </w:tc>
            </w:tr>
            <w:tr w14:paraId="35949025">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40" w:hRule="atLeast"/>
              </w:trPr>
              <w:tc>
                <w:tcPr>
                  <w:tcW w:w="450" w:type="dxa"/>
                  <w:vMerge w:val="continue"/>
                  <w:vAlign w:val="center"/>
                </w:tcPr>
                <w:p w14:paraId="56C87E4A">
                  <w:pPr>
                    <w:pStyle w:val="29"/>
                  </w:pPr>
                </w:p>
              </w:tc>
              <w:tc>
                <w:tcPr>
                  <w:tcW w:w="1448" w:type="dxa"/>
                  <w:noWrap/>
                  <w:vAlign w:val="center"/>
                </w:tcPr>
                <w:p w14:paraId="64A1C70E">
                  <w:pPr>
                    <w:pStyle w:val="29"/>
                  </w:pPr>
                  <w:r>
                    <w:t>臭气浓度</w:t>
                  </w:r>
                </w:p>
              </w:tc>
              <w:tc>
                <w:tcPr>
                  <w:tcW w:w="547" w:type="dxa"/>
                </w:tcPr>
                <w:p w14:paraId="5186F03E">
                  <w:pPr>
                    <w:pStyle w:val="29"/>
                  </w:pPr>
                  <w:r>
                    <w:rPr>
                      <w:rFonts w:hint="eastAsia"/>
                    </w:rPr>
                    <w:t>/</w:t>
                  </w:r>
                </w:p>
              </w:tc>
              <w:tc>
                <w:tcPr>
                  <w:tcW w:w="1145" w:type="dxa"/>
                  <w:noWrap/>
                  <w:vAlign w:val="center"/>
                </w:tcPr>
                <w:p w14:paraId="15B0C54C">
                  <w:pPr>
                    <w:pStyle w:val="29"/>
                  </w:pPr>
                  <w:r>
                    <w:t>臭气浓度</w:t>
                  </w:r>
                </w:p>
              </w:tc>
              <w:tc>
                <w:tcPr>
                  <w:tcW w:w="2258" w:type="dxa"/>
                  <w:gridSpan w:val="3"/>
                  <w:shd w:val="clear" w:color="auto" w:fill="auto"/>
                  <w:noWrap/>
                  <w:vAlign w:val="center"/>
                </w:tcPr>
                <w:p w14:paraId="398DA16B">
                  <w:pPr>
                    <w:pStyle w:val="29"/>
                  </w:pPr>
                  <w:r>
                    <w:t>少量</w:t>
                  </w:r>
                </w:p>
              </w:tc>
              <w:tc>
                <w:tcPr>
                  <w:tcW w:w="568" w:type="dxa"/>
                  <w:vAlign w:val="center"/>
                </w:tcPr>
                <w:p w14:paraId="0976512D">
                  <w:pPr>
                    <w:pStyle w:val="29"/>
                  </w:pPr>
                  <w:r>
                    <w:t>/</w:t>
                  </w:r>
                </w:p>
              </w:tc>
              <w:tc>
                <w:tcPr>
                  <w:tcW w:w="655" w:type="dxa"/>
                  <w:vAlign w:val="center"/>
                </w:tcPr>
                <w:p w14:paraId="1B14F3E1">
                  <w:pPr>
                    <w:pStyle w:val="29"/>
                  </w:pPr>
                  <w:r>
                    <w:t>/</w:t>
                  </w:r>
                </w:p>
              </w:tc>
              <w:tc>
                <w:tcPr>
                  <w:tcW w:w="510" w:type="dxa"/>
                  <w:vMerge w:val="continue"/>
                  <w:vAlign w:val="center"/>
                </w:tcPr>
                <w:p w14:paraId="0DDCD1FD">
                  <w:pPr>
                    <w:pStyle w:val="29"/>
                  </w:pPr>
                </w:p>
              </w:tc>
              <w:tc>
                <w:tcPr>
                  <w:tcW w:w="678" w:type="dxa"/>
                  <w:vAlign w:val="center"/>
                </w:tcPr>
                <w:p w14:paraId="565776B3">
                  <w:pPr>
                    <w:pStyle w:val="29"/>
                  </w:pPr>
                  <w:r>
                    <w:t>/</w:t>
                  </w:r>
                </w:p>
              </w:tc>
              <w:tc>
                <w:tcPr>
                  <w:tcW w:w="613" w:type="dxa"/>
                </w:tcPr>
                <w:p w14:paraId="079E71BE">
                  <w:pPr>
                    <w:pStyle w:val="29"/>
                  </w:pPr>
                  <w:r>
                    <w:rPr>
                      <w:rFonts w:hint="eastAsia"/>
                    </w:rPr>
                    <w:t>/</w:t>
                  </w:r>
                </w:p>
              </w:tc>
              <w:tc>
                <w:tcPr>
                  <w:tcW w:w="680" w:type="dxa"/>
                  <w:vMerge w:val="continue"/>
                </w:tcPr>
                <w:p w14:paraId="23F295CB">
                  <w:pPr>
                    <w:pStyle w:val="29"/>
                  </w:pPr>
                </w:p>
              </w:tc>
              <w:tc>
                <w:tcPr>
                  <w:tcW w:w="576" w:type="dxa"/>
                  <w:vMerge w:val="continue"/>
                  <w:vAlign w:val="center"/>
                </w:tcPr>
                <w:p w14:paraId="0E2CB303">
                  <w:pPr>
                    <w:pStyle w:val="29"/>
                  </w:pPr>
                </w:p>
              </w:tc>
              <w:tc>
                <w:tcPr>
                  <w:tcW w:w="2383" w:type="dxa"/>
                  <w:gridSpan w:val="5"/>
                  <w:vAlign w:val="center"/>
                </w:tcPr>
                <w:p w14:paraId="747184B8">
                  <w:pPr>
                    <w:pStyle w:val="29"/>
                  </w:pPr>
                  <w:r>
                    <w:t>少量</w:t>
                  </w:r>
                </w:p>
              </w:tc>
              <w:tc>
                <w:tcPr>
                  <w:tcW w:w="522" w:type="dxa"/>
                  <w:vMerge w:val="continue"/>
                  <w:vAlign w:val="center"/>
                </w:tcPr>
                <w:p w14:paraId="41FD82ED">
                  <w:pPr>
                    <w:pStyle w:val="29"/>
                  </w:pPr>
                </w:p>
              </w:tc>
            </w:tr>
            <w:tr w14:paraId="178A660D">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40" w:hRule="atLeast"/>
              </w:trPr>
              <w:tc>
                <w:tcPr>
                  <w:tcW w:w="450" w:type="dxa"/>
                  <w:vMerge w:val="restart"/>
                  <w:noWrap/>
                  <w:vAlign w:val="center"/>
                </w:tcPr>
                <w:p w14:paraId="1F6AB150">
                  <w:pPr>
                    <w:pStyle w:val="29"/>
                  </w:pPr>
                  <w:r>
                    <w:t>无组织</w:t>
                  </w:r>
                </w:p>
              </w:tc>
              <w:tc>
                <w:tcPr>
                  <w:tcW w:w="1448" w:type="dxa"/>
                  <w:noWrap/>
                  <w:vAlign w:val="center"/>
                </w:tcPr>
                <w:p w14:paraId="5B2103AE">
                  <w:pPr>
                    <w:pStyle w:val="29"/>
                  </w:pPr>
                  <w:r>
                    <w:t>注塑</w:t>
                  </w:r>
                </w:p>
              </w:tc>
              <w:tc>
                <w:tcPr>
                  <w:tcW w:w="547" w:type="dxa"/>
                  <w:vAlign w:val="center"/>
                </w:tcPr>
                <w:p w14:paraId="6E91BA97">
                  <w:pPr>
                    <w:pStyle w:val="29"/>
                    <w:rPr>
                      <w:color w:val="EE0000"/>
                      <w14:props3d w14:extrusionH="0" w14:contourW="0" w14:prstMaterial="matte"/>
                    </w:rPr>
                  </w:pPr>
                  <w:r>
                    <w:rPr>
                      <w:rFonts w:hint="eastAsia"/>
                    </w:rPr>
                    <w:t>/</w:t>
                  </w:r>
                </w:p>
              </w:tc>
              <w:tc>
                <w:tcPr>
                  <w:tcW w:w="1145" w:type="dxa"/>
                  <w:noWrap/>
                  <w:vAlign w:val="center"/>
                </w:tcPr>
                <w:p w14:paraId="6C6E6B42">
                  <w:pPr>
                    <w:pStyle w:val="29"/>
                    <w:rPr>
                      <w:color w:val="EE0000"/>
                      <w14:props3d w14:extrusionH="0" w14:contourW="0" w14:prstMaterial="matte"/>
                    </w:rPr>
                  </w:pPr>
                  <w:r>
                    <w:rPr>
                      <w:rFonts w:hint="eastAsia"/>
                      <w:color w:val="0000FF"/>
                    </w:rPr>
                    <w:t>非甲烷总烃</w:t>
                  </w:r>
                </w:p>
              </w:tc>
              <w:tc>
                <w:tcPr>
                  <w:tcW w:w="697" w:type="dxa"/>
                  <w:tcBorders>
                    <w:top w:val="single" w:color="auto" w:sz="4" w:space="0"/>
                    <w:left w:val="single" w:color="auto" w:sz="4" w:space="0"/>
                    <w:bottom w:val="single" w:color="auto" w:sz="4" w:space="0"/>
                    <w:right w:val="single" w:color="auto" w:sz="4" w:space="0"/>
                  </w:tcBorders>
                  <w:shd w:val="clear" w:color="auto" w:fill="auto"/>
                  <w:noWrap/>
                  <w:vAlign w:val="center"/>
                </w:tcPr>
                <w:p w14:paraId="6315AFEC">
                  <w:pPr>
                    <w:pStyle w:val="29"/>
                    <w:rPr>
                      <w:color w:val="0000FF"/>
                    </w:rPr>
                  </w:pPr>
                  <w:r>
                    <w:rPr>
                      <w:rFonts w:eastAsia="等线"/>
                      <w:color w:val="0000FF"/>
                    </w:rPr>
                    <w:t xml:space="preserve">0.1323 </w:t>
                  </w:r>
                </w:p>
              </w:tc>
              <w:tc>
                <w:tcPr>
                  <w:tcW w:w="709" w:type="dxa"/>
                  <w:tcBorders>
                    <w:top w:val="single" w:color="auto" w:sz="4" w:space="0"/>
                    <w:left w:val="nil"/>
                    <w:bottom w:val="single" w:color="auto" w:sz="4" w:space="0"/>
                    <w:right w:val="single" w:color="auto" w:sz="4" w:space="0"/>
                  </w:tcBorders>
                  <w:shd w:val="clear" w:color="auto" w:fill="auto"/>
                  <w:noWrap/>
                  <w:vAlign w:val="center"/>
                </w:tcPr>
                <w:p w14:paraId="520ACEC5">
                  <w:pPr>
                    <w:pStyle w:val="29"/>
                    <w:rPr>
                      <w:color w:val="0000FF"/>
                    </w:rPr>
                  </w:pPr>
                  <w:r>
                    <w:rPr>
                      <w:rFonts w:eastAsia="等线"/>
                      <w:color w:val="0000FF"/>
                    </w:rPr>
                    <w:t>0.0276</w:t>
                  </w:r>
                </w:p>
              </w:tc>
              <w:tc>
                <w:tcPr>
                  <w:tcW w:w="852" w:type="dxa"/>
                  <w:shd w:val="clear" w:color="auto" w:fill="auto"/>
                  <w:noWrap/>
                  <w:vAlign w:val="center"/>
                </w:tcPr>
                <w:p w14:paraId="03AB33D6">
                  <w:pPr>
                    <w:pStyle w:val="29"/>
                  </w:pPr>
                  <w:r>
                    <w:t>/</w:t>
                  </w:r>
                </w:p>
              </w:tc>
              <w:tc>
                <w:tcPr>
                  <w:tcW w:w="3024" w:type="dxa"/>
                  <w:gridSpan w:val="5"/>
                  <w:vMerge w:val="restart"/>
                  <w:vAlign w:val="center"/>
                </w:tcPr>
                <w:p w14:paraId="5C399519">
                  <w:pPr>
                    <w:pStyle w:val="29"/>
                    <w:rPr>
                      <w:color w:val="EE0000"/>
                    </w:rPr>
                  </w:pPr>
                  <w:r>
                    <w:t>/</w:t>
                  </w:r>
                </w:p>
              </w:tc>
              <w:tc>
                <w:tcPr>
                  <w:tcW w:w="680" w:type="dxa"/>
                  <w:vAlign w:val="center"/>
                </w:tcPr>
                <w:p w14:paraId="6215BFB9">
                  <w:pPr>
                    <w:pStyle w:val="29"/>
                    <w:rPr>
                      <w:color w:val="EE0000"/>
                    </w:rPr>
                  </w:pPr>
                  <w:r>
                    <w:rPr>
                      <w:rFonts w:hint="eastAsia"/>
                    </w:rPr>
                    <w:t>/</w:t>
                  </w:r>
                </w:p>
              </w:tc>
              <w:tc>
                <w:tcPr>
                  <w:tcW w:w="576" w:type="dxa"/>
                  <w:vAlign w:val="center"/>
                </w:tcPr>
                <w:p w14:paraId="111A81DC">
                  <w:pPr>
                    <w:pStyle w:val="29"/>
                    <w:rPr>
                      <w:color w:val="EE0000"/>
                    </w:rPr>
                  </w:pPr>
                  <w:r>
                    <w:rPr>
                      <w:rFonts w:hint="eastAsia"/>
                    </w:rPr>
                    <w:t>/</w:t>
                  </w:r>
                </w:p>
              </w:tc>
              <w:tc>
                <w:tcPr>
                  <w:tcW w:w="771" w:type="dxa"/>
                  <w:gridSpan w:val="2"/>
                  <w:vAlign w:val="center"/>
                </w:tcPr>
                <w:p w14:paraId="728093D3">
                  <w:pPr>
                    <w:pStyle w:val="29"/>
                  </w:pPr>
                  <w:r>
                    <w:rPr>
                      <w:rFonts w:eastAsia="等线"/>
                      <w:color w:val="0000FF"/>
                    </w:rPr>
                    <w:t xml:space="preserve">0.1323 </w:t>
                  </w:r>
                </w:p>
              </w:tc>
              <w:tc>
                <w:tcPr>
                  <w:tcW w:w="702" w:type="dxa"/>
                  <w:vAlign w:val="center"/>
                </w:tcPr>
                <w:p w14:paraId="49B3F25F">
                  <w:pPr>
                    <w:pStyle w:val="29"/>
                  </w:pPr>
                  <w:r>
                    <w:rPr>
                      <w:rFonts w:eastAsia="等线"/>
                      <w:color w:val="0000FF"/>
                    </w:rPr>
                    <w:t>0.0276</w:t>
                  </w:r>
                </w:p>
              </w:tc>
              <w:tc>
                <w:tcPr>
                  <w:tcW w:w="910" w:type="dxa"/>
                  <w:gridSpan w:val="2"/>
                  <w:vAlign w:val="center"/>
                </w:tcPr>
                <w:p w14:paraId="176615EF">
                  <w:pPr>
                    <w:pStyle w:val="29"/>
                  </w:pPr>
                  <w:r>
                    <w:t>/</w:t>
                  </w:r>
                </w:p>
              </w:tc>
              <w:tc>
                <w:tcPr>
                  <w:tcW w:w="522" w:type="dxa"/>
                  <w:vMerge w:val="restart"/>
                  <w:vAlign w:val="center"/>
                </w:tcPr>
                <w:p w14:paraId="4264291F">
                  <w:pPr>
                    <w:pStyle w:val="29"/>
                  </w:pPr>
                  <w:r>
                    <w:t>/</w:t>
                  </w:r>
                </w:p>
              </w:tc>
            </w:tr>
            <w:tr w14:paraId="5E631C58">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40" w:hRule="atLeast"/>
              </w:trPr>
              <w:tc>
                <w:tcPr>
                  <w:tcW w:w="450" w:type="dxa"/>
                  <w:vMerge w:val="continue"/>
                  <w:vAlign w:val="center"/>
                </w:tcPr>
                <w:p w14:paraId="3379C7C1">
                  <w:pPr>
                    <w:pStyle w:val="29"/>
                  </w:pPr>
                </w:p>
              </w:tc>
              <w:tc>
                <w:tcPr>
                  <w:tcW w:w="1448" w:type="dxa"/>
                  <w:noWrap/>
                  <w:vAlign w:val="center"/>
                </w:tcPr>
                <w:p w14:paraId="61F11872">
                  <w:pPr>
                    <w:pStyle w:val="29"/>
                  </w:pPr>
                  <w:r>
                    <w:rPr>
                      <w:rFonts w:hint="eastAsia"/>
                      <w:color w:val="EE0000"/>
                    </w:rPr>
                    <w:t>胶合</w:t>
                  </w:r>
                </w:p>
              </w:tc>
              <w:tc>
                <w:tcPr>
                  <w:tcW w:w="547" w:type="dxa"/>
                  <w:vAlign w:val="center"/>
                </w:tcPr>
                <w:p w14:paraId="6D6FDA85">
                  <w:pPr>
                    <w:pStyle w:val="29"/>
                    <w:rPr>
                      <w:color w:val="EE0000"/>
                      <w14:props3d w14:extrusionH="0" w14:contourW="0" w14:prstMaterial="matte"/>
                    </w:rPr>
                  </w:pPr>
                  <w:r>
                    <w:rPr>
                      <w:rFonts w:hint="eastAsia"/>
                    </w:rPr>
                    <w:t>/</w:t>
                  </w:r>
                </w:p>
              </w:tc>
              <w:tc>
                <w:tcPr>
                  <w:tcW w:w="1145" w:type="dxa"/>
                  <w:noWrap/>
                  <w:vAlign w:val="center"/>
                </w:tcPr>
                <w:p w14:paraId="332C5D85">
                  <w:pPr>
                    <w:pStyle w:val="29"/>
                    <w:rPr>
                      <w:color w:val="EE0000"/>
                      <w14:props3d w14:extrusionH="0" w14:contourW="0" w14:prstMaterial="matte"/>
                    </w:rPr>
                  </w:pPr>
                  <w:r>
                    <w:rPr>
                      <w:rFonts w:hint="eastAsia"/>
                      <w:color w:val="0000FF"/>
                    </w:rPr>
                    <w:t>非甲烷总烃</w:t>
                  </w:r>
                </w:p>
              </w:tc>
              <w:tc>
                <w:tcPr>
                  <w:tcW w:w="697" w:type="dxa"/>
                  <w:tcBorders>
                    <w:top w:val="nil"/>
                    <w:left w:val="single" w:color="auto" w:sz="4" w:space="0"/>
                    <w:bottom w:val="single" w:color="auto" w:sz="4" w:space="0"/>
                    <w:right w:val="single" w:color="auto" w:sz="4" w:space="0"/>
                  </w:tcBorders>
                  <w:shd w:val="clear" w:color="auto" w:fill="auto"/>
                  <w:noWrap/>
                  <w:vAlign w:val="center"/>
                </w:tcPr>
                <w:p w14:paraId="480C84B8">
                  <w:pPr>
                    <w:pStyle w:val="29"/>
                    <w:rPr>
                      <w:color w:val="0000FF"/>
                    </w:rPr>
                  </w:pPr>
                  <w:r>
                    <w:rPr>
                      <w:rFonts w:eastAsia="等线"/>
                      <w:color w:val="0000FF"/>
                    </w:rPr>
                    <w:t xml:space="preserve">0.0001 </w:t>
                  </w:r>
                </w:p>
              </w:tc>
              <w:tc>
                <w:tcPr>
                  <w:tcW w:w="709" w:type="dxa"/>
                  <w:tcBorders>
                    <w:top w:val="nil"/>
                    <w:left w:val="nil"/>
                    <w:bottom w:val="single" w:color="auto" w:sz="4" w:space="0"/>
                    <w:right w:val="single" w:color="auto" w:sz="4" w:space="0"/>
                  </w:tcBorders>
                  <w:shd w:val="clear" w:color="auto" w:fill="auto"/>
                  <w:noWrap/>
                  <w:vAlign w:val="center"/>
                </w:tcPr>
                <w:p w14:paraId="234C52AC">
                  <w:pPr>
                    <w:pStyle w:val="29"/>
                    <w:rPr>
                      <w:color w:val="0000FF"/>
                    </w:rPr>
                  </w:pPr>
                  <w:r>
                    <w:rPr>
                      <w:rFonts w:eastAsia="等线"/>
                      <w:color w:val="0000FF"/>
                    </w:rPr>
                    <w:t>0.0001</w:t>
                  </w:r>
                </w:p>
              </w:tc>
              <w:tc>
                <w:tcPr>
                  <w:tcW w:w="852" w:type="dxa"/>
                  <w:shd w:val="clear" w:color="auto" w:fill="auto"/>
                  <w:noWrap/>
                  <w:vAlign w:val="center"/>
                </w:tcPr>
                <w:p w14:paraId="420C636E">
                  <w:pPr>
                    <w:pStyle w:val="29"/>
                  </w:pPr>
                </w:p>
              </w:tc>
              <w:tc>
                <w:tcPr>
                  <w:tcW w:w="3024" w:type="dxa"/>
                  <w:gridSpan w:val="5"/>
                  <w:vMerge w:val="continue"/>
                </w:tcPr>
                <w:p w14:paraId="7FFE0D62">
                  <w:pPr>
                    <w:pStyle w:val="29"/>
                    <w:rPr>
                      <w:color w:val="EE0000"/>
                    </w:rPr>
                  </w:pPr>
                </w:p>
              </w:tc>
              <w:tc>
                <w:tcPr>
                  <w:tcW w:w="680" w:type="dxa"/>
                  <w:vAlign w:val="center"/>
                </w:tcPr>
                <w:p w14:paraId="1431F3D0">
                  <w:pPr>
                    <w:pStyle w:val="29"/>
                    <w:rPr>
                      <w:color w:val="EE0000"/>
                    </w:rPr>
                  </w:pPr>
                  <w:r>
                    <w:rPr>
                      <w:rFonts w:hint="eastAsia"/>
                    </w:rPr>
                    <w:t>/</w:t>
                  </w:r>
                </w:p>
              </w:tc>
              <w:tc>
                <w:tcPr>
                  <w:tcW w:w="576" w:type="dxa"/>
                  <w:vAlign w:val="center"/>
                </w:tcPr>
                <w:p w14:paraId="00A2DCE9">
                  <w:pPr>
                    <w:pStyle w:val="29"/>
                    <w:rPr>
                      <w:color w:val="EE0000"/>
                    </w:rPr>
                  </w:pPr>
                  <w:r>
                    <w:rPr>
                      <w:rFonts w:hint="eastAsia"/>
                    </w:rPr>
                    <w:t>/</w:t>
                  </w:r>
                </w:p>
              </w:tc>
              <w:tc>
                <w:tcPr>
                  <w:tcW w:w="771" w:type="dxa"/>
                  <w:gridSpan w:val="2"/>
                  <w:vAlign w:val="center"/>
                </w:tcPr>
                <w:p w14:paraId="2DB2411A">
                  <w:pPr>
                    <w:pStyle w:val="29"/>
                  </w:pPr>
                  <w:r>
                    <w:rPr>
                      <w:rFonts w:eastAsia="等线"/>
                      <w:color w:val="0000FF"/>
                    </w:rPr>
                    <w:t xml:space="preserve">0.0001 </w:t>
                  </w:r>
                </w:p>
              </w:tc>
              <w:tc>
                <w:tcPr>
                  <w:tcW w:w="702" w:type="dxa"/>
                  <w:vAlign w:val="center"/>
                </w:tcPr>
                <w:p w14:paraId="2A7854A5">
                  <w:pPr>
                    <w:pStyle w:val="29"/>
                  </w:pPr>
                  <w:r>
                    <w:rPr>
                      <w:rFonts w:eastAsia="等线"/>
                      <w:color w:val="0000FF"/>
                    </w:rPr>
                    <w:t>0.0001</w:t>
                  </w:r>
                </w:p>
              </w:tc>
              <w:tc>
                <w:tcPr>
                  <w:tcW w:w="910" w:type="dxa"/>
                  <w:gridSpan w:val="2"/>
                  <w:vAlign w:val="center"/>
                </w:tcPr>
                <w:p w14:paraId="6553FB61">
                  <w:pPr>
                    <w:pStyle w:val="29"/>
                  </w:pPr>
                  <w:r>
                    <w:t>/</w:t>
                  </w:r>
                </w:p>
              </w:tc>
              <w:tc>
                <w:tcPr>
                  <w:tcW w:w="522" w:type="dxa"/>
                  <w:vMerge w:val="continue"/>
                  <w:vAlign w:val="center"/>
                </w:tcPr>
                <w:p w14:paraId="61DFB657">
                  <w:pPr>
                    <w:pStyle w:val="29"/>
                  </w:pPr>
                </w:p>
              </w:tc>
            </w:tr>
            <w:tr w14:paraId="74FCCDE7">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40" w:hRule="atLeast"/>
              </w:trPr>
              <w:tc>
                <w:tcPr>
                  <w:tcW w:w="450" w:type="dxa"/>
                  <w:vMerge w:val="continue"/>
                  <w:vAlign w:val="center"/>
                </w:tcPr>
                <w:p w14:paraId="1B4335A9">
                  <w:pPr>
                    <w:pStyle w:val="29"/>
                  </w:pPr>
                </w:p>
              </w:tc>
              <w:tc>
                <w:tcPr>
                  <w:tcW w:w="1448" w:type="dxa"/>
                  <w:noWrap/>
                  <w:vAlign w:val="center"/>
                </w:tcPr>
                <w:p w14:paraId="7C6E5820">
                  <w:pPr>
                    <w:pStyle w:val="29"/>
                  </w:pPr>
                  <w:r>
                    <w:t>印刷</w:t>
                  </w:r>
                </w:p>
              </w:tc>
              <w:tc>
                <w:tcPr>
                  <w:tcW w:w="547" w:type="dxa"/>
                  <w:vAlign w:val="center"/>
                </w:tcPr>
                <w:p w14:paraId="00C7B923">
                  <w:pPr>
                    <w:pStyle w:val="29"/>
                    <w:rPr>
                      <w:color w:val="EE0000"/>
                      <w14:props3d w14:extrusionH="0" w14:contourW="0" w14:prstMaterial="matte"/>
                    </w:rPr>
                  </w:pPr>
                  <w:r>
                    <w:rPr>
                      <w:rFonts w:hint="eastAsia"/>
                    </w:rPr>
                    <w:t>/</w:t>
                  </w:r>
                </w:p>
              </w:tc>
              <w:tc>
                <w:tcPr>
                  <w:tcW w:w="1145" w:type="dxa"/>
                  <w:noWrap/>
                  <w:vAlign w:val="center"/>
                </w:tcPr>
                <w:p w14:paraId="678B604F">
                  <w:pPr>
                    <w:pStyle w:val="29"/>
                    <w:rPr>
                      <w:color w:val="EE0000"/>
                      <w14:props3d w14:extrusionH="0" w14:contourW="0" w14:prstMaterial="matte"/>
                    </w:rPr>
                  </w:pPr>
                  <w:r>
                    <w:rPr>
                      <w:rFonts w:hint="eastAsia"/>
                      <w:color w:val="0000FF"/>
                    </w:rPr>
                    <w:t>非甲烷总烃</w:t>
                  </w:r>
                </w:p>
              </w:tc>
              <w:tc>
                <w:tcPr>
                  <w:tcW w:w="697" w:type="dxa"/>
                  <w:tcBorders>
                    <w:top w:val="nil"/>
                    <w:left w:val="single" w:color="auto" w:sz="4" w:space="0"/>
                    <w:bottom w:val="single" w:color="auto" w:sz="4" w:space="0"/>
                    <w:right w:val="single" w:color="auto" w:sz="4" w:space="0"/>
                  </w:tcBorders>
                  <w:shd w:val="clear" w:color="auto" w:fill="auto"/>
                  <w:noWrap/>
                  <w:vAlign w:val="center"/>
                </w:tcPr>
                <w:p w14:paraId="68FAB6D3">
                  <w:pPr>
                    <w:pStyle w:val="29"/>
                    <w:rPr>
                      <w:color w:val="0000FF"/>
                    </w:rPr>
                  </w:pPr>
                  <w:r>
                    <w:rPr>
                      <w:rFonts w:eastAsia="等线"/>
                      <w:color w:val="0000FF"/>
                    </w:rPr>
                    <w:t xml:space="preserve">0.0006 </w:t>
                  </w:r>
                </w:p>
              </w:tc>
              <w:tc>
                <w:tcPr>
                  <w:tcW w:w="709" w:type="dxa"/>
                  <w:tcBorders>
                    <w:top w:val="nil"/>
                    <w:left w:val="nil"/>
                    <w:bottom w:val="single" w:color="auto" w:sz="4" w:space="0"/>
                    <w:right w:val="single" w:color="auto" w:sz="4" w:space="0"/>
                  </w:tcBorders>
                  <w:shd w:val="clear" w:color="auto" w:fill="auto"/>
                  <w:noWrap/>
                  <w:vAlign w:val="center"/>
                </w:tcPr>
                <w:p w14:paraId="7544ADB7">
                  <w:pPr>
                    <w:pStyle w:val="29"/>
                    <w:rPr>
                      <w:color w:val="0000FF"/>
                    </w:rPr>
                  </w:pPr>
                  <w:r>
                    <w:rPr>
                      <w:rFonts w:eastAsia="等线"/>
                      <w:color w:val="0000FF"/>
                    </w:rPr>
                    <w:t>0.0006</w:t>
                  </w:r>
                </w:p>
              </w:tc>
              <w:tc>
                <w:tcPr>
                  <w:tcW w:w="852" w:type="dxa"/>
                  <w:shd w:val="clear" w:color="auto" w:fill="auto"/>
                  <w:vAlign w:val="center"/>
                </w:tcPr>
                <w:p w14:paraId="66C9495A">
                  <w:pPr>
                    <w:pStyle w:val="29"/>
                  </w:pPr>
                  <w:r>
                    <w:t>/</w:t>
                  </w:r>
                </w:p>
              </w:tc>
              <w:tc>
                <w:tcPr>
                  <w:tcW w:w="3024" w:type="dxa"/>
                  <w:gridSpan w:val="5"/>
                  <w:vMerge w:val="continue"/>
                </w:tcPr>
                <w:p w14:paraId="50820160">
                  <w:pPr>
                    <w:pStyle w:val="29"/>
                    <w:rPr>
                      <w:color w:val="EE0000"/>
                    </w:rPr>
                  </w:pPr>
                </w:p>
              </w:tc>
              <w:tc>
                <w:tcPr>
                  <w:tcW w:w="680" w:type="dxa"/>
                  <w:vAlign w:val="center"/>
                </w:tcPr>
                <w:p w14:paraId="090FB8C5">
                  <w:pPr>
                    <w:pStyle w:val="29"/>
                    <w:rPr>
                      <w:color w:val="EE0000"/>
                    </w:rPr>
                  </w:pPr>
                  <w:r>
                    <w:rPr>
                      <w:rFonts w:hint="eastAsia"/>
                    </w:rPr>
                    <w:t>/</w:t>
                  </w:r>
                </w:p>
              </w:tc>
              <w:tc>
                <w:tcPr>
                  <w:tcW w:w="576" w:type="dxa"/>
                  <w:vAlign w:val="center"/>
                </w:tcPr>
                <w:p w14:paraId="6DFFAEB7">
                  <w:pPr>
                    <w:pStyle w:val="29"/>
                    <w:rPr>
                      <w:color w:val="EE0000"/>
                    </w:rPr>
                  </w:pPr>
                  <w:r>
                    <w:rPr>
                      <w:rFonts w:hint="eastAsia"/>
                    </w:rPr>
                    <w:t>/</w:t>
                  </w:r>
                </w:p>
              </w:tc>
              <w:tc>
                <w:tcPr>
                  <w:tcW w:w="771" w:type="dxa"/>
                  <w:gridSpan w:val="2"/>
                  <w:vAlign w:val="center"/>
                </w:tcPr>
                <w:p w14:paraId="2659BAEC">
                  <w:pPr>
                    <w:pStyle w:val="29"/>
                  </w:pPr>
                  <w:r>
                    <w:rPr>
                      <w:rFonts w:eastAsia="等线"/>
                      <w:color w:val="0000FF"/>
                    </w:rPr>
                    <w:t xml:space="preserve">0.0006 </w:t>
                  </w:r>
                </w:p>
              </w:tc>
              <w:tc>
                <w:tcPr>
                  <w:tcW w:w="702" w:type="dxa"/>
                  <w:vAlign w:val="center"/>
                </w:tcPr>
                <w:p w14:paraId="5B64A9F4">
                  <w:pPr>
                    <w:pStyle w:val="29"/>
                  </w:pPr>
                  <w:r>
                    <w:rPr>
                      <w:rFonts w:eastAsia="等线"/>
                      <w:color w:val="0000FF"/>
                    </w:rPr>
                    <w:t>0.0006</w:t>
                  </w:r>
                </w:p>
              </w:tc>
              <w:tc>
                <w:tcPr>
                  <w:tcW w:w="910" w:type="dxa"/>
                  <w:gridSpan w:val="2"/>
                  <w:vAlign w:val="center"/>
                </w:tcPr>
                <w:p w14:paraId="3FD8D4A6">
                  <w:pPr>
                    <w:pStyle w:val="29"/>
                  </w:pPr>
                  <w:r>
                    <w:t>/</w:t>
                  </w:r>
                </w:p>
              </w:tc>
              <w:tc>
                <w:tcPr>
                  <w:tcW w:w="522" w:type="dxa"/>
                  <w:vMerge w:val="continue"/>
                  <w:vAlign w:val="center"/>
                </w:tcPr>
                <w:p w14:paraId="7C62CA6E">
                  <w:pPr>
                    <w:pStyle w:val="29"/>
                  </w:pPr>
                </w:p>
              </w:tc>
            </w:tr>
            <w:tr w14:paraId="5CE3EDD8">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40" w:hRule="atLeast"/>
              </w:trPr>
              <w:tc>
                <w:tcPr>
                  <w:tcW w:w="450" w:type="dxa"/>
                  <w:vMerge w:val="continue"/>
                  <w:vAlign w:val="center"/>
                </w:tcPr>
                <w:p w14:paraId="49338E34">
                  <w:pPr>
                    <w:pStyle w:val="29"/>
                  </w:pPr>
                </w:p>
              </w:tc>
              <w:tc>
                <w:tcPr>
                  <w:tcW w:w="1448" w:type="dxa"/>
                  <w:noWrap/>
                  <w:vAlign w:val="center"/>
                </w:tcPr>
                <w:p w14:paraId="59E33077">
                  <w:pPr>
                    <w:pStyle w:val="29"/>
                  </w:pPr>
                  <w:r>
                    <w:rPr>
                      <w:color w:val="0000FF"/>
                    </w:rPr>
                    <w:t>印刷</w:t>
                  </w:r>
                  <w:r>
                    <w:rPr>
                      <w:rFonts w:hint="eastAsia"/>
                      <w:color w:val="0000FF"/>
                    </w:rPr>
                    <w:t>机清洗</w:t>
                  </w:r>
                </w:p>
              </w:tc>
              <w:tc>
                <w:tcPr>
                  <w:tcW w:w="547" w:type="dxa"/>
                  <w:vAlign w:val="center"/>
                </w:tcPr>
                <w:p w14:paraId="7BC71B52">
                  <w:pPr>
                    <w:pStyle w:val="29"/>
                  </w:pPr>
                </w:p>
              </w:tc>
              <w:tc>
                <w:tcPr>
                  <w:tcW w:w="1145" w:type="dxa"/>
                  <w:noWrap/>
                  <w:vAlign w:val="center"/>
                </w:tcPr>
                <w:p w14:paraId="20700DAE">
                  <w:pPr>
                    <w:pStyle w:val="29"/>
                    <w:rPr>
                      <w:color w:val="0000FF"/>
                    </w:rPr>
                  </w:pPr>
                  <w:r>
                    <w:rPr>
                      <w:rFonts w:hint="eastAsia"/>
                      <w:color w:val="0000FF"/>
                    </w:rPr>
                    <w:t>非甲烷总烃</w:t>
                  </w:r>
                </w:p>
              </w:tc>
              <w:tc>
                <w:tcPr>
                  <w:tcW w:w="697" w:type="dxa"/>
                  <w:tcBorders>
                    <w:top w:val="nil"/>
                    <w:left w:val="single" w:color="auto" w:sz="4" w:space="0"/>
                    <w:bottom w:val="single" w:color="auto" w:sz="4" w:space="0"/>
                    <w:right w:val="single" w:color="auto" w:sz="4" w:space="0"/>
                  </w:tcBorders>
                  <w:shd w:val="clear" w:color="auto" w:fill="auto"/>
                  <w:noWrap/>
                  <w:vAlign w:val="center"/>
                </w:tcPr>
                <w:p w14:paraId="05C98D7A">
                  <w:pPr>
                    <w:pStyle w:val="29"/>
                    <w:rPr>
                      <w:color w:val="0000FF"/>
                    </w:rPr>
                  </w:pPr>
                  <w:r>
                    <w:rPr>
                      <w:rFonts w:eastAsia="等线"/>
                      <w:color w:val="0000FF"/>
                    </w:rPr>
                    <w:t xml:space="preserve">0.0002 </w:t>
                  </w:r>
                </w:p>
              </w:tc>
              <w:tc>
                <w:tcPr>
                  <w:tcW w:w="709" w:type="dxa"/>
                  <w:tcBorders>
                    <w:top w:val="nil"/>
                    <w:left w:val="nil"/>
                    <w:bottom w:val="single" w:color="auto" w:sz="4" w:space="0"/>
                    <w:right w:val="single" w:color="auto" w:sz="4" w:space="0"/>
                  </w:tcBorders>
                  <w:shd w:val="clear" w:color="auto" w:fill="auto"/>
                  <w:noWrap/>
                  <w:vAlign w:val="center"/>
                </w:tcPr>
                <w:p w14:paraId="20453CD1">
                  <w:pPr>
                    <w:pStyle w:val="29"/>
                    <w:rPr>
                      <w:color w:val="0000FF"/>
                    </w:rPr>
                  </w:pPr>
                  <w:r>
                    <w:rPr>
                      <w:rFonts w:eastAsia="等线"/>
                      <w:color w:val="0000FF"/>
                    </w:rPr>
                    <w:t>0.0002</w:t>
                  </w:r>
                </w:p>
              </w:tc>
              <w:tc>
                <w:tcPr>
                  <w:tcW w:w="852" w:type="dxa"/>
                  <w:shd w:val="clear" w:color="auto" w:fill="auto"/>
                  <w:vAlign w:val="center"/>
                </w:tcPr>
                <w:p w14:paraId="1B3AD9F2">
                  <w:pPr>
                    <w:pStyle w:val="29"/>
                  </w:pPr>
                </w:p>
              </w:tc>
              <w:tc>
                <w:tcPr>
                  <w:tcW w:w="3024" w:type="dxa"/>
                  <w:gridSpan w:val="5"/>
                  <w:vMerge w:val="continue"/>
                </w:tcPr>
                <w:p w14:paraId="3BC7DF59">
                  <w:pPr>
                    <w:pStyle w:val="29"/>
                    <w:rPr>
                      <w:color w:val="EE0000"/>
                    </w:rPr>
                  </w:pPr>
                </w:p>
              </w:tc>
              <w:tc>
                <w:tcPr>
                  <w:tcW w:w="680" w:type="dxa"/>
                  <w:vAlign w:val="center"/>
                </w:tcPr>
                <w:p w14:paraId="7DD02947">
                  <w:pPr>
                    <w:pStyle w:val="29"/>
                    <w:rPr>
                      <w:color w:val="EE0000"/>
                    </w:rPr>
                  </w:pPr>
                </w:p>
              </w:tc>
              <w:tc>
                <w:tcPr>
                  <w:tcW w:w="576" w:type="dxa"/>
                  <w:vAlign w:val="center"/>
                </w:tcPr>
                <w:p w14:paraId="35CC81BA">
                  <w:pPr>
                    <w:pStyle w:val="29"/>
                    <w:rPr>
                      <w:color w:val="EE0000"/>
                    </w:rPr>
                  </w:pPr>
                </w:p>
              </w:tc>
              <w:tc>
                <w:tcPr>
                  <w:tcW w:w="771" w:type="dxa"/>
                  <w:gridSpan w:val="2"/>
                  <w:vAlign w:val="center"/>
                </w:tcPr>
                <w:p w14:paraId="01999D02">
                  <w:pPr>
                    <w:pStyle w:val="29"/>
                    <w:rPr>
                      <w:color w:val="EE0000"/>
                    </w:rPr>
                  </w:pPr>
                  <w:r>
                    <w:rPr>
                      <w:rFonts w:eastAsia="等线"/>
                      <w:color w:val="0000FF"/>
                    </w:rPr>
                    <w:t xml:space="preserve">0.0002 </w:t>
                  </w:r>
                </w:p>
              </w:tc>
              <w:tc>
                <w:tcPr>
                  <w:tcW w:w="702" w:type="dxa"/>
                  <w:vAlign w:val="center"/>
                </w:tcPr>
                <w:p w14:paraId="7D29006F">
                  <w:pPr>
                    <w:pStyle w:val="29"/>
                    <w:rPr>
                      <w:color w:val="EE0000"/>
                    </w:rPr>
                  </w:pPr>
                  <w:r>
                    <w:rPr>
                      <w:rFonts w:eastAsia="等线"/>
                      <w:color w:val="0000FF"/>
                    </w:rPr>
                    <w:t>0.0002</w:t>
                  </w:r>
                </w:p>
              </w:tc>
              <w:tc>
                <w:tcPr>
                  <w:tcW w:w="910" w:type="dxa"/>
                  <w:gridSpan w:val="2"/>
                  <w:vAlign w:val="center"/>
                </w:tcPr>
                <w:p w14:paraId="290290B2">
                  <w:pPr>
                    <w:pStyle w:val="29"/>
                  </w:pPr>
                </w:p>
              </w:tc>
              <w:tc>
                <w:tcPr>
                  <w:tcW w:w="522" w:type="dxa"/>
                  <w:vMerge w:val="continue"/>
                  <w:vAlign w:val="center"/>
                </w:tcPr>
                <w:p w14:paraId="6275D11B">
                  <w:pPr>
                    <w:pStyle w:val="29"/>
                  </w:pPr>
                </w:p>
              </w:tc>
            </w:tr>
            <w:tr w14:paraId="505FA9F5">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40" w:hRule="atLeast"/>
              </w:trPr>
              <w:tc>
                <w:tcPr>
                  <w:tcW w:w="450" w:type="dxa"/>
                  <w:vMerge w:val="continue"/>
                  <w:vAlign w:val="center"/>
                </w:tcPr>
                <w:p w14:paraId="560C781B">
                  <w:pPr>
                    <w:pStyle w:val="29"/>
                  </w:pPr>
                </w:p>
              </w:tc>
              <w:tc>
                <w:tcPr>
                  <w:tcW w:w="1448" w:type="dxa"/>
                  <w:noWrap/>
                  <w:vAlign w:val="center"/>
                </w:tcPr>
                <w:p w14:paraId="3768800C">
                  <w:pPr>
                    <w:pStyle w:val="29"/>
                    <w:rPr>
                      <w:color w:val="EE0000"/>
                    </w:rPr>
                  </w:pPr>
                  <w:r>
                    <w:t>喷漆</w:t>
                  </w:r>
                  <w:r>
                    <w:rPr>
                      <w:rFonts w:hint="eastAsia"/>
                    </w:rPr>
                    <w:t>及</w:t>
                  </w:r>
                  <w:r>
                    <w:t>烘干</w:t>
                  </w:r>
                </w:p>
              </w:tc>
              <w:tc>
                <w:tcPr>
                  <w:tcW w:w="547" w:type="dxa"/>
                  <w:vAlign w:val="center"/>
                </w:tcPr>
                <w:p w14:paraId="62A62286">
                  <w:pPr>
                    <w:pStyle w:val="29"/>
                    <w:rPr>
                      <w:color w:val="EE0000"/>
                      <w14:props3d w14:extrusionH="0" w14:contourW="0" w14:prstMaterial="matte"/>
                    </w:rPr>
                  </w:pPr>
                  <w:r>
                    <w:rPr>
                      <w:rFonts w:hint="eastAsia"/>
                    </w:rPr>
                    <w:t>/</w:t>
                  </w:r>
                </w:p>
              </w:tc>
              <w:tc>
                <w:tcPr>
                  <w:tcW w:w="1145" w:type="dxa"/>
                  <w:noWrap/>
                  <w:vAlign w:val="center"/>
                </w:tcPr>
                <w:p w14:paraId="4149FEB6">
                  <w:pPr>
                    <w:pStyle w:val="29"/>
                    <w:rPr>
                      <w:color w:val="EE0000"/>
                      <w14:props3d w14:extrusionH="0" w14:contourW="0" w14:prstMaterial="matte"/>
                    </w:rPr>
                  </w:pPr>
                  <w:r>
                    <w:rPr>
                      <w:rFonts w:hint="eastAsia"/>
                      <w:color w:val="0000FF"/>
                    </w:rPr>
                    <w:t>非甲烷总烃</w:t>
                  </w:r>
                </w:p>
              </w:tc>
              <w:tc>
                <w:tcPr>
                  <w:tcW w:w="697" w:type="dxa"/>
                  <w:tcBorders>
                    <w:top w:val="nil"/>
                    <w:left w:val="single" w:color="auto" w:sz="4" w:space="0"/>
                    <w:bottom w:val="single" w:color="auto" w:sz="4" w:space="0"/>
                    <w:right w:val="single" w:color="auto" w:sz="4" w:space="0"/>
                  </w:tcBorders>
                  <w:shd w:val="clear" w:color="auto" w:fill="auto"/>
                  <w:noWrap/>
                  <w:vAlign w:val="center"/>
                </w:tcPr>
                <w:p w14:paraId="4EBD6655">
                  <w:pPr>
                    <w:pStyle w:val="29"/>
                    <w:rPr>
                      <w:color w:val="0000FF"/>
                    </w:rPr>
                  </w:pPr>
                  <w:r>
                    <w:rPr>
                      <w:rFonts w:eastAsia="等线"/>
                      <w:color w:val="0000FF"/>
                    </w:rPr>
                    <w:t xml:space="preserve">0.0172 </w:t>
                  </w:r>
                </w:p>
              </w:tc>
              <w:tc>
                <w:tcPr>
                  <w:tcW w:w="709" w:type="dxa"/>
                  <w:tcBorders>
                    <w:top w:val="nil"/>
                    <w:left w:val="nil"/>
                    <w:bottom w:val="single" w:color="auto" w:sz="4" w:space="0"/>
                    <w:right w:val="single" w:color="auto" w:sz="4" w:space="0"/>
                  </w:tcBorders>
                  <w:shd w:val="clear" w:color="auto" w:fill="auto"/>
                  <w:noWrap/>
                  <w:vAlign w:val="center"/>
                </w:tcPr>
                <w:p w14:paraId="530B9907">
                  <w:pPr>
                    <w:pStyle w:val="29"/>
                    <w:rPr>
                      <w:color w:val="0000FF"/>
                    </w:rPr>
                  </w:pPr>
                  <w:r>
                    <w:rPr>
                      <w:rFonts w:eastAsia="等线"/>
                      <w:color w:val="0000FF"/>
                    </w:rPr>
                    <w:t>0.0191</w:t>
                  </w:r>
                </w:p>
              </w:tc>
              <w:tc>
                <w:tcPr>
                  <w:tcW w:w="852" w:type="dxa"/>
                  <w:shd w:val="clear" w:color="auto" w:fill="auto"/>
                  <w:vAlign w:val="center"/>
                </w:tcPr>
                <w:p w14:paraId="7EFA8CB0">
                  <w:pPr>
                    <w:pStyle w:val="29"/>
                  </w:pPr>
                  <w:r>
                    <w:t>/</w:t>
                  </w:r>
                </w:p>
              </w:tc>
              <w:tc>
                <w:tcPr>
                  <w:tcW w:w="3024" w:type="dxa"/>
                  <w:gridSpan w:val="5"/>
                  <w:vMerge w:val="continue"/>
                </w:tcPr>
                <w:p w14:paraId="0DF35573">
                  <w:pPr>
                    <w:pStyle w:val="29"/>
                    <w:rPr>
                      <w:color w:val="EE0000"/>
                    </w:rPr>
                  </w:pPr>
                </w:p>
              </w:tc>
              <w:tc>
                <w:tcPr>
                  <w:tcW w:w="680" w:type="dxa"/>
                  <w:vAlign w:val="center"/>
                </w:tcPr>
                <w:p w14:paraId="73EB6661">
                  <w:pPr>
                    <w:pStyle w:val="29"/>
                    <w:rPr>
                      <w:color w:val="EE0000"/>
                    </w:rPr>
                  </w:pPr>
                  <w:r>
                    <w:rPr>
                      <w:rFonts w:hint="eastAsia"/>
                    </w:rPr>
                    <w:t>/</w:t>
                  </w:r>
                </w:p>
              </w:tc>
              <w:tc>
                <w:tcPr>
                  <w:tcW w:w="576" w:type="dxa"/>
                  <w:vAlign w:val="center"/>
                </w:tcPr>
                <w:p w14:paraId="0012F6D8">
                  <w:pPr>
                    <w:pStyle w:val="29"/>
                    <w:rPr>
                      <w:color w:val="EE0000"/>
                    </w:rPr>
                  </w:pPr>
                  <w:r>
                    <w:rPr>
                      <w:rFonts w:hint="eastAsia"/>
                    </w:rPr>
                    <w:t>/</w:t>
                  </w:r>
                </w:p>
              </w:tc>
              <w:tc>
                <w:tcPr>
                  <w:tcW w:w="771" w:type="dxa"/>
                  <w:gridSpan w:val="2"/>
                  <w:vAlign w:val="center"/>
                </w:tcPr>
                <w:p w14:paraId="6F3E53A2">
                  <w:pPr>
                    <w:pStyle w:val="29"/>
                  </w:pPr>
                  <w:r>
                    <w:rPr>
                      <w:rFonts w:eastAsia="等线"/>
                      <w:color w:val="0000FF"/>
                    </w:rPr>
                    <w:t xml:space="preserve">0.0172 </w:t>
                  </w:r>
                </w:p>
              </w:tc>
              <w:tc>
                <w:tcPr>
                  <w:tcW w:w="702" w:type="dxa"/>
                  <w:vAlign w:val="center"/>
                </w:tcPr>
                <w:p w14:paraId="451B734D">
                  <w:pPr>
                    <w:pStyle w:val="29"/>
                  </w:pPr>
                  <w:r>
                    <w:rPr>
                      <w:rFonts w:eastAsia="等线"/>
                      <w:color w:val="0000FF"/>
                    </w:rPr>
                    <w:t>0.0191</w:t>
                  </w:r>
                </w:p>
              </w:tc>
              <w:tc>
                <w:tcPr>
                  <w:tcW w:w="910" w:type="dxa"/>
                  <w:gridSpan w:val="2"/>
                  <w:vAlign w:val="center"/>
                </w:tcPr>
                <w:p w14:paraId="492317C8">
                  <w:pPr>
                    <w:pStyle w:val="29"/>
                  </w:pPr>
                  <w:r>
                    <w:t>/</w:t>
                  </w:r>
                </w:p>
              </w:tc>
              <w:tc>
                <w:tcPr>
                  <w:tcW w:w="522" w:type="dxa"/>
                  <w:vMerge w:val="continue"/>
                  <w:vAlign w:val="center"/>
                </w:tcPr>
                <w:p w14:paraId="62542015">
                  <w:pPr>
                    <w:pStyle w:val="29"/>
                  </w:pPr>
                </w:p>
              </w:tc>
            </w:tr>
            <w:tr w14:paraId="44E94C97">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40" w:hRule="atLeast"/>
              </w:trPr>
              <w:tc>
                <w:tcPr>
                  <w:tcW w:w="450" w:type="dxa"/>
                  <w:vMerge w:val="continue"/>
                  <w:vAlign w:val="center"/>
                </w:tcPr>
                <w:p w14:paraId="39ECFEEB">
                  <w:pPr>
                    <w:pStyle w:val="29"/>
                  </w:pPr>
                </w:p>
              </w:tc>
              <w:tc>
                <w:tcPr>
                  <w:tcW w:w="1448" w:type="dxa"/>
                  <w:noWrap/>
                  <w:vAlign w:val="center"/>
                </w:tcPr>
                <w:p w14:paraId="53FC6106">
                  <w:pPr>
                    <w:pStyle w:val="29"/>
                    <w:rPr>
                      <w:color w:val="EE0000"/>
                    </w:rPr>
                  </w:pPr>
                  <w:r>
                    <w:t>漆雾</w:t>
                  </w:r>
                </w:p>
              </w:tc>
              <w:tc>
                <w:tcPr>
                  <w:tcW w:w="547" w:type="dxa"/>
                  <w:vAlign w:val="center"/>
                </w:tcPr>
                <w:p w14:paraId="56EF7A35">
                  <w:pPr>
                    <w:pStyle w:val="29"/>
                    <w:rPr>
                      <w:color w:val="EE0000"/>
                      <w14:props3d w14:extrusionH="0" w14:contourW="0" w14:prstMaterial="matte"/>
                    </w:rPr>
                  </w:pPr>
                  <w:r>
                    <w:rPr>
                      <w:rFonts w:hint="eastAsia"/>
                    </w:rPr>
                    <w:t>/</w:t>
                  </w:r>
                </w:p>
              </w:tc>
              <w:tc>
                <w:tcPr>
                  <w:tcW w:w="1145" w:type="dxa"/>
                  <w:noWrap/>
                  <w:vAlign w:val="center"/>
                </w:tcPr>
                <w:p w14:paraId="20AA13F4">
                  <w:pPr>
                    <w:pStyle w:val="29"/>
                    <w:rPr>
                      <w:color w:val="EE0000"/>
                      <w14:props3d w14:extrusionH="0" w14:contourW="0" w14:prstMaterial="matte"/>
                    </w:rPr>
                  </w:pPr>
                  <w:r>
                    <w:t>颗粒物</w:t>
                  </w:r>
                </w:p>
              </w:tc>
              <w:tc>
                <w:tcPr>
                  <w:tcW w:w="697" w:type="dxa"/>
                  <w:shd w:val="clear" w:color="auto" w:fill="auto"/>
                  <w:noWrap/>
                  <w:vAlign w:val="center"/>
                </w:tcPr>
                <w:p w14:paraId="37CC2A38">
                  <w:pPr>
                    <w:pStyle w:val="29"/>
                    <w:rPr>
                      <w:color w:val="0000FF"/>
                    </w:rPr>
                  </w:pPr>
                  <w:r>
                    <w:rPr>
                      <w:rFonts w:eastAsia="等线"/>
                      <w:color w:val="0000FF"/>
                    </w:rPr>
                    <w:t xml:space="preserve">0.1100 </w:t>
                  </w:r>
                </w:p>
              </w:tc>
              <w:tc>
                <w:tcPr>
                  <w:tcW w:w="709" w:type="dxa"/>
                  <w:tcBorders>
                    <w:top w:val="nil"/>
                    <w:left w:val="single" w:color="auto" w:sz="4" w:space="0"/>
                    <w:bottom w:val="single" w:color="auto" w:sz="4" w:space="0"/>
                    <w:right w:val="single" w:color="auto" w:sz="4" w:space="0"/>
                  </w:tcBorders>
                  <w:shd w:val="clear" w:color="auto" w:fill="auto"/>
                  <w:noWrap/>
                  <w:vAlign w:val="center"/>
                </w:tcPr>
                <w:p w14:paraId="2E7C7120">
                  <w:pPr>
                    <w:pStyle w:val="29"/>
                    <w:rPr>
                      <w:color w:val="0000FF"/>
                    </w:rPr>
                  </w:pPr>
                  <w:r>
                    <w:rPr>
                      <w:rFonts w:eastAsia="等线"/>
                      <w:color w:val="0000FF"/>
                    </w:rPr>
                    <w:t>0.1223</w:t>
                  </w:r>
                </w:p>
              </w:tc>
              <w:tc>
                <w:tcPr>
                  <w:tcW w:w="852" w:type="dxa"/>
                  <w:shd w:val="clear" w:color="auto" w:fill="auto"/>
                  <w:vAlign w:val="center"/>
                </w:tcPr>
                <w:p w14:paraId="770C96BD">
                  <w:pPr>
                    <w:pStyle w:val="29"/>
                    <w:rPr>
                      <w:color w:val="EE0000"/>
                    </w:rPr>
                  </w:pPr>
                  <w:r>
                    <w:rPr>
                      <w:color w:val="EE0000"/>
                    </w:rPr>
                    <w:t>/</w:t>
                  </w:r>
                </w:p>
              </w:tc>
              <w:tc>
                <w:tcPr>
                  <w:tcW w:w="3024" w:type="dxa"/>
                  <w:gridSpan w:val="5"/>
                  <w:vMerge w:val="continue"/>
                </w:tcPr>
                <w:p w14:paraId="6D1F29AF">
                  <w:pPr>
                    <w:pStyle w:val="29"/>
                    <w:rPr>
                      <w:color w:val="EE0000"/>
                    </w:rPr>
                  </w:pPr>
                </w:p>
              </w:tc>
              <w:tc>
                <w:tcPr>
                  <w:tcW w:w="680" w:type="dxa"/>
                  <w:vAlign w:val="center"/>
                </w:tcPr>
                <w:p w14:paraId="710EAD62">
                  <w:pPr>
                    <w:pStyle w:val="29"/>
                    <w:rPr>
                      <w:color w:val="EE0000"/>
                    </w:rPr>
                  </w:pPr>
                  <w:r>
                    <w:rPr>
                      <w:rFonts w:hint="eastAsia"/>
                    </w:rPr>
                    <w:t>/</w:t>
                  </w:r>
                </w:p>
              </w:tc>
              <w:tc>
                <w:tcPr>
                  <w:tcW w:w="576" w:type="dxa"/>
                  <w:vAlign w:val="center"/>
                </w:tcPr>
                <w:p w14:paraId="43668AC9">
                  <w:pPr>
                    <w:pStyle w:val="29"/>
                    <w:rPr>
                      <w:color w:val="EE0000"/>
                    </w:rPr>
                  </w:pPr>
                  <w:r>
                    <w:rPr>
                      <w:rFonts w:hint="eastAsia"/>
                    </w:rPr>
                    <w:t>/</w:t>
                  </w:r>
                </w:p>
              </w:tc>
              <w:tc>
                <w:tcPr>
                  <w:tcW w:w="771" w:type="dxa"/>
                  <w:gridSpan w:val="2"/>
                  <w:vAlign w:val="center"/>
                </w:tcPr>
                <w:p w14:paraId="46927BC3">
                  <w:pPr>
                    <w:pStyle w:val="29"/>
                  </w:pPr>
                  <w:r>
                    <w:rPr>
                      <w:rFonts w:eastAsia="等线"/>
                      <w:color w:val="0000FF"/>
                    </w:rPr>
                    <w:t xml:space="preserve">0.1100 </w:t>
                  </w:r>
                </w:p>
              </w:tc>
              <w:tc>
                <w:tcPr>
                  <w:tcW w:w="702" w:type="dxa"/>
                  <w:vAlign w:val="center"/>
                </w:tcPr>
                <w:p w14:paraId="7CA2C4E6">
                  <w:pPr>
                    <w:pStyle w:val="29"/>
                  </w:pPr>
                  <w:r>
                    <w:rPr>
                      <w:rFonts w:eastAsia="等线"/>
                      <w:color w:val="0000FF"/>
                    </w:rPr>
                    <w:t>0.1223</w:t>
                  </w:r>
                </w:p>
              </w:tc>
              <w:tc>
                <w:tcPr>
                  <w:tcW w:w="910" w:type="dxa"/>
                  <w:gridSpan w:val="2"/>
                  <w:vAlign w:val="center"/>
                </w:tcPr>
                <w:p w14:paraId="0B689C53">
                  <w:pPr>
                    <w:pStyle w:val="29"/>
                  </w:pPr>
                  <w:r>
                    <w:rPr>
                      <w:color w:val="EE0000"/>
                    </w:rPr>
                    <w:t>/</w:t>
                  </w:r>
                </w:p>
              </w:tc>
              <w:tc>
                <w:tcPr>
                  <w:tcW w:w="522" w:type="dxa"/>
                  <w:vMerge w:val="continue"/>
                  <w:vAlign w:val="center"/>
                </w:tcPr>
                <w:p w14:paraId="4741DDDD">
                  <w:pPr>
                    <w:pStyle w:val="29"/>
                  </w:pPr>
                </w:p>
              </w:tc>
            </w:tr>
            <w:tr w14:paraId="77A2163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40" w:hRule="atLeast"/>
              </w:trPr>
              <w:tc>
                <w:tcPr>
                  <w:tcW w:w="450" w:type="dxa"/>
                  <w:vMerge w:val="continue"/>
                  <w:vAlign w:val="center"/>
                </w:tcPr>
                <w:p w14:paraId="5506BF22">
                  <w:pPr>
                    <w:pStyle w:val="29"/>
                  </w:pPr>
                </w:p>
              </w:tc>
              <w:tc>
                <w:tcPr>
                  <w:tcW w:w="1448" w:type="dxa"/>
                  <w:noWrap/>
                  <w:vAlign w:val="center"/>
                </w:tcPr>
                <w:p w14:paraId="7EDF54D0">
                  <w:pPr>
                    <w:pStyle w:val="29"/>
                  </w:pPr>
                  <w:r>
                    <w:rPr>
                      <w:color w:val="EE0000"/>
                    </w:rPr>
                    <w:t>投料粉尘</w:t>
                  </w:r>
                </w:p>
              </w:tc>
              <w:tc>
                <w:tcPr>
                  <w:tcW w:w="547" w:type="dxa"/>
                  <w:vAlign w:val="center"/>
                </w:tcPr>
                <w:p w14:paraId="72AA4903">
                  <w:pPr>
                    <w:pStyle w:val="29"/>
                  </w:pPr>
                  <w:r>
                    <w:rPr>
                      <w:rFonts w:hint="eastAsia"/>
                    </w:rPr>
                    <w:t>/</w:t>
                  </w:r>
                </w:p>
              </w:tc>
              <w:tc>
                <w:tcPr>
                  <w:tcW w:w="1145" w:type="dxa"/>
                  <w:noWrap/>
                  <w:vAlign w:val="center"/>
                </w:tcPr>
                <w:p w14:paraId="32428BF8">
                  <w:pPr>
                    <w:pStyle w:val="29"/>
                  </w:pPr>
                  <w:r>
                    <w:t>颗粒物</w:t>
                  </w:r>
                </w:p>
              </w:tc>
              <w:tc>
                <w:tcPr>
                  <w:tcW w:w="697" w:type="dxa"/>
                  <w:noWrap/>
                  <w:vAlign w:val="center"/>
                </w:tcPr>
                <w:p w14:paraId="3E007C6A">
                  <w:pPr>
                    <w:pStyle w:val="29"/>
                  </w:pPr>
                  <w:r>
                    <w:t>少量</w:t>
                  </w:r>
                </w:p>
              </w:tc>
              <w:tc>
                <w:tcPr>
                  <w:tcW w:w="709" w:type="dxa"/>
                  <w:noWrap/>
                  <w:vAlign w:val="center"/>
                </w:tcPr>
                <w:p w14:paraId="33B1C7C0">
                  <w:pPr>
                    <w:pStyle w:val="29"/>
                  </w:pPr>
                  <w:r>
                    <w:t>少量</w:t>
                  </w:r>
                </w:p>
              </w:tc>
              <w:tc>
                <w:tcPr>
                  <w:tcW w:w="852" w:type="dxa"/>
                  <w:vAlign w:val="center"/>
                </w:tcPr>
                <w:p w14:paraId="4648D10A">
                  <w:pPr>
                    <w:pStyle w:val="29"/>
                  </w:pPr>
                  <w:r>
                    <w:t>/</w:t>
                  </w:r>
                </w:p>
              </w:tc>
              <w:tc>
                <w:tcPr>
                  <w:tcW w:w="3024" w:type="dxa"/>
                  <w:gridSpan w:val="5"/>
                  <w:vMerge w:val="continue"/>
                </w:tcPr>
                <w:p w14:paraId="087D228F">
                  <w:pPr>
                    <w:pStyle w:val="29"/>
                  </w:pPr>
                </w:p>
              </w:tc>
              <w:tc>
                <w:tcPr>
                  <w:tcW w:w="680" w:type="dxa"/>
                  <w:vAlign w:val="center"/>
                </w:tcPr>
                <w:p w14:paraId="4A4E447E">
                  <w:pPr>
                    <w:pStyle w:val="29"/>
                  </w:pPr>
                  <w:r>
                    <w:rPr>
                      <w:rFonts w:hint="eastAsia"/>
                    </w:rPr>
                    <w:t>/</w:t>
                  </w:r>
                </w:p>
              </w:tc>
              <w:tc>
                <w:tcPr>
                  <w:tcW w:w="576" w:type="dxa"/>
                  <w:vAlign w:val="center"/>
                </w:tcPr>
                <w:p w14:paraId="083C33D2">
                  <w:pPr>
                    <w:pStyle w:val="29"/>
                  </w:pPr>
                  <w:r>
                    <w:rPr>
                      <w:rFonts w:hint="eastAsia"/>
                    </w:rPr>
                    <w:t>/</w:t>
                  </w:r>
                </w:p>
              </w:tc>
              <w:tc>
                <w:tcPr>
                  <w:tcW w:w="771" w:type="dxa"/>
                  <w:gridSpan w:val="2"/>
                  <w:vAlign w:val="center"/>
                </w:tcPr>
                <w:p w14:paraId="70242BB7">
                  <w:pPr>
                    <w:pStyle w:val="29"/>
                  </w:pPr>
                  <w:r>
                    <w:t>少量</w:t>
                  </w:r>
                </w:p>
              </w:tc>
              <w:tc>
                <w:tcPr>
                  <w:tcW w:w="702" w:type="dxa"/>
                  <w:vAlign w:val="center"/>
                </w:tcPr>
                <w:p w14:paraId="36ADF368">
                  <w:pPr>
                    <w:pStyle w:val="29"/>
                  </w:pPr>
                  <w:r>
                    <w:t>少量</w:t>
                  </w:r>
                </w:p>
              </w:tc>
              <w:tc>
                <w:tcPr>
                  <w:tcW w:w="910" w:type="dxa"/>
                  <w:gridSpan w:val="2"/>
                  <w:vAlign w:val="center"/>
                </w:tcPr>
                <w:p w14:paraId="4A5FB439">
                  <w:pPr>
                    <w:pStyle w:val="29"/>
                  </w:pPr>
                  <w:r>
                    <w:t>/</w:t>
                  </w:r>
                </w:p>
              </w:tc>
              <w:tc>
                <w:tcPr>
                  <w:tcW w:w="522" w:type="dxa"/>
                  <w:vMerge w:val="continue"/>
                  <w:vAlign w:val="center"/>
                </w:tcPr>
                <w:p w14:paraId="5491C792">
                  <w:pPr>
                    <w:pStyle w:val="29"/>
                  </w:pPr>
                </w:p>
              </w:tc>
            </w:tr>
            <w:tr w14:paraId="453D7E15">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40" w:hRule="atLeast"/>
              </w:trPr>
              <w:tc>
                <w:tcPr>
                  <w:tcW w:w="450" w:type="dxa"/>
                  <w:vMerge w:val="continue"/>
                  <w:vAlign w:val="center"/>
                </w:tcPr>
                <w:p w14:paraId="203AFE38">
                  <w:pPr>
                    <w:pStyle w:val="29"/>
                  </w:pPr>
                </w:p>
              </w:tc>
              <w:tc>
                <w:tcPr>
                  <w:tcW w:w="1448" w:type="dxa"/>
                  <w:vAlign w:val="center"/>
                </w:tcPr>
                <w:p w14:paraId="123773B4">
                  <w:pPr>
                    <w:pStyle w:val="29"/>
                  </w:pPr>
                  <w:r>
                    <w:t>破碎粉尘</w:t>
                  </w:r>
                </w:p>
              </w:tc>
              <w:tc>
                <w:tcPr>
                  <w:tcW w:w="547" w:type="dxa"/>
                  <w:vAlign w:val="center"/>
                </w:tcPr>
                <w:p w14:paraId="21974A2C">
                  <w:pPr>
                    <w:pStyle w:val="29"/>
                  </w:pPr>
                  <w:r>
                    <w:rPr>
                      <w:rFonts w:hint="eastAsia"/>
                    </w:rPr>
                    <w:t>/</w:t>
                  </w:r>
                </w:p>
              </w:tc>
              <w:tc>
                <w:tcPr>
                  <w:tcW w:w="1145" w:type="dxa"/>
                  <w:vAlign w:val="center"/>
                </w:tcPr>
                <w:p w14:paraId="659008D4">
                  <w:pPr>
                    <w:pStyle w:val="29"/>
                  </w:pPr>
                  <w:r>
                    <w:t>颗粒物</w:t>
                  </w:r>
                </w:p>
              </w:tc>
              <w:tc>
                <w:tcPr>
                  <w:tcW w:w="697" w:type="dxa"/>
                  <w:noWrap/>
                  <w:vAlign w:val="center"/>
                </w:tcPr>
                <w:p w14:paraId="61AF9BFC">
                  <w:pPr>
                    <w:pStyle w:val="29"/>
                  </w:pPr>
                  <w:r>
                    <w:t>0.0018</w:t>
                  </w:r>
                </w:p>
              </w:tc>
              <w:tc>
                <w:tcPr>
                  <w:tcW w:w="709" w:type="dxa"/>
                  <w:noWrap/>
                  <w:vAlign w:val="center"/>
                </w:tcPr>
                <w:p w14:paraId="28FFECC3">
                  <w:pPr>
                    <w:pStyle w:val="29"/>
                  </w:pPr>
                  <w:r>
                    <w:t>0.0004</w:t>
                  </w:r>
                </w:p>
              </w:tc>
              <w:tc>
                <w:tcPr>
                  <w:tcW w:w="852" w:type="dxa"/>
                  <w:vAlign w:val="center"/>
                </w:tcPr>
                <w:p w14:paraId="7D2AC2FD">
                  <w:pPr>
                    <w:pStyle w:val="29"/>
                  </w:pPr>
                  <w:r>
                    <w:t>/</w:t>
                  </w:r>
                </w:p>
              </w:tc>
              <w:tc>
                <w:tcPr>
                  <w:tcW w:w="3024" w:type="dxa"/>
                  <w:gridSpan w:val="5"/>
                  <w:vMerge w:val="continue"/>
                </w:tcPr>
                <w:p w14:paraId="73B41FE5">
                  <w:pPr>
                    <w:pStyle w:val="29"/>
                  </w:pPr>
                </w:p>
              </w:tc>
              <w:tc>
                <w:tcPr>
                  <w:tcW w:w="680" w:type="dxa"/>
                  <w:vAlign w:val="center"/>
                </w:tcPr>
                <w:p w14:paraId="073A0A08">
                  <w:pPr>
                    <w:pStyle w:val="29"/>
                  </w:pPr>
                  <w:r>
                    <w:rPr>
                      <w:rFonts w:hint="eastAsia"/>
                    </w:rPr>
                    <w:t>/</w:t>
                  </w:r>
                </w:p>
              </w:tc>
              <w:tc>
                <w:tcPr>
                  <w:tcW w:w="576" w:type="dxa"/>
                  <w:vAlign w:val="center"/>
                </w:tcPr>
                <w:p w14:paraId="7D01AC34">
                  <w:pPr>
                    <w:pStyle w:val="29"/>
                  </w:pPr>
                  <w:r>
                    <w:rPr>
                      <w:rFonts w:hint="eastAsia"/>
                    </w:rPr>
                    <w:t>/</w:t>
                  </w:r>
                </w:p>
              </w:tc>
              <w:tc>
                <w:tcPr>
                  <w:tcW w:w="771" w:type="dxa"/>
                  <w:gridSpan w:val="2"/>
                  <w:vAlign w:val="center"/>
                </w:tcPr>
                <w:p w14:paraId="1DF0C2B3">
                  <w:pPr>
                    <w:pStyle w:val="29"/>
                  </w:pPr>
                  <w:r>
                    <w:t>0.0018</w:t>
                  </w:r>
                </w:p>
              </w:tc>
              <w:tc>
                <w:tcPr>
                  <w:tcW w:w="702" w:type="dxa"/>
                  <w:vAlign w:val="center"/>
                </w:tcPr>
                <w:p w14:paraId="386A152F">
                  <w:pPr>
                    <w:pStyle w:val="29"/>
                  </w:pPr>
                  <w:r>
                    <w:t>0.0004</w:t>
                  </w:r>
                </w:p>
              </w:tc>
              <w:tc>
                <w:tcPr>
                  <w:tcW w:w="910" w:type="dxa"/>
                  <w:gridSpan w:val="2"/>
                  <w:vAlign w:val="center"/>
                </w:tcPr>
                <w:p w14:paraId="58BB82D7">
                  <w:pPr>
                    <w:pStyle w:val="29"/>
                  </w:pPr>
                  <w:r>
                    <w:t>/</w:t>
                  </w:r>
                </w:p>
              </w:tc>
              <w:tc>
                <w:tcPr>
                  <w:tcW w:w="522" w:type="dxa"/>
                  <w:vMerge w:val="continue"/>
                  <w:vAlign w:val="center"/>
                </w:tcPr>
                <w:p w14:paraId="2C9758FC">
                  <w:pPr>
                    <w:pStyle w:val="29"/>
                  </w:pPr>
                </w:p>
              </w:tc>
            </w:tr>
            <w:tr w14:paraId="73D37E6D">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40" w:hRule="atLeast"/>
              </w:trPr>
              <w:tc>
                <w:tcPr>
                  <w:tcW w:w="450" w:type="dxa"/>
                  <w:vMerge w:val="continue"/>
                  <w:vAlign w:val="center"/>
                </w:tcPr>
                <w:p w14:paraId="1033C0BE">
                  <w:pPr>
                    <w:pStyle w:val="29"/>
                  </w:pPr>
                </w:p>
              </w:tc>
              <w:tc>
                <w:tcPr>
                  <w:tcW w:w="1448" w:type="dxa"/>
                  <w:vAlign w:val="center"/>
                </w:tcPr>
                <w:p w14:paraId="2C75E502">
                  <w:pPr>
                    <w:pStyle w:val="29"/>
                  </w:pPr>
                  <w:r>
                    <w:t>金属粉尘</w:t>
                  </w:r>
                </w:p>
              </w:tc>
              <w:tc>
                <w:tcPr>
                  <w:tcW w:w="547" w:type="dxa"/>
                  <w:vAlign w:val="center"/>
                </w:tcPr>
                <w:p w14:paraId="17E9DFCE">
                  <w:pPr>
                    <w:pStyle w:val="29"/>
                  </w:pPr>
                  <w:r>
                    <w:rPr>
                      <w:rFonts w:hint="eastAsia"/>
                    </w:rPr>
                    <w:t>/</w:t>
                  </w:r>
                </w:p>
              </w:tc>
              <w:tc>
                <w:tcPr>
                  <w:tcW w:w="1145" w:type="dxa"/>
                  <w:vAlign w:val="center"/>
                </w:tcPr>
                <w:p w14:paraId="2E04604F">
                  <w:pPr>
                    <w:pStyle w:val="29"/>
                  </w:pPr>
                  <w:r>
                    <w:t>颗粒物</w:t>
                  </w:r>
                </w:p>
              </w:tc>
              <w:tc>
                <w:tcPr>
                  <w:tcW w:w="697" w:type="dxa"/>
                  <w:noWrap/>
                  <w:vAlign w:val="center"/>
                </w:tcPr>
                <w:p w14:paraId="78EF85D2">
                  <w:pPr>
                    <w:pStyle w:val="29"/>
                    <w:rPr>
                      <w:color w:val="0000FF"/>
                    </w:rPr>
                  </w:pPr>
                  <w:r>
                    <w:rPr>
                      <w:color w:val="0000FF"/>
                    </w:rPr>
                    <w:t>0.01</w:t>
                  </w:r>
                  <w:r>
                    <w:rPr>
                      <w:rFonts w:hint="eastAsia"/>
                      <w:color w:val="0000FF"/>
                    </w:rPr>
                    <w:t>10</w:t>
                  </w:r>
                </w:p>
              </w:tc>
              <w:tc>
                <w:tcPr>
                  <w:tcW w:w="709" w:type="dxa"/>
                  <w:noWrap/>
                  <w:vAlign w:val="center"/>
                </w:tcPr>
                <w:p w14:paraId="17EDC24D">
                  <w:pPr>
                    <w:pStyle w:val="29"/>
                    <w:rPr>
                      <w:color w:val="0000FF"/>
                    </w:rPr>
                  </w:pPr>
                  <w:r>
                    <w:rPr>
                      <w:color w:val="0000FF"/>
                    </w:rPr>
                    <w:t>0.01</w:t>
                  </w:r>
                  <w:r>
                    <w:rPr>
                      <w:rFonts w:hint="eastAsia"/>
                      <w:color w:val="0000FF"/>
                    </w:rPr>
                    <w:t>83</w:t>
                  </w:r>
                </w:p>
              </w:tc>
              <w:tc>
                <w:tcPr>
                  <w:tcW w:w="852" w:type="dxa"/>
                  <w:vAlign w:val="center"/>
                </w:tcPr>
                <w:p w14:paraId="1743C4F0">
                  <w:pPr>
                    <w:pStyle w:val="29"/>
                  </w:pPr>
                  <w:r>
                    <w:t>/</w:t>
                  </w:r>
                </w:p>
              </w:tc>
              <w:tc>
                <w:tcPr>
                  <w:tcW w:w="3024" w:type="dxa"/>
                  <w:gridSpan w:val="5"/>
                  <w:vMerge w:val="continue"/>
                </w:tcPr>
                <w:p w14:paraId="7234FFF4">
                  <w:pPr>
                    <w:pStyle w:val="29"/>
                  </w:pPr>
                </w:p>
              </w:tc>
              <w:tc>
                <w:tcPr>
                  <w:tcW w:w="680" w:type="dxa"/>
                  <w:vAlign w:val="center"/>
                </w:tcPr>
                <w:p w14:paraId="78E7244D">
                  <w:pPr>
                    <w:pStyle w:val="29"/>
                  </w:pPr>
                  <w:r>
                    <w:rPr>
                      <w:rFonts w:hint="eastAsia"/>
                    </w:rPr>
                    <w:t>/</w:t>
                  </w:r>
                </w:p>
              </w:tc>
              <w:tc>
                <w:tcPr>
                  <w:tcW w:w="576" w:type="dxa"/>
                  <w:vAlign w:val="center"/>
                </w:tcPr>
                <w:p w14:paraId="3A7FDE55">
                  <w:pPr>
                    <w:pStyle w:val="29"/>
                  </w:pPr>
                  <w:r>
                    <w:rPr>
                      <w:rFonts w:hint="eastAsia"/>
                    </w:rPr>
                    <w:t>/</w:t>
                  </w:r>
                </w:p>
              </w:tc>
              <w:tc>
                <w:tcPr>
                  <w:tcW w:w="771" w:type="dxa"/>
                  <w:gridSpan w:val="2"/>
                  <w:vAlign w:val="center"/>
                </w:tcPr>
                <w:p w14:paraId="3FBEF17D">
                  <w:pPr>
                    <w:pStyle w:val="29"/>
                    <w:rPr>
                      <w:color w:val="0000FF"/>
                    </w:rPr>
                  </w:pPr>
                  <w:r>
                    <w:rPr>
                      <w:rFonts w:hint="eastAsia"/>
                      <w:bCs/>
                      <w:color w:val="0000FF"/>
                    </w:rPr>
                    <w:t>0.0074</w:t>
                  </w:r>
                </w:p>
              </w:tc>
              <w:tc>
                <w:tcPr>
                  <w:tcW w:w="702" w:type="dxa"/>
                  <w:vAlign w:val="center"/>
                </w:tcPr>
                <w:p w14:paraId="1B430D59">
                  <w:pPr>
                    <w:pStyle w:val="29"/>
                    <w:rPr>
                      <w:color w:val="0000FF"/>
                    </w:rPr>
                  </w:pPr>
                  <w:r>
                    <w:rPr>
                      <w:color w:val="0000FF"/>
                    </w:rPr>
                    <w:t>0.0123</w:t>
                  </w:r>
                </w:p>
              </w:tc>
              <w:tc>
                <w:tcPr>
                  <w:tcW w:w="910" w:type="dxa"/>
                  <w:gridSpan w:val="2"/>
                  <w:vAlign w:val="center"/>
                </w:tcPr>
                <w:p w14:paraId="7663C700">
                  <w:pPr>
                    <w:pStyle w:val="29"/>
                  </w:pPr>
                  <w:r>
                    <w:t>/</w:t>
                  </w:r>
                </w:p>
              </w:tc>
              <w:tc>
                <w:tcPr>
                  <w:tcW w:w="522" w:type="dxa"/>
                  <w:vMerge w:val="continue"/>
                  <w:vAlign w:val="center"/>
                </w:tcPr>
                <w:p w14:paraId="6CD649A0">
                  <w:pPr>
                    <w:pStyle w:val="29"/>
                  </w:pPr>
                </w:p>
              </w:tc>
            </w:tr>
            <w:tr w14:paraId="44344B00">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40" w:hRule="atLeast"/>
              </w:trPr>
              <w:tc>
                <w:tcPr>
                  <w:tcW w:w="450" w:type="dxa"/>
                  <w:vMerge w:val="continue"/>
                  <w:vAlign w:val="center"/>
                </w:tcPr>
                <w:p w14:paraId="3A15E41F">
                  <w:pPr>
                    <w:pStyle w:val="29"/>
                  </w:pPr>
                </w:p>
              </w:tc>
              <w:tc>
                <w:tcPr>
                  <w:tcW w:w="1448" w:type="dxa"/>
                  <w:vAlign w:val="center"/>
                </w:tcPr>
                <w:p w14:paraId="74DD568B">
                  <w:pPr>
                    <w:pStyle w:val="29"/>
                  </w:pPr>
                  <w:r>
                    <w:t>焊接烟尘</w:t>
                  </w:r>
                </w:p>
              </w:tc>
              <w:tc>
                <w:tcPr>
                  <w:tcW w:w="547" w:type="dxa"/>
                  <w:vAlign w:val="center"/>
                </w:tcPr>
                <w:p w14:paraId="465FA741">
                  <w:pPr>
                    <w:pStyle w:val="29"/>
                  </w:pPr>
                  <w:r>
                    <w:rPr>
                      <w:rFonts w:hint="eastAsia"/>
                    </w:rPr>
                    <w:t>/</w:t>
                  </w:r>
                </w:p>
              </w:tc>
              <w:tc>
                <w:tcPr>
                  <w:tcW w:w="1145" w:type="dxa"/>
                  <w:vAlign w:val="center"/>
                </w:tcPr>
                <w:p w14:paraId="51020542">
                  <w:pPr>
                    <w:pStyle w:val="29"/>
                  </w:pPr>
                  <w:r>
                    <w:t>颗粒物</w:t>
                  </w:r>
                </w:p>
              </w:tc>
              <w:tc>
                <w:tcPr>
                  <w:tcW w:w="697" w:type="dxa"/>
                  <w:noWrap/>
                  <w:vAlign w:val="center"/>
                </w:tcPr>
                <w:p w14:paraId="5590946F">
                  <w:pPr>
                    <w:pStyle w:val="29"/>
                  </w:pPr>
                  <w:r>
                    <w:t>0.0002</w:t>
                  </w:r>
                </w:p>
              </w:tc>
              <w:tc>
                <w:tcPr>
                  <w:tcW w:w="709" w:type="dxa"/>
                  <w:noWrap/>
                  <w:vAlign w:val="center"/>
                </w:tcPr>
                <w:p w14:paraId="269B4FE6">
                  <w:pPr>
                    <w:pStyle w:val="29"/>
                  </w:pPr>
                  <w:r>
                    <w:t>0.0003</w:t>
                  </w:r>
                </w:p>
              </w:tc>
              <w:tc>
                <w:tcPr>
                  <w:tcW w:w="852" w:type="dxa"/>
                  <w:vAlign w:val="center"/>
                </w:tcPr>
                <w:p w14:paraId="2F5501C6">
                  <w:pPr>
                    <w:pStyle w:val="29"/>
                  </w:pPr>
                  <w:r>
                    <w:t>/</w:t>
                  </w:r>
                </w:p>
              </w:tc>
              <w:tc>
                <w:tcPr>
                  <w:tcW w:w="3024" w:type="dxa"/>
                  <w:gridSpan w:val="5"/>
                  <w:vMerge w:val="continue"/>
                </w:tcPr>
                <w:p w14:paraId="65174FA9">
                  <w:pPr>
                    <w:pStyle w:val="29"/>
                  </w:pPr>
                </w:p>
              </w:tc>
              <w:tc>
                <w:tcPr>
                  <w:tcW w:w="680" w:type="dxa"/>
                  <w:vAlign w:val="center"/>
                </w:tcPr>
                <w:p w14:paraId="034FFB24">
                  <w:pPr>
                    <w:pStyle w:val="29"/>
                  </w:pPr>
                  <w:r>
                    <w:rPr>
                      <w:rFonts w:hint="eastAsia"/>
                    </w:rPr>
                    <w:t>/</w:t>
                  </w:r>
                </w:p>
              </w:tc>
              <w:tc>
                <w:tcPr>
                  <w:tcW w:w="576" w:type="dxa"/>
                  <w:vAlign w:val="center"/>
                </w:tcPr>
                <w:p w14:paraId="37ACC8E3">
                  <w:pPr>
                    <w:pStyle w:val="29"/>
                  </w:pPr>
                  <w:r>
                    <w:rPr>
                      <w:rFonts w:hint="eastAsia"/>
                    </w:rPr>
                    <w:t>/</w:t>
                  </w:r>
                </w:p>
              </w:tc>
              <w:tc>
                <w:tcPr>
                  <w:tcW w:w="771" w:type="dxa"/>
                  <w:gridSpan w:val="2"/>
                  <w:vAlign w:val="center"/>
                </w:tcPr>
                <w:p w14:paraId="708E1700">
                  <w:pPr>
                    <w:pStyle w:val="29"/>
                  </w:pPr>
                  <w:r>
                    <w:t>0.0002</w:t>
                  </w:r>
                </w:p>
              </w:tc>
              <w:tc>
                <w:tcPr>
                  <w:tcW w:w="702" w:type="dxa"/>
                  <w:vAlign w:val="center"/>
                </w:tcPr>
                <w:p w14:paraId="161542A1">
                  <w:pPr>
                    <w:pStyle w:val="29"/>
                  </w:pPr>
                  <w:r>
                    <w:t>0.0003</w:t>
                  </w:r>
                </w:p>
              </w:tc>
              <w:tc>
                <w:tcPr>
                  <w:tcW w:w="910" w:type="dxa"/>
                  <w:gridSpan w:val="2"/>
                  <w:vAlign w:val="center"/>
                </w:tcPr>
                <w:p w14:paraId="48A9D60E">
                  <w:pPr>
                    <w:pStyle w:val="29"/>
                  </w:pPr>
                </w:p>
              </w:tc>
              <w:tc>
                <w:tcPr>
                  <w:tcW w:w="522" w:type="dxa"/>
                  <w:vMerge w:val="continue"/>
                  <w:vAlign w:val="center"/>
                </w:tcPr>
                <w:p w14:paraId="3685C070">
                  <w:pPr>
                    <w:pStyle w:val="29"/>
                  </w:pPr>
                </w:p>
              </w:tc>
            </w:tr>
            <w:tr w14:paraId="77DA632A">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40" w:hRule="atLeast"/>
              </w:trPr>
              <w:tc>
                <w:tcPr>
                  <w:tcW w:w="450" w:type="dxa"/>
                  <w:vMerge w:val="continue"/>
                  <w:vAlign w:val="center"/>
                </w:tcPr>
                <w:p w14:paraId="631AD0DB">
                  <w:pPr>
                    <w:pStyle w:val="29"/>
                  </w:pPr>
                </w:p>
              </w:tc>
              <w:tc>
                <w:tcPr>
                  <w:tcW w:w="1448" w:type="dxa"/>
                  <w:vAlign w:val="center"/>
                </w:tcPr>
                <w:p w14:paraId="16CB4A9C">
                  <w:pPr>
                    <w:pStyle w:val="29"/>
                  </w:pPr>
                  <w:r>
                    <w:t>臭气浓度</w:t>
                  </w:r>
                </w:p>
              </w:tc>
              <w:tc>
                <w:tcPr>
                  <w:tcW w:w="547" w:type="dxa"/>
                  <w:vAlign w:val="center"/>
                </w:tcPr>
                <w:p w14:paraId="473BCCA2">
                  <w:pPr>
                    <w:pStyle w:val="29"/>
                  </w:pPr>
                  <w:r>
                    <w:rPr>
                      <w:rFonts w:hint="eastAsia"/>
                    </w:rPr>
                    <w:t>/</w:t>
                  </w:r>
                </w:p>
              </w:tc>
              <w:tc>
                <w:tcPr>
                  <w:tcW w:w="1145" w:type="dxa"/>
                  <w:vAlign w:val="center"/>
                </w:tcPr>
                <w:p w14:paraId="073075C5">
                  <w:pPr>
                    <w:pStyle w:val="29"/>
                  </w:pPr>
                  <w:r>
                    <w:t>臭气浓度</w:t>
                  </w:r>
                </w:p>
              </w:tc>
              <w:tc>
                <w:tcPr>
                  <w:tcW w:w="697" w:type="dxa"/>
                  <w:vAlign w:val="center"/>
                </w:tcPr>
                <w:p w14:paraId="6922ADC0">
                  <w:pPr>
                    <w:pStyle w:val="29"/>
                  </w:pPr>
                  <w:r>
                    <w:t>少量</w:t>
                  </w:r>
                </w:p>
              </w:tc>
              <w:tc>
                <w:tcPr>
                  <w:tcW w:w="709" w:type="dxa"/>
                  <w:vAlign w:val="center"/>
                </w:tcPr>
                <w:p w14:paraId="72709EE0">
                  <w:pPr>
                    <w:pStyle w:val="29"/>
                  </w:pPr>
                  <w:r>
                    <w:t>少量</w:t>
                  </w:r>
                </w:p>
              </w:tc>
              <w:tc>
                <w:tcPr>
                  <w:tcW w:w="852" w:type="dxa"/>
                  <w:vAlign w:val="center"/>
                </w:tcPr>
                <w:p w14:paraId="658BE871">
                  <w:pPr>
                    <w:pStyle w:val="29"/>
                  </w:pPr>
                  <w:r>
                    <w:t>/</w:t>
                  </w:r>
                </w:p>
              </w:tc>
              <w:tc>
                <w:tcPr>
                  <w:tcW w:w="3024" w:type="dxa"/>
                  <w:gridSpan w:val="5"/>
                  <w:vMerge w:val="continue"/>
                </w:tcPr>
                <w:p w14:paraId="28592E70">
                  <w:pPr>
                    <w:pStyle w:val="29"/>
                  </w:pPr>
                </w:p>
              </w:tc>
              <w:tc>
                <w:tcPr>
                  <w:tcW w:w="680" w:type="dxa"/>
                  <w:vAlign w:val="center"/>
                </w:tcPr>
                <w:p w14:paraId="0A54904B">
                  <w:pPr>
                    <w:pStyle w:val="29"/>
                  </w:pPr>
                  <w:r>
                    <w:rPr>
                      <w:rFonts w:hint="eastAsia"/>
                    </w:rPr>
                    <w:t>/</w:t>
                  </w:r>
                </w:p>
              </w:tc>
              <w:tc>
                <w:tcPr>
                  <w:tcW w:w="576" w:type="dxa"/>
                  <w:vAlign w:val="center"/>
                </w:tcPr>
                <w:p w14:paraId="6C61A728">
                  <w:pPr>
                    <w:pStyle w:val="29"/>
                  </w:pPr>
                  <w:r>
                    <w:rPr>
                      <w:rFonts w:hint="eastAsia"/>
                    </w:rPr>
                    <w:t>/</w:t>
                  </w:r>
                </w:p>
              </w:tc>
              <w:tc>
                <w:tcPr>
                  <w:tcW w:w="771" w:type="dxa"/>
                  <w:gridSpan w:val="2"/>
                  <w:vAlign w:val="center"/>
                </w:tcPr>
                <w:p w14:paraId="7E618608">
                  <w:pPr>
                    <w:pStyle w:val="29"/>
                  </w:pPr>
                  <w:r>
                    <w:t>少量</w:t>
                  </w:r>
                </w:p>
              </w:tc>
              <w:tc>
                <w:tcPr>
                  <w:tcW w:w="702" w:type="dxa"/>
                  <w:vAlign w:val="center"/>
                </w:tcPr>
                <w:p w14:paraId="7E5FD26B">
                  <w:pPr>
                    <w:pStyle w:val="29"/>
                  </w:pPr>
                  <w:r>
                    <w:t>少量</w:t>
                  </w:r>
                </w:p>
              </w:tc>
              <w:tc>
                <w:tcPr>
                  <w:tcW w:w="910" w:type="dxa"/>
                  <w:gridSpan w:val="2"/>
                  <w:vAlign w:val="center"/>
                </w:tcPr>
                <w:p w14:paraId="3D185A44">
                  <w:pPr>
                    <w:pStyle w:val="29"/>
                  </w:pPr>
                  <w:r>
                    <w:t>/</w:t>
                  </w:r>
                </w:p>
              </w:tc>
              <w:tc>
                <w:tcPr>
                  <w:tcW w:w="522" w:type="dxa"/>
                  <w:vMerge w:val="continue"/>
                  <w:vAlign w:val="center"/>
                </w:tcPr>
                <w:p w14:paraId="6A4BC53B">
                  <w:pPr>
                    <w:pStyle w:val="29"/>
                  </w:pPr>
                </w:p>
              </w:tc>
            </w:tr>
            <w:tr w14:paraId="6DF90E23">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40" w:hRule="atLeast"/>
              </w:trPr>
              <w:tc>
                <w:tcPr>
                  <w:tcW w:w="450" w:type="dxa"/>
                  <w:vMerge w:val="restart"/>
                  <w:vAlign w:val="center"/>
                </w:tcPr>
                <w:p w14:paraId="4E9092DF">
                  <w:pPr>
                    <w:pStyle w:val="29"/>
                  </w:pPr>
                  <w:r>
                    <w:t>合计</w:t>
                  </w:r>
                </w:p>
              </w:tc>
              <w:tc>
                <w:tcPr>
                  <w:tcW w:w="1448" w:type="dxa"/>
                  <w:vMerge w:val="restart"/>
                  <w:vAlign w:val="center"/>
                </w:tcPr>
                <w:p w14:paraId="1B5F5393">
                  <w:pPr>
                    <w:pStyle w:val="29"/>
                  </w:pPr>
                  <w:r>
                    <w:rPr>
                      <w:rFonts w:eastAsia="等线"/>
                    </w:rPr>
                    <w:t>/</w:t>
                  </w:r>
                </w:p>
              </w:tc>
              <w:tc>
                <w:tcPr>
                  <w:tcW w:w="547" w:type="dxa"/>
                  <w:vMerge w:val="restart"/>
                  <w:vAlign w:val="center"/>
                </w:tcPr>
                <w:p w14:paraId="4004BA38">
                  <w:pPr>
                    <w:pStyle w:val="29"/>
                    <w:rPr>
                      <w:color w:val="EE0000"/>
                    </w:rPr>
                  </w:pPr>
                  <w:r>
                    <w:rPr>
                      <w:rFonts w:hint="eastAsia"/>
                      <w:color w:val="0000FF"/>
                    </w:rPr>
                    <w:t>29180</w:t>
                  </w:r>
                </w:p>
              </w:tc>
              <w:tc>
                <w:tcPr>
                  <w:tcW w:w="1145" w:type="dxa"/>
                  <w:vAlign w:val="center"/>
                </w:tcPr>
                <w:p w14:paraId="6ADA7726">
                  <w:pPr>
                    <w:pStyle w:val="29"/>
                  </w:pPr>
                  <w:r>
                    <w:rPr>
                      <w:rFonts w:hint="eastAsia"/>
                      <w:color w:val="0000FF"/>
                    </w:rPr>
                    <w:t>非甲烷总烃</w:t>
                  </w:r>
                </w:p>
              </w:tc>
              <w:tc>
                <w:tcPr>
                  <w:tcW w:w="697" w:type="dxa"/>
                  <w:tcBorders>
                    <w:top w:val="nil"/>
                    <w:left w:val="single" w:color="auto" w:sz="4" w:space="0"/>
                    <w:bottom w:val="single" w:color="auto" w:sz="4" w:space="0"/>
                    <w:right w:val="single" w:color="auto" w:sz="4" w:space="0"/>
                  </w:tcBorders>
                  <w:shd w:val="clear" w:color="auto" w:fill="auto"/>
                  <w:vAlign w:val="center"/>
                </w:tcPr>
                <w:p w14:paraId="5A19D2A2">
                  <w:pPr>
                    <w:pStyle w:val="29"/>
                    <w:rPr>
                      <w:color w:val="0000FF"/>
                    </w:rPr>
                  </w:pPr>
                  <w:r>
                    <w:rPr>
                      <w:rFonts w:eastAsia="等线"/>
                      <w:color w:val="0000FF"/>
                    </w:rPr>
                    <w:t>0.</w:t>
                  </w:r>
                  <w:r>
                    <w:rPr>
                      <w:rFonts w:hint="eastAsia" w:eastAsia="等线"/>
                      <w:color w:val="0000FF"/>
                    </w:rPr>
                    <w:t>4665</w:t>
                  </w:r>
                </w:p>
              </w:tc>
              <w:tc>
                <w:tcPr>
                  <w:tcW w:w="709" w:type="dxa"/>
                  <w:tcBorders>
                    <w:top w:val="nil"/>
                    <w:left w:val="nil"/>
                    <w:bottom w:val="single" w:color="auto" w:sz="4" w:space="0"/>
                    <w:right w:val="single" w:color="auto" w:sz="4" w:space="0"/>
                  </w:tcBorders>
                  <w:shd w:val="clear" w:color="auto" w:fill="auto"/>
                  <w:vAlign w:val="center"/>
                </w:tcPr>
                <w:p w14:paraId="2BB264FF">
                  <w:pPr>
                    <w:pStyle w:val="29"/>
                    <w:rPr>
                      <w:color w:val="0000FF"/>
                    </w:rPr>
                  </w:pPr>
                  <w:r>
                    <w:rPr>
                      <w:rFonts w:eastAsia="等线"/>
                      <w:color w:val="0000FF"/>
                    </w:rPr>
                    <w:t>0.</w:t>
                  </w:r>
                  <w:r>
                    <w:rPr>
                      <w:rFonts w:hint="eastAsia" w:eastAsia="等线"/>
                      <w:color w:val="0000FF"/>
                    </w:rPr>
                    <w:t>0815</w:t>
                  </w:r>
                  <w:r>
                    <w:rPr>
                      <w:rFonts w:eastAsia="等线"/>
                      <w:color w:val="0000FF"/>
                    </w:rPr>
                    <w:t xml:space="preserve"> </w:t>
                  </w:r>
                </w:p>
              </w:tc>
              <w:tc>
                <w:tcPr>
                  <w:tcW w:w="852" w:type="dxa"/>
                  <w:tcBorders>
                    <w:top w:val="nil"/>
                    <w:left w:val="nil"/>
                    <w:bottom w:val="single" w:color="auto" w:sz="4" w:space="0"/>
                    <w:right w:val="single" w:color="auto" w:sz="4" w:space="0"/>
                  </w:tcBorders>
                  <w:shd w:val="clear" w:color="auto" w:fill="auto"/>
                  <w:vAlign w:val="center"/>
                </w:tcPr>
                <w:p w14:paraId="75D963CC">
                  <w:pPr>
                    <w:pStyle w:val="29"/>
                    <w:rPr>
                      <w:color w:val="0000FF"/>
                    </w:rPr>
                  </w:pPr>
                  <w:r>
                    <w:rPr>
                      <w:rFonts w:eastAsia="等线"/>
                      <w:color w:val="0000FF"/>
                    </w:rPr>
                    <w:t>14.0220</w:t>
                  </w:r>
                </w:p>
              </w:tc>
              <w:tc>
                <w:tcPr>
                  <w:tcW w:w="2411" w:type="dxa"/>
                  <w:gridSpan w:val="4"/>
                  <w:vMerge w:val="restart"/>
                  <w:vAlign w:val="center"/>
                </w:tcPr>
                <w:p w14:paraId="2FD68F28">
                  <w:pPr>
                    <w:pStyle w:val="29"/>
                  </w:pPr>
                  <w:r>
                    <w:t>/</w:t>
                  </w:r>
                </w:p>
              </w:tc>
              <w:tc>
                <w:tcPr>
                  <w:tcW w:w="613" w:type="dxa"/>
                  <w:vAlign w:val="center"/>
                </w:tcPr>
                <w:p w14:paraId="2CE9FE65">
                  <w:pPr>
                    <w:pStyle w:val="29"/>
                    <w:rPr>
                      <w:rFonts w:eastAsia="等线"/>
                      <w:color w:val="EE0000"/>
                    </w:rPr>
                  </w:pPr>
                  <w:r>
                    <w:rPr>
                      <w:rFonts w:hint="eastAsia" w:eastAsia="等线"/>
                      <w:color w:val="0000FF"/>
                    </w:rPr>
                    <w:t>0.2529</w:t>
                  </w:r>
                </w:p>
              </w:tc>
              <w:tc>
                <w:tcPr>
                  <w:tcW w:w="680" w:type="dxa"/>
                </w:tcPr>
                <w:p w14:paraId="78C2E6CF">
                  <w:pPr>
                    <w:pStyle w:val="29"/>
                    <w:rPr>
                      <w:rFonts w:eastAsia="等线"/>
                      <w:color w:val="EE0000"/>
                    </w:rPr>
                  </w:pPr>
                </w:p>
              </w:tc>
              <w:tc>
                <w:tcPr>
                  <w:tcW w:w="576" w:type="dxa"/>
                </w:tcPr>
                <w:p w14:paraId="083C96C7">
                  <w:pPr>
                    <w:pStyle w:val="29"/>
                    <w:rPr>
                      <w:rFonts w:eastAsia="等线"/>
                      <w:color w:val="EE0000"/>
                    </w:rPr>
                  </w:pPr>
                </w:p>
              </w:tc>
              <w:tc>
                <w:tcPr>
                  <w:tcW w:w="771" w:type="dxa"/>
                  <w:gridSpan w:val="2"/>
                  <w:tcBorders>
                    <w:top w:val="nil"/>
                    <w:left w:val="single" w:color="auto" w:sz="4" w:space="0"/>
                    <w:bottom w:val="single" w:color="auto" w:sz="4" w:space="0"/>
                    <w:right w:val="single" w:color="auto" w:sz="4" w:space="0"/>
                  </w:tcBorders>
                  <w:shd w:val="clear" w:color="auto" w:fill="auto"/>
                  <w:vAlign w:val="center"/>
                </w:tcPr>
                <w:p w14:paraId="553EC9B9">
                  <w:pPr>
                    <w:pStyle w:val="29"/>
                    <w:rPr>
                      <w:color w:val="0000FF"/>
                    </w:rPr>
                  </w:pPr>
                  <w:r>
                    <w:rPr>
                      <w:rFonts w:hint="eastAsia"/>
                      <w:color w:val="0000FF"/>
                    </w:rPr>
                    <w:t>0.2136</w:t>
                  </w:r>
                </w:p>
              </w:tc>
              <w:tc>
                <w:tcPr>
                  <w:tcW w:w="702" w:type="dxa"/>
                  <w:tcBorders>
                    <w:top w:val="nil"/>
                    <w:left w:val="nil"/>
                    <w:bottom w:val="single" w:color="auto" w:sz="4" w:space="0"/>
                    <w:right w:val="single" w:color="auto" w:sz="4" w:space="0"/>
                  </w:tcBorders>
                  <w:shd w:val="clear" w:color="auto" w:fill="auto"/>
                  <w:vAlign w:val="center"/>
                </w:tcPr>
                <w:p w14:paraId="64CD9007">
                  <w:pPr>
                    <w:pStyle w:val="29"/>
                    <w:rPr>
                      <w:color w:val="EE0000"/>
                    </w:rPr>
                  </w:pPr>
                  <w:r>
                    <w:rPr>
                      <w:rFonts w:eastAsia="等线"/>
                      <w:color w:val="0000FF"/>
                    </w:rPr>
                    <w:t>0.</w:t>
                  </w:r>
                  <w:r>
                    <w:rPr>
                      <w:rFonts w:hint="eastAsia" w:eastAsia="等线"/>
                      <w:color w:val="0000FF"/>
                    </w:rPr>
                    <w:t>0815</w:t>
                  </w:r>
                  <w:r>
                    <w:rPr>
                      <w:rFonts w:eastAsia="等线"/>
                      <w:color w:val="0000FF"/>
                    </w:rPr>
                    <w:t xml:space="preserve"> </w:t>
                  </w:r>
                </w:p>
              </w:tc>
              <w:tc>
                <w:tcPr>
                  <w:tcW w:w="910" w:type="dxa"/>
                  <w:gridSpan w:val="2"/>
                  <w:tcBorders>
                    <w:top w:val="nil"/>
                    <w:left w:val="nil"/>
                    <w:bottom w:val="single" w:color="auto" w:sz="4" w:space="0"/>
                    <w:right w:val="single" w:color="auto" w:sz="4" w:space="0"/>
                  </w:tcBorders>
                  <w:shd w:val="clear" w:color="auto" w:fill="auto"/>
                  <w:vAlign w:val="center"/>
                </w:tcPr>
                <w:p w14:paraId="3D1B43DF">
                  <w:pPr>
                    <w:pStyle w:val="29"/>
                    <w:rPr>
                      <w:color w:val="EE0000"/>
                    </w:rPr>
                  </w:pPr>
                  <w:r>
                    <w:rPr>
                      <w:rFonts w:eastAsia="等线"/>
                      <w:color w:val="0000FF"/>
                    </w:rPr>
                    <w:t>0.8875</w:t>
                  </w:r>
                </w:p>
              </w:tc>
              <w:tc>
                <w:tcPr>
                  <w:tcW w:w="522" w:type="dxa"/>
                  <w:vMerge w:val="restart"/>
                  <w:vAlign w:val="center"/>
                </w:tcPr>
                <w:p w14:paraId="5A0787FE">
                  <w:pPr>
                    <w:pStyle w:val="29"/>
                  </w:pPr>
                  <w:r>
                    <w:t>/</w:t>
                  </w:r>
                </w:p>
              </w:tc>
            </w:tr>
            <w:tr w14:paraId="315ECCD4">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40" w:hRule="atLeast"/>
              </w:trPr>
              <w:tc>
                <w:tcPr>
                  <w:tcW w:w="450" w:type="dxa"/>
                  <w:vMerge w:val="continue"/>
                  <w:vAlign w:val="center"/>
                </w:tcPr>
                <w:p w14:paraId="53454749">
                  <w:pPr>
                    <w:pStyle w:val="29"/>
                  </w:pPr>
                </w:p>
              </w:tc>
              <w:tc>
                <w:tcPr>
                  <w:tcW w:w="1448" w:type="dxa"/>
                  <w:vMerge w:val="continue"/>
                  <w:vAlign w:val="center"/>
                </w:tcPr>
                <w:p w14:paraId="23CC9B5B">
                  <w:pPr>
                    <w:pStyle w:val="29"/>
                  </w:pPr>
                </w:p>
              </w:tc>
              <w:tc>
                <w:tcPr>
                  <w:tcW w:w="547" w:type="dxa"/>
                  <w:vMerge w:val="continue"/>
                </w:tcPr>
                <w:p w14:paraId="1CF3D02F">
                  <w:pPr>
                    <w:pStyle w:val="29"/>
                  </w:pPr>
                </w:p>
              </w:tc>
              <w:tc>
                <w:tcPr>
                  <w:tcW w:w="1145" w:type="dxa"/>
                  <w:vAlign w:val="center"/>
                </w:tcPr>
                <w:p w14:paraId="2D5FD55D">
                  <w:pPr>
                    <w:pStyle w:val="29"/>
                  </w:pPr>
                  <w:r>
                    <w:t>颗粒物</w:t>
                  </w:r>
                </w:p>
              </w:tc>
              <w:tc>
                <w:tcPr>
                  <w:tcW w:w="697" w:type="dxa"/>
                  <w:tcBorders>
                    <w:top w:val="nil"/>
                    <w:left w:val="single" w:color="auto" w:sz="4" w:space="0"/>
                    <w:bottom w:val="single" w:color="auto" w:sz="4" w:space="0"/>
                    <w:right w:val="single" w:color="auto" w:sz="4" w:space="0"/>
                  </w:tcBorders>
                  <w:shd w:val="clear" w:color="auto" w:fill="auto"/>
                  <w:vAlign w:val="center"/>
                </w:tcPr>
                <w:p w14:paraId="508916B1">
                  <w:pPr>
                    <w:pStyle w:val="29"/>
                    <w:rPr>
                      <w:color w:val="0000FF"/>
                    </w:rPr>
                  </w:pPr>
                  <w:r>
                    <w:rPr>
                      <w:rFonts w:eastAsia="等线"/>
                      <w:color w:val="0000FF"/>
                    </w:rPr>
                    <w:t>0.5502</w:t>
                  </w:r>
                </w:p>
              </w:tc>
              <w:tc>
                <w:tcPr>
                  <w:tcW w:w="709" w:type="dxa"/>
                  <w:tcBorders>
                    <w:top w:val="single" w:color="auto" w:sz="4" w:space="0"/>
                    <w:left w:val="single" w:color="auto" w:sz="4" w:space="0"/>
                    <w:bottom w:val="single" w:color="auto" w:sz="4" w:space="0"/>
                    <w:right w:val="single" w:color="auto" w:sz="4" w:space="0"/>
                  </w:tcBorders>
                  <w:shd w:val="clear" w:color="auto" w:fill="auto"/>
                  <w:vAlign w:val="center"/>
                </w:tcPr>
                <w:p w14:paraId="36387033">
                  <w:pPr>
                    <w:pStyle w:val="29"/>
                    <w:rPr>
                      <w:color w:val="0000FF"/>
                    </w:rPr>
                  </w:pPr>
                  <w:r>
                    <w:rPr>
                      <w:rFonts w:eastAsia="等线"/>
                      <w:color w:val="0000FF"/>
                    </w:rPr>
                    <w:t>0.4891</w:t>
                  </w:r>
                </w:p>
              </w:tc>
              <w:tc>
                <w:tcPr>
                  <w:tcW w:w="852" w:type="dxa"/>
                  <w:tcBorders>
                    <w:top w:val="single" w:color="auto" w:sz="4" w:space="0"/>
                    <w:left w:val="nil"/>
                    <w:bottom w:val="single" w:color="auto" w:sz="4" w:space="0"/>
                    <w:right w:val="single" w:color="auto" w:sz="4" w:space="0"/>
                  </w:tcBorders>
                  <w:shd w:val="clear" w:color="auto" w:fill="auto"/>
                  <w:vAlign w:val="center"/>
                </w:tcPr>
                <w:p w14:paraId="2E351D95">
                  <w:pPr>
                    <w:pStyle w:val="29"/>
                    <w:rPr>
                      <w:color w:val="0000FF"/>
                    </w:rPr>
                  </w:pPr>
                  <w:r>
                    <w:rPr>
                      <w:rFonts w:eastAsia="等线"/>
                      <w:color w:val="0000FF"/>
                    </w:rPr>
                    <w:t>16.7603</w:t>
                  </w:r>
                </w:p>
              </w:tc>
              <w:tc>
                <w:tcPr>
                  <w:tcW w:w="2411" w:type="dxa"/>
                  <w:gridSpan w:val="4"/>
                  <w:vMerge w:val="continue"/>
                </w:tcPr>
                <w:p w14:paraId="46BCBACA">
                  <w:pPr>
                    <w:pStyle w:val="29"/>
                  </w:pPr>
                </w:p>
              </w:tc>
              <w:tc>
                <w:tcPr>
                  <w:tcW w:w="613" w:type="dxa"/>
                  <w:vAlign w:val="center"/>
                </w:tcPr>
                <w:p w14:paraId="215CC231">
                  <w:pPr>
                    <w:pStyle w:val="29"/>
                    <w:rPr>
                      <w:rFonts w:eastAsia="等线"/>
                      <w:color w:val="EE0000"/>
                    </w:rPr>
                  </w:pPr>
                  <w:r>
                    <w:rPr>
                      <w:rFonts w:eastAsia="等线"/>
                      <w:color w:val="0000FF"/>
                    </w:rPr>
                    <w:t>0.4204</w:t>
                  </w:r>
                </w:p>
              </w:tc>
              <w:tc>
                <w:tcPr>
                  <w:tcW w:w="680" w:type="dxa"/>
                </w:tcPr>
                <w:p w14:paraId="52C65B7D">
                  <w:pPr>
                    <w:pStyle w:val="29"/>
                    <w:rPr>
                      <w:rFonts w:eastAsia="等线"/>
                      <w:color w:val="EE0000"/>
                    </w:rPr>
                  </w:pPr>
                </w:p>
              </w:tc>
              <w:tc>
                <w:tcPr>
                  <w:tcW w:w="576" w:type="dxa"/>
                </w:tcPr>
                <w:p w14:paraId="667964ED">
                  <w:pPr>
                    <w:pStyle w:val="29"/>
                    <w:rPr>
                      <w:rFonts w:eastAsia="等线"/>
                      <w:color w:val="EE0000"/>
                    </w:rPr>
                  </w:pPr>
                </w:p>
              </w:tc>
              <w:tc>
                <w:tcPr>
                  <w:tcW w:w="771" w:type="dxa"/>
                  <w:gridSpan w:val="2"/>
                  <w:tcBorders>
                    <w:top w:val="nil"/>
                    <w:left w:val="single" w:color="auto" w:sz="4" w:space="0"/>
                    <w:bottom w:val="single" w:color="auto" w:sz="4" w:space="0"/>
                    <w:right w:val="single" w:color="auto" w:sz="4" w:space="0"/>
                  </w:tcBorders>
                  <w:shd w:val="clear" w:color="auto" w:fill="auto"/>
                  <w:vAlign w:val="center"/>
                </w:tcPr>
                <w:p w14:paraId="5156B32B">
                  <w:pPr>
                    <w:pStyle w:val="29"/>
                    <w:rPr>
                      <w:color w:val="0000FF"/>
                    </w:rPr>
                  </w:pPr>
                  <w:r>
                    <w:rPr>
                      <w:rFonts w:hint="eastAsia"/>
                      <w:color w:val="0000FF"/>
                    </w:rPr>
                    <w:t>0.1298</w:t>
                  </w:r>
                </w:p>
              </w:tc>
              <w:tc>
                <w:tcPr>
                  <w:tcW w:w="702" w:type="dxa"/>
                  <w:tcBorders>
                    <w:top w:val="nil"/>
                    <w:left w:val="nil"/>
                    <w:bottom w:val="single" w:color="auto" w:sz="4" w:space="0"/>
                    <w:right w:val="single" w:color="auto" w:sz="4" w:space="0"/>
                  </w:tcBorders>
                  <w:shd w:val="clear" w:color="auto" w:fill="auto"/>
                  <w:vAlign w:val="center"/>
                </w:tcPr>
                <w:p w14:paraId="06246605">
                  <w:pPr>
                    <w:pStyle w:val="29"/>
                    <w:rPr>
                      <w:color w:val="EE0000"/>
                    </w:rPr>
                  </w:pPr>
                  <w:r>
                    <w:rPr>
                      <w:rFonts w:eastAsia="等线"/>
                      <w:color w:val="0000FF"/>
                    </w:rPr>
                    <w:t>0.4891</w:t>
                  </w:r>
                </w:p>
              </w:tc>
              <w:tc>
                <w:tcPr>
                  <w:tcW w:w="910" w:type="dxa"/>
                  <w:gridSpan w:val="2"/>
                  <w:tcBorders>
                    <w:top w:val="nil"/>
                    <w:left w:val="nil"/>
                    <w:bottom w:val="single" w:color="auto" w:sz="4" w:space="0"/>
                    <w:right w:val="single" w:color="auto" w:sz="4" w:space="0"/>
                  </w:tcBorders>
                  <w:shd w:val="clear" w:color="auto" w:fill="auto"/>
                  <w:vAlign w:val="center"/>
                </w:tcPr>
                <w:p w14:paraId="3D6A88C9">
                  <w:pPr>
                    <w:pStyle w:val="29"/>
                    <w:rPr>
                      <w:color w:val="EE0000"/>
                    </w:rPr>
                  </w:pPr>
                  <w:r>
                    <w:rPr>
                      <w:rFonts w:eastAsia="等线"/>
                      <w:color w:val="0000FF"/>
                    </w:rPr>
                    <w:t>0.9700</w:t>
                  </w:r>
                </w:p>
              </w:tc>
              <w:tc>
                <w:tcPr>
                  <w:tcW w:w="522" w:type="dxa"/>
                  <w:vMerge w:val="continue"/>
                  <w:vAlign w:val="center"/>
                </w:tcPr>
                <w:p w14:paraId="3B0E5EFC">
                  <w:pPr>
                    <w:pStyle w:val="29"/>
                  </w:pPr>
                </w:p>
              </w:tc>
            </w:tr>
            <w:tr w14:paraId="4FA30F60">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40" w:hRule="atLeast"/>
              </w:trPr>
              <w:tc>
                <w:tcPr>
                  <w:tcW w:w="450" w:type="dxa"/>
                  <w:vMerge w:val="continue"/>
                  <w:vAlign w:val="center"/>
                </w:tcPr>
                <w:p w14:paraId="15CC0E40">
                  <w:pPr>
                    <w:pStyle w:val="29"/>
                  </w:pPr>
                </w:p>
              </w:tc>
              <w:tc>
                <w:tcPr>
                  <w:tcW w:w="1448" w:type="dxa"/>
                  <w:vMerge w:val="continue"/>
                  <w:vAlign w:val="center"/>
                </w:tcPr>
                <w:p w14:paraId="504B6393">
                  <w:pPr>
                    <w:pStyle w:val="29"/>
                  </w:pPr>
                </w:p>
              </w:tc>
              <w:tc>
                <w:tcPr>
                  <w:tcW w:w="547" w:type="dxa"/>
                  <w:vMerge w:val="continue"/>
                </w:tcPr>
                <w:p w14:paraId="4DED2CF6">
                  <w:pPr>
                    <w:pStyle w:val="29"/>
                  </w:pPr>
                </w:p>
              </w:tc>
              <w:tc>
                <w:tcPr>
                  <w:tcW w:w="1145" w:type="dxa"/>
                  <w:vAlign w:val="center"/>
                </w:tcPr>
                <w:p w14:paraId="3619010E">
                  <w:pPr>
                    <w:pStyle w:val="29"/>
                  </w:pPr>
                  <w:r>
                    <w:t>臭气浓度</w:t>
                  </w:r>
                </w:p>
              </w:tc>
              <w:tc>
                <w:tcPr>
                  <w:tcW w:w="697" w:type="dxa"/>
                  <w:vAlign w:val="center"/>
                </w:tcPr>
                <w:p w14:paraId="784A5385">
                  <w:pPr>
                    <w:pStyle w:val="29"/>
                  </w:pPr>
                  <w:r>
                    <w:t>少量</w:t>
                  </w:r>
                </w:p>
              </w:tc>
              <w:tc>
                <w:tcPr>
                  <w:tcW w:w="709" w:type="dxa"/>
                  <w:vAlign w:val="center"/>
                </w:tcPr>
                <w:p w14:paraId="56730290">
                  <w:pPr>
                    <w:pStyle w:val="29"/>
                  </w:pPr>
                  <w:r>
                    <w:t>少量</w:t>
                  </w:r>
                </w:p>
              </w:tc>
              <w:tc>
                <w:tcPr>
                  <w:tcW w:w="852" w:type="dxa"/>
                  <w:vAlign w:val="center"/>
                </w:tcPr>
                <w:p w14:paraId="153621DC">
                  <w:pPr>
                    <w:pStyle w:val="29"/>
                  </w:pPr>
                  <w:r>
                    <w:t>/</w:t>
                  </w:r>
                </w:p>
              </w:tc>
              <w:tc>
                <w:tcPr>
                  <w:tcW w:w="2411" w:type="dxa"/>
                  <w:gridSpan w:val="4"/>
                  <w:vMerge w:val="continue"/>
                </w:tcPr>
                <w:p w14:paraId="58BDBCB4">
                  <w:pPr>
                    <w:pStyle w:val="29"/>
                  </w:pPr>
                </w:p>
              </w:tc>
              <w:tc>
                <w:tcPr>
                  <w:tcW w:w="613" w:type="dxa"/>
                </w:tcPr>
                <w:p w14:paraId="58A4E8B8">
                  <w:pPr>
                    <w:pStyle w:val="29"/>
                  </w:pPr>
                  <w:r>
                    <w:rPr>
                      <w:rFonts w:hint="eastAsia"/>
                    </w:rPr>
                    <w:t>/</w:t>
                  </w:r>
                </w:p>
              </w:tc>
              <w:tc>
                <w:tcPr>
                  <w:tcW w:w="680" w:type="dxa"/>
                </w:tcPr>
                <w:p w14:paraId="7D4BB25F">
                  <w:pPr>
                    <w:pStyle w:val="29"/>
                  </w:pPr>
                </w:p>
              </w:tc>
              <w:tc>
                <w:tcPr>
                  <w:tcW w:w="576" w:type="dxa"/>
                </w:tcPr>
                <w:p w14:paraId="5B29C50C">
                  <w:pPr>
                    <w:pStyle w:val="29"/>
                  </w:pPr>
                </w:p>
              </w:tc>
              <w:tc>
                <w:tcPr>
                  <w:tcW w:w="771" w:type="dxa"/>
                  <w:gridSpan w:val="2"/>
                  <w:vAlign w:val="center"/>
                </w:tcPr>
                <w:p w14:paraId="01FD1FAF">
                  <w:pPr>
                    <w:pStyle w:val="29"/>
                  </w:pPr>
                  <w:r>
                    <w:t>少量</w:t>
                  </w:r>
                </w:p>
              </w:tc>
              <w:tc>
                <w:tcPr>
                  <w:tcW w:w="702" w:type="dxa"/>
                  <w:vAlign w:val="center"/>
                </w:tcPr>
                <w:p w14:paraId="66B52B54">
                  <w:pPr>
                    <w:pStyle w:val="29"/>
                  </w:pPr>
                  <w:r>
                    <w:t>少量</w:t>
                  </w:r>
                </w:p>
              </w:tc>
              <w:tc>
                <w:tcPr>
                  <w:tcW w:w="910" w:type="dxa"/>
                  <w:gridSpan w:val="2"/>
                  <w:vAlign w:val="center"/>
                </w:tcPr>
                <w:p w14:paraId="4F4C1C8B">
                  <w:pPr>
                    <w:pStyle w:val="29"/>
                  </w:pPr>
                  <w:r>
                    <w:t>/</w:t>
                  </w:r>
                </w:p>
              </w:tc>
              <w:tc>
                <w:tcPr>
                  <w:tcW w:w="522" w:type="dxa"/>
                  <w:vMerge w:val="continue"/>
                  <w:vAlign w:val="center"/>
                </w:tcPr>
                <w:p w14:paraId="35EFE7F9">
                  <w:pPr>
                    <w:pStyle w:val="29"/>
                  </w:pPr>
                </w:p>
              </w:tc>
            </w:tr>
            <w:bookmarkEnd w:id="9"/>
          </w:tbl>
          <w:p w14:paraId="64C2EA61">
            <w:pPr>
              <w:pStyle w:val="29"/>
              <w:rPr>
                <w:rFonts w:asciiTheme="majorBidi" w:hAnsiTheme="majorBidi" w:cstheme="majorBidi"/>
                <w:color w:val="000000" w:themeColor="text1"/>
                <w14:textFill>
                  <w14:solidFill>
                    <w14:schemeClr w14:val="tx1"/>
                  </w14:solidFill>
                </w14:textFill>
              </w:rPr>
            </w:pPr>
          </w:p>
        </w:tc>
      </w:tr>
    </w:tbl>
    <w:p w14:paraId="74CD7619">
      <w:pPr>
        <w:ind w:firstLine="480"/>
        <w:rPr>
          <w:rFonts w:asciiTheme="majorBidi" w:hAnsiTheme="majorBidi" w:cstheme="majorBidi"/>
          <w:color w:val="000000" w:themeColor="text1"/>
          <w14:textFill>
            <w14:solidFill>
              <w14:schemeClr w14:val="tx1"/>
            </w14:solidFill>
          </w14:textFill>
        </w:rPr>
      </w:pPr>
    </w:p>
    <w:p w14:paraId="33838F78">
      <w:pPr>
        <w:pStyle w:val="29"/>
        <w:rPr>
          <w:rFonts w:asciiTheme="majorBidi" w:hAnsiTheme="majorBidi" w:cstheme="majorBidi"/>
          <w:color w:val="000000" w:themeColor="text1"/>
          <w14:textFill>
            <w14:solidFill>
              <w14:schemeClr w14:val="tx1"/>
            </w14:solidFill>
          </w14:textFill>
        </w:rPr>
        <w:sectPr>
          <w:pgSz w:w="16838" w:h="11906" w:orient="landscape"/>
          <w:pgMar w:top="1418" w:right="1418" w:bottom="1418" w:left="1418" w:header="709" w:footer="709" w:gutter="0"/>
          <w:cols w:space="708" w:num="1"/>
          <w:docGrid w:linePitch="360" w:charSpace="0"/>
        </w:sectPr>
      </w:pPr>
    </w:p>
    <w:tbl>
      <w:tblPr>
        <w:tblStyle w:val="21"/>
        <w:tblW w:w="5000" w:type="pct"/>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423"/>
        <w:gridCol w:w="9459"/>
      </w:tblGrid>
      <w:tr w14:paraId="46D5F5B9">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14" w:type="pct"/>
            <w:tcMar>
              <w:left w:w="28" w:type="dxa"/>
              <w:right w:w="28" w:type="dxa"/>
            </w:tcMar>
            <w:vAlign w:val="center"/>
          </w:tcPr>
          <w:p w14:paraId="02CD84C0">
            <w:pPr>
              <w:ind w:firstLine="480"/>
              <w:jc w:val="center"/>
              <w:rPr>
                <w:rFonts w:asciiTheme="majorBidi" w:hAnsiTheme="majorBidi" w:eastAsiaTheme="minorEastAsia" w:cstheme="majorBidi"/>
                <w:bCs/>
                <w:color w:val="000000" w:themeColor="text1"/>
                <w:kern w:val="2"/>
                <w:szCs w:val="21"/>
                <w14:textFill>
                  <w14:solidFill>
                    <w14:schemeClr w14:val="tx1"/>
                  </w14:solidFill>
                </w14:textFill>
              </w:rPr>
            </w:pPr>
            <w:r>
              <w:rPr>
                <w:rFonts w:asciiTheme="majorBidi" w:hAnsiTheme="majorBidi" w:eastAsiaTheme="minorEastAsia" w:cstheme="majorBidi"/>
                <w:bCs/>
                <w:color w:val="000000" w:themeColor="text1"/>
                <w:kern w:val="2"/>
                <w:szCs w:val="21"/>
                <w14:textFill>
                  <w14:solidFill>
                    <w14:schemeClr w14:val="tx1"/>
                  </w14:solidFill>
                </w14:textFill>
              </w:rPr>
              <w:t>运营期环境影响和保护</w:t>
            </w:r>
            <w:r>
              <w:rPr>
                <w:rFonts w:asciiTheme="majorBidi" w:hAnsiTheme="majorBidi" w:eastAsiaTheme="minorEastAsia" w:cstheme="majorBidi"/>
                <w:bCs/>
                <w:color w:val="000000" w:themeColor="text1"/>
                <w:szCs w:val="21"/>
                <w14:textFill>
                  <w14:solidFill>
                    <w14:schemeClr w14:val="tx1"/>
                  </w14:solidFill>
                </w14:textFill>
              </w:rPr>
              <w:t>措施</w:t>
            </w:r>
          </w:p>
        </w:tc>
        <w:tc>
          <w:tcPr>
            <w:tcW w:w="4786" w:type="pct"/>
            <w:vAlign w:val="center"/>
          </w:tcPr>
          <w:p w14:paraId="0D12230C">
            <w:pPr>
              <w:ind w:firstLine="480"/>
              <w:rPr>
                <w:rFonts w:asciiTheme="majorBidi" w:hAnsiTheme="majorBidi" w:eastAsiaTheme="minorEastAsia" w:cstheme="majorBidi"/>
                <w:bCs/>
                <w:color w:val="000000" w:themeColor="text1"/>
                <w14:textFill>
                  <w14:solidFill>
                    <w14:schemeClr w14:val="tx1"/>
                  </w14:solidFill>
                </w14:textFill>
              </w:rPr>
            </w:pPr>
            <w:r>
              <w:rPr>
                <w:rFonts w:asciiTheme="majorBidi" w:hAnsiTheme="majorBidi" w:eastAsiaTheme="minorEastAsia" w:cstheme="majorBidi"/>
                <w:bCs/>
                <w:color w:val="000000" w:themeColor="text1"/>
                <w14:textFill>
                  <w14:solidFill>
                    <w14:schemeClr w14:val="tx1"/>
                  </w14:solidFill>
                </w14:textFill>
              </w:rPr>
              <w:t>2.废气源强核算过程</w:t>
            </w:r>
          </w:p>
          <w:p w14:paraId="5739AD62">
            <w:pPr>
              <w:ind w:firstLine="480"/>
              <w:rPr>
                <w:bCs/>
              </w:rPr>
            </w:pPr>
            <w:r>
              <w:rPr>
                <w:bCs/>
              </w:rPr>
              <w:t>（1）废气产生情况</w:t>
            </w:r>
          </w:p>
          <w:p w14:paraId="0BD73989">
            <w:pPr>
              <w:ind w:firstLine="480"/>
              <w:rPr>
                <w:bCs/>
              </w:rPr>
            </w:pPr>
            <w:r>
              <w:rPr>
                <w:rFonts w:ascii="Cambria Math" w:hAnsi="Cambria Math" w:cs="Cambria Math"/>
                <w:bCs/>
              </w:rPr>
              <w:t>①</w:t>
            </w:r>
            <w:r>
              <w:rPr>
                <w:bCs/>
              </w:rPr>
              <w:t>注塑废气</w:t>
            </w:r>
          </w:p>
          <w:p w14:paraId="6C22006E">
            <w:pPr>
              <w:ind w:firstLine="480"/>
              <w:rPr>
                <w:rFonts w:asciiTheme="majorBidi" w:hAnsiTheme="majorBidi" w:cstheme="majorBidi"/>
                <w:bCs/>
                <w:color w:val="000000" w:themeColor="text1"/>
                <w14:textFill>
                  <w14:solidFill>
                    <w14:schemeClr w14:val="tx1"/>
                  </w14:solidFill>
                </w14:textFill>
              </w:rPr>
            </w:pPr>
            <w:r>
              <w:rPr>
                <w:rFonts w:asciiTheme="majorBidi" w:hAnsiTheme="majorBidi" w:cstheme="majorBidi"/>
                <w:bCs/>
                <w:color w:val="000000" w:themeColor="text1"/>
                <w14:textFill>
                  <w14:solidFill>
                    <w14:schemeClr w14:val="tx1"/>
                  </w14:solidFill>
                </w14:textFill>
              </w:rPr>
              <w:t>项目运营期注塑工序的控制温度在220~250℃，ABS塑胶粒的分解温度＞270℃，PS塑胶粒的分解温度＞300℃，因此不考虑ABS、PS的热分解污染物。但是加热熔融过程中可能会有部分未完成聚合反应的游离单体产生，主要为苯乙烯、丙烯腈、1，3-丁二烯、甲苯、乙苯等污染物，由于原料中残留的单体类物质本身很少，挥发量极少，因此本项目不再定量核算，建议企业后续通过跟踪监测进行日常管理。</w:t>
            </w:r>
          </w:p>
          <w:p w14:paraId="5AC6FCC2">
            <w:pPr>
              <w:ind w:firstLine="480"/>
              <w:rPr>
                <w:rFonts w:asciiTheme="majorBidi" w:hAnsiTheme="majorBidi" w:cstheme="majorBidi"/>
                <w:bCs/>
                <w:color w:val="000000" w:themeColor="text1"/>
                <w14:textFill>
                  <w14:solidFill>
                    <w14:schemeClr w14:val="tx1"/>
                  </w14:solidFill>
                </w14:textFill>
              </w:rPr>
            </w:pPr>
            <w:r>
              <w:rPr>
                <w:rFonts w:asciiTheme="majorBidi" w:hAnsiTheme="majorBidi" w:cstheme="majorBidi"/>
                <w:bCs/>
                <w:color w:val="000000" w:themeColor="text1"/>
                <w14:textFill>
                  <w14:solidFill>
                    <w14:schemeClr w14:val="tx1"/>
                  </w14:solidFill>
                </w14:textFill>
              </w:rPr>
              <w:t>本项目主要考虑生产过程产生的有机废气，以非甲烷总烃表征。参考《排放源统计调查产排污核算方法和系数手册》中2929塑料零件及其他塑料品制造行业系数表，产品名称：塑料零件，原料名称：树脂、助剂，工艺名称：配料-混合-挤出/注塑，挥发性有机物产污系数为2.70kg/t-产品。根据上述分析，项目</w:t>
            </w:r>
            <w:r>
              <w:rPr>
                <w:rFonts w:asciiTheme="majorBidi" w:hAnsiTheme="majorBidi" w:cstheme="majorBidi"/>
                <w:bCs/>
                <w:color w:val="EE0000"/>
              </w:rPr>
              <w:t>塑料</w:t>
            </w:r>
            <w:r>
              <w:rPr>
                <w:rFonts w:hint="eastAsia" w:asciiTheme="majorBidi" w:hAnsiTheme="majorBidi" w:cstheme="majorBidi"/>
                <w:bCs/>
                <w:color w:val="EE0000"/>
              </w:rPr>
              <w:t>台灯、包装盒、</w:t>
            </w:r>
            <w:r>
              <w:rPr>
                <w:rFonts w:asciiTheme="majorBidi" w:hAnsiTheme="majorBidi" w:cstheme="majorBidi"/>
                <w:bCs/>
              </w:rPr>
              <w:t>零件产量</w:t>
            </w:r>
            <w:r>
              <w:rPr>
                <w:rFonts w:hint="eastAsia" w:asciiTheme="majorBidi" w:hAnsiTheme="majorBidi" w:cstheme="majorBidi"/>
                <w:bCs/>
              </w:rPr>
              <w:t>共计</w:t>
            </w:r>
            <w:r>
              <w:rPr>
                <w:rFonts w:asciiTheme="majorBidi" w:hAnsiTheme="majorBidi" w:cstheme="majorBidi"/>
                <w:bCs/>
                <w:color w:val="000000" w:themeColor="text1"/>
                <w14:textFill>
                  <w14:solidFill>
                    <w14:schemeClr w14:val="tx1"/>
                  </w14:solidFill>
                </w14:textFill>
              </w:rPr>
              <w:t>140t/a，则注塑工序的非甲烷总烃产生量为0.3780t/a（0.0788kg/h）。</w:t>
            </w:r>
          </w:p>
          <w:p w14:paraId="5462E1A6">
            <w:pPr>
              <w:ind w:firstLine="480"/>
              <w:rPr>
                <w:rFonts w:asciiTheme="majorBidi" w:hAnsiTheme="majorBidi" w:cstheme="majorBidi"/>
                <w:bCs/>
                <w:color w:val="000000" w:themeColor="text1"/>
                <w14:textFill>
                  <w14:solidFill>
                    <w14:schemeClr w14:val="tx1"/>
                  </w14:solidFill>
                </w14:textFill>
              </w:rPr>
            </w:pPr>
            <w:r>
              <w:rPr>
                <w:rFonts w:ascii="Cambria Math" w:hAnsi="Cambria Math" w:cs="Cambria Math"/>
                <w:bCs/>
                <w:color w:val="000000" w:themeColor="text1"/>
                <w14:textFill>
                  <w14:solidFill>
                    <w14:schemeClr w14:val="tx1"/>
                  </w14:solidFill>
                </w14:textFill>
              </w:rPr>
              <w:t>②</w:t>
            </w:r>
            <w:r>
              <w:rPr>
                <w:rFonts w:asciiTheme="majorBidi" w:hAnsiTheme="majorBidi" w:cstheme="majorBidi"/>
                <w:bCs/>
                <w:color w:val="000000" w:themeColor="text1"/>
                <w14:textFill>
                  <w14:solidFill>
                    <w14:schemeClr w14:val="tx1"/>
                  </w14:solidFill>
                </w14:textFill>
              </w:rPr>
              <w:t>胶合废气</w:t>
            </w:r>
          </w:p>
          <w:p w14:paraId="18461853">
            <w:pPr>
              <w:ind w:firstLine="480"/>
              <w:rPr>
                <w:rFonts w:asciiTheme="majorBidi" w:hAnsiTheme="majorBidi" w:cstheme="majorBidi"/>
                <w:bCs/>
                <w:color w:val="000000" w:themeColor="text1"/>
                <w14:textFill>
                  <w14:solidFill>
                    <w14:schemeClr w14:val="tx1"/>
                  </w14:solidFill>
                </w14:textFill>
              </w:rPr>
            </w:pPr>
            <w:r>
              <w:rPr>
                <w:rFonts w:asciiTheme="majorBidi" w:hAnsiTheme="majorBidi" w:cstheme="majorBidi"/>
                <w:bCs/>
                <w:color w:val="000000" w:themeColor="text1"/>
                <w14:textFill>
                  <w14:solidFill>
                    <w14:schemeClr w14:val="tx1"/>
                  </w14:solidFill>
                </w14:textFill>
              </w:rPr>
              <w:t>项目胶合过程，受热会产生少量有机废气，胶合操作温度85℃，ABS塑胶粒的分解温度＞270℃，PS塑胶粒的分解温度＞300℃，因此不考虑ABS、PS的热分解污染物，以非甲烷总烃表征。参考《排放源统计调查产排污核算方法和系数手册》中2929塑料零件及其他塑料品制造行业系数表，产品名称：塑料零件，原料名称：树脂、助剂，工艺名称：配料-混合-挤出/注塑，挥发性有机物产污系数为2.70kg/t-产品。根据企业资料，</w:t>
            </w:r>
            <w:r>
              <w:rPr>
                <w:rFonts w:asciiTheme="majorBidi" w:hAnsiTheme="majorBidi" w:cstheme="majorBidi"/>
                <w:bCs/>
                <w:color w:val="EE0000"/>
              </w:rPr>
              <w:t>需要胶合的</w:t>
            </w:r>
            <w:r>
              <w:rPr>
                <w:rFonts w:hint="eastAsia" w:asciiTheme="majorBidi" w:hAnsiTheme="majorBidi" w:cstheme="majorBidi"/>
                <w:bCs/>
                <w:color w:val="EE0000"/>
              </w:rPr>
              <w:t>产品数量</w:t>
            </w:r>
            <w:r>
              <w:rPr>
                <w:rFonts w:asciiTheme="majorBidi" w:hAnsiTheme="majorBidi" w:cstheme="majorBidi"/>
                <w:bCs/>
                <w:color w:val="EE0000"/>
              </w:rPr>
              <w:t>约占总塑</w:t>
            </w:r>
            <w:r>
              <w:rPr>
                <w:rFonts w:hint="eastAsia" w:asciiTheme="majorBidi" w:hAnsiTheme="majorBidi" w:cstheme="majorBidi"/>
                <w:bCs/>
                <w:color w:val="EE0000"/>
              </w:rPr>
              <w:t>胶</w:t>
            </w:r>
            <w:r>
              <w:rPr>
                <w:rFonts w:asciiTheme="majorBidi" w:hAnsiTheme="majorBidi" w:cstheme="majorBidi"/>
                <w:bCs/>
                <w:color w:val="EE0000"/>
              </w:rPr>
              <w:t>零件产量</w:t>
            </w:r>
            <w:r>
              <w:rPr>
                <w:rFonts w:hint="eastAsia" w:asciiTheme="majorBidi" w:hAnsiTheme="majorBidi" w:cstheme="majorBidi"/>
                <w:bCs/>
                <w:color w:val="EE0000"/>
              </w:rPr>
              <w:t>（8t/a）</w:t>
            </w:r>
            <w:r>
              <w:rPr>
                <w:rFonts w:asciiTheme="majorBidi" w:hAnsiTheme="majorBidi" w:cstheme="majorBidi"/>
                <w:bCs/>
                <w:color w:val="EE0000"/>
              </w:rPr>
              <w:t>的10%</w:t>
            </w:r>
            <w:r>
              <w:rPr>
                <w:rFonts w:hint="eastAsia" w:asciiTheme="majorBidi" w:hAnsiTheme="majorBidi" w:cstheme="majorBidi"/>
                <w:bCs/>
                <w:color w:val="EE0000"/>
              </w:rPr>
              <w:t>，每个零件的胶合区域约占零件的不到10%</w:t>
            </w:r>
            <w:r>
              <w:rPr>
                <w:rFonts w:asciiTheme="majorBidi" w:hAnsiTheme="majorBidi" w:cstheme="majorBidi"/>
                <w:bCs/>
                <w:color w:val="000000" w:themeColor="text1"/>
                <w14:textFill>
                  <w14:solidFill>
                    <w14:schemeClr w14:val="tx1"/>
                  </w14:solidFill>
                </w14:textFill>
              </w:rPr>
              <w:t>，即</w:t>
            </w:r>
            <w:r>
              <w:rPr>
                <w:rFonts w:hint="eastAsia" w:asciiTheme="majorBidi" w:hAnsiTheme="majorBidi" w:cstheme="majorBidi"/>
                <w:bCs/>
                <w:color w:val="000000" w:themeColor="text1"/>
                <w14:textFill>
                  <w14:solidFill>
                    <w14:schemeClr w14:val="tx1"/>
                  </w14:solidFill>
                </w14:textFill>
              </w:rPr>
              <w:t>0.0</w:t>
            </w:r>
            <w:r>
              <w:rPr>
                <w:rFonts w:hint="eastAsia" w:asciiTheme="majorBidi" w:hAnsiTheme="majorBidi" w:cstheme="majorBidi"/>
                <w:bCs/>
                <w:color w:val="EE0000"/>
              </w:rPr>
              <w:t>8</w:t>
            </w:r>
            <w:r>
              <w:rPr>
                <w:rFonts w:asciiTheme="majorBidi" w:hAnsiTheme="majorBidi" w:cstheme="majorBidi"/>
                <w:bCs/>
                <w:color w:val="000000" w:themeColor="text1"/>
                <w14:textFill>
                  <w14:solidFill>
                    <w14:schemeClr w14:val="tx1"/>
                  </w14:solidFill>
                </w14:textFill>
              </w:rPr>
              <w:t>t/a，则胶合有机废气产生量为</w:t>
            </w:r>
            <w:r>
              <w:rPr>
                <w:rFonts w:asciiTheme="majorBidi" w:hAnsiTheme="majorBidi" w:cstheme="majorBidi"/>
                <w:bCs/>
                <w:color w:val="EE0000"/>
              </w:rPr>
              <w:t>0.</w:t>
            </w:r>
            <w:r>
              <w:rPr>
                <w:rFonts w:hint="eastAsia" w:asciiTheme="majorBidi" w:hAnsiTheme="majorBidi" w:cstheme="majorBidi"/>
                <w:bCs/>
                <w:color w:val="EE0000"/>
              </w:rPr>
              <w:t>0004</w:t>
            </w:r>
            <w:r>
              <w:rPr>
                <w:rFonts w:asciiTheme="majorBidi" w:hAnsiTheme="majorBidi" w:cstheme="majorBidi"/>
                <w:bCs/>
                <w:color w:val="EE0000"/>
              </w:rPr>
              <w:t>t/a（0.</w:t>
            </w:r>
            <w:r>
              <w:rPr>
                <w:rFonts w:hint="eastAsia" w:asciiTheme="majorBidi" w:hAnsiTheme="majorBidi" w:cstheme="majorBidi"/>
                <w:bCs/>
                <w:color w:val="EE0000"/>
              </w:rPr>
              <w:t>00</w:t>
            </w:r>
            <w:r>
              <w:rPr>
                <w:rFonts w:asciiTheme="majorBidi" w:hAnsiTheme="majorBidi" w:cstheme="majorBidi"/>
                <w:bCs/>
                <w:color w:val="EE0000"/>
              </w:rPr>
              <w:t>0</w:t>
            </w:r>
            <w:r>
              <w:rPr>
                <w:rFonts w:hint="eastAsia" w:asciiTheme="majorBidi" w:hAnsiTheme="majorBidi" w:cstheme="majorBidi"/>
                <w:bCs/>
                <w:color w:val="EE0000"/>
              </w:rPr>
              <w:t>0</w:t>
            </w:r>
            <w:r>
              <w:rPr>
                <w:rFonts w:asciiTheme="majorBidi" w:hAnsiTheme="majorBidi" w:cstheme="majorBidi"/>
                <w:bCs/>
                <w:color w:val="EE0000"/>
              </w:rPr>
              <w:t>8</w:t>
            </w:r>
            <w:r>
              <w:rPr>
                <w:rFonts w:asciiTheme="majorBidi" w:hAnsiTheme="majorBidi" w:cstheme="majorBidi"/>
                <w:bCs/>
                <w:color w:val="000000" w:themeColor="text1"/>
                <w14:textFill>
                  <w14:solidFill>
                    <w14:schemeClr w14:val="tx1"/>
                  </w14:solidFill>
                </w14:textFill>
              </w:rPr>
              <w:t>kg/h）。</w:t>
            </w:r>
          </w:p>
          <w:p w14:paraId="0E68207E">
            <w:pPr>
              <w:ind w:firstLine="480"/>
              <w:rPr>
                <w:bCs/>
              </w:rPr>
            </w:pPr>
            <w:r>
              <w:rPr>
                <w:rFonts w:ascii="Cambria Math" w:hAnsi="Cambria Math" w:cs="Cambria Math"/>
                <w:bCs/>
                <w:color w:val="000000" w:themeColor="text1"/>
                <w14:textFill>
                  <w14:solidFill>
                    <w14:schemeClr w14:val="tx1"/>
                  </w14:solidFill>
                </w14:textFill>
              </w:rPr>
              <w:t>③</w:t>
            </w:r>
            <w:r>
              <w:rPr>
                <w:bCs/>
              </w:rPr>
              <w:t>印刷废气</w:t>
            </w:r>
          </w:p>
          <w:p w14:paraId="6555C514">
            <w:pPr>
              <w:ind w:firstLine="480"/>
              <w:rPr>
                <w:bCs/>
                <w:highlight w:val="yellow"/>
              </w:rPr>
            </w:pPr>
            <w:r>
              <w:rPr>
                <w:bCs/>
              </w:rPr>
              <w:t>项目印刷工序中使用水性油墨产生的有机废气，以非甲烷总烃/总VOCs表征。根据水性油墨的</w:t>
            </w:r>
            <w:r>
              <w:rPr>
                <w:bCs/>
                <w:color w:val="EE0000"/>
              </w:rPr>
              <w:t>VOCs检测报告</w:t>
            </w:r>
            <w:r>
              <w:rPr>
                <w:bCs/>
              </w:rPr>
              <w:t>（</w:t>
            </w:r>
            <w:r>
              <w:rPr>
                <w:bCs/>
                <w:color w:val="EE0000"/>
              </w:rPr>
              <w:t>附件10</w:t>
            </w:r>
            <w:r>
              <w:rPr>
                <w:bCs/>
              </w:rPr>
              <w:t>），水性油墨的挥发性有机物化合物含量为</w:t>
            </w:r>
            <w:r>
              <w:rPr>
                <w:rFonts w:hint="eastAsia"/>
                <w:bCs/>
                <w:color w:val="EE0000"/>
              </w:rPr>
              <w:t>1.6</w:t>
            </w:r>
            <w:r>
              <w:rPr>
                <w:bCs/>
                <w:color w:val="EE0000"/>
              </w:rPr>
              <w:t>%</w:t>
            </w:r>
            <w:r>
              <w:rPr>
                <w:bCs/>
              </w:rPr>
              <w:t>，按100%挥发计。根据企业提供的资料，项目水性油墨年用量为0.1t/a，印刷工序非连续工作，每天工作3小时，工作天数为300天。则印刷工序的非甲烷总烃/总VOCs产生量为</w:t>
            </w:r>
            <w:r>
              <w:rPr>
                <w:bCs/>
                <w:color w:val="EE0000"/>
              </w:rPr>
              <w:t>0.001</w:t>
            </w:r>
            <w:r>
              <w:rPr>
                <w:rFonts w:hint="eastAsia"/>
                <w:bCs/>
                <w:color w:val="EE0000"/>
              </w:rPr>
              <w:t>8</w:t>
            </w:r>
            <w:r>
              <w:rPr>
                <w:bCs/>
                <w:color w:val="EE0000"/>
              </w:rPr>
              <w:t>kg/h（0.001</w:t>
            </w:r>
            <w:r>
              <w:rPr>
                <w:rFonts w:hint="eastAsia"/>
                <w:bCs/>
                <w:color w:val="EE0000"/>
              </w:rPr>
              <w:t>6</w:t>
            </w:r>
            <w:r>
              <w:rPr>
                <w:bCs/>
                <w:color w:val="EE0000"/>
              </w:rPr>
              <w:t>t/a）</w:t>
            </w:r>
            <w:r>
              <w:rPr>
                <w:bCs/>
              </w:rPr>
              <w:t>。</w:t>
            </w:r>
          </w:p>
          <w:p w14:paraId="0EF2DCDC">
            <w:pPr>
              <w:ind w:firstLine="480"/>
              <w:rPr>
                <w:rFonts w:ascii="Cambria Math" w:hAnsi="Cambria Math" w:cs="Cambria Math"/>
                <w:bCs/>
                <w:color w:val="EE0000"/>
              </w:rPr>
            </w:pPr>
            <w:r>
              <w:rPr>
                <w:rFonts w:ascii="Cambria Math" w:hAnsi="Cambria Math" w:cs="Cambria Math"/>
                <w:bCs/>
              </w:rPr>
              <w:t>④</w:t>
            </w:r>
            <w:r>
              <w:rPr>
                <w:rFonts w:hint="eastAsia" w:ascii="Cambria Math" w:hAnsi="Cambria Math" w:cs="Cambria Math"/>
                <w:bCs/>
                <w:color w:val="EE0000"/>
              </w:rPr>
              <w:t>清洗废气</w:t>
            </w:r>
          </w:p>
          <w:p w14:paraId="283C8C0B">
            <w:pPr>
              <w:ind w:firstLine="480"/>
              <w:rPr>
                <w:bCs/>
              </w:rPr>
            </w:pPr>
            <w:r>
              <w:rPr>
                <w:rFonts w:hint="eastAsia" w:ascii="Cambria Math" w:hAnsi="Cambria Math" w:cs="Cambria Math"/>
                <w:bCs/>
                <w:color w:val="EE0000"/>
              </w:rPr>
              <w:t>移印机丝印机使用清洗剂清洁，清洗</w:t>
            </w:r>
            <w:r>
              <w:rPr>
                <w:rFonts w:hint="eastAsia"/>
                <w:color w:val="EE0000"/>
              </w:rPr>
              <w:t>剂使用方式为浸泡印刷机出墨口和局部擦拭，其使用量需以过量估计，全年需使用0.01t清洗剂。</w:t>
            </w:r>
            <w:r>
              <w:rPr>
                <w:bCs/>
              </w:rPr>
              <w:t>据</w:t>
            </w:r>
            <w:r>
              <w:rPr>
                <w:rFonts w:hint="eastAsia"/>
                <w:bCs/>
              </w:rPr>
              <w:t>清洗剂</w:t>
            </w:r>
            <w:r>
              <w:rPr>
                <w:bCs/>
              </w:rPr>
              <w:t>的</w:t>
            </w:r>
            <w:r>
              <w:rPr>
                <w:bCs/>
                <w:color w:val="EE0000"/>
              </w:rPr>
              <w:t>VOCs检测报告</w:t>
            </w:r>
            <w:r>
              <w:rPr>
                <w:bCs/>
              </w:rPr>
              <w:t>（</w:t>
            </w:r>
            <w:r>
              <w:rPr>
                <w:bCs/>
                <w:color w:val="EE0000"/>
              </w:rPr>
              <w:t>附件</w:t>
            </w:r>
            <w:r>
              <w:rPr>
                <w:rFonts w:hint="eastAsia"/>
                <w:bCs/>
                <w:color w:val="EE0000"/>
              </w:rPr>
              <w:t>12</w:t>
            </w:r>
            <w:r>
              <w:rPr>
                <w:bCs/>
              </w:rPr>
              <w:t>），</w:t>
            </w:r>
            <w:r>
              <w:rPr>
                <w:rFonts w:hint="eastAsia"/>
                <w:bCs/>
                <w:color w:val="EE0000"/>
              </w:rPr>
              <w:t>清洗剂</w:t>
            </w:r>
            <w:r>
              <w:rPr>
                <w:bCs/>
                <w:color w:val="EE0000"/>
              </w:rPr>
              <w:t>中挥发性有机化合物含量为</w:t>
            </w:r>
            <w:r>
              <w:rPr>
                <w:rFonts w:hint="eastAsia"/>
                <w:bCs/>
                <w:color w:val="EE0000"/>
              </w:rPr>
              <w:t>5</w:t>
            </w:r>
            <w:r>
              <w:rPr>
                <w:bCs/>
                <w:color w:val="EE0000"/>
              </w:rPr>
              <w:t>8</w:t>
            </w:r>
            <w:r>
              <w:rPr>
                <w:rFonts w:hint="eastAsia"/>
                <w:bCs/>
                <w:color w:val="EE0000"/>
              </w:rPr>
              <w:t>g</w:t>
            </w:r>
            <w:r>
              <w:rPr>
                <w:bCs/>
                <w:color w:val="EE0000"/>
              </w:rPr>
              <w:t>/L</w:t>
            </w:r>
            <w:r>
              <w:rPr>
                <w:rFonts w:hint="eastAsia"/>
                <w:bCs/>
                <w:color w:val="EE0000"/>
              </w:rPr>
              <w:t>（57.71g/kg）</w:t>
            </w:r>
            <w:r>
              <w:rPr>
                <w:bCs/>
                <w:color w:val="EE0000"/>
              </w:rPr>
              <w:t>，按100%挥发计</w:t>
            </w:r>
            <w:r>
              <w:rPr>
                <w:rFonts w:hint="eastAsia"/>
                <w:bCs/>
                <w:color w:val="EE0000"/>
              </w:rPr>
              <w:t>，则清洗废气产生量为0.0006t/a</w:t>
            </w:r>
          </w:p>
          <w:p w14:paraId="4362FC7D">
            <w:pPr>
              <w:ind w:firstLine="480"/>
              <w:rPr>
                <w:rFonts w:asciiTheme="majorBidi" w:hAnsiTheme="majorBidi" w:cstheme="majorBidi"/>
                <w:bCs/>
                <w:color w:val="000000" w:themeColor="text1"/>
                <w14:textFill>
                  <w14:solidFill>
                    <w14:schemeClr w14:val="tx1"/>
                  </w14:solidFill>
                </w14:textFill>
              </w:rPr>
            </w:pPr>
            <w:r>
              <w:rPr>
                <w:rFonts w:ascii="Cambria Math" w:hAnsi="Cambria Math" w:cs="Cambria Math"/>
                <w:bCs/>
                <w:color w:val="EE0000"/>
              </w:rPr>
              <w:t>⑤</w:t>
            </w:r>
            <w:r>
              <w:rPr>
                <w:rFonts w:asciiTheme="majorBidi" w:hAnsiTheme="majorBidi" w:cstheme="majorBidi"/>
                <w:bCs/>
                <w:color w:val="000000" w:themeColor="text1"/>
                <w14:textFill>
                  <w14:solidFill>
                    <w14:schemeClr w14:val="tx1"/>
                  </w14:solidFill>
                </w14:textFill>
              </w:rPr>
              <w:t>喷漆及烘干废气</w:t>
            </w:r>
          </w:p>
          <w:p w14:paraId="477D1243">
            <w:pPr>
              <w:ind w:firstLine="480"/>
              <w:rPr>
                <w:bCs/>
                <w:highlight w:val="yellow"/>
              </w:rPr>
            </w:pPr>
            <w:r>
              <w:rPr>
                <w:bCs/>
              </w:rPr>
              <w:t>项目运营期喷漆工序中使用水性面漆产生的有机废气，以非甲烷总烃表征。根据水性面漆的</w:t>
            </w:r>
            <w:r>
              <w:rPr>
                <w:bCs/>
                <w:color w:val="EE0000"/>
              </w:rPr>
              <w:t>VOCs检测报告</w:t>
            </w:r>
            <w:r>
              <w:rPr>
                <w:bCs/>
              </w:rPr>
              <w:t>（</w:t>
            </w:r>
            <w:r>
              <w:rPr>
                <w:bCs/>
                <w:color w:val="EE0000"/>
              </w:rPr>
              <w:t>附件8</w:t>
            </w:r>
            <w:r>
              <w:rPr>
                <w:bCs/>
              </w:rPr>
              <w:t>），水性面漆中挥发性有机化合物含量为</w:t>
            </w:r>
            <w:r>
              <w:rPr>
                <w:bCs/>
                <w:color w:val="EE0000"/>
              </w:rPr>
              <w:t>118</w:t>
            </w:r>
            <w:r>
              <w:rPr>
                <w:rFonts w:hint="eastAsia"/>
                <w:bCs/>
                <w:color w:val="EE0000"/>
              </w:rPr>
              <w:t>g</w:t>
            </w:r>
            <w:r>
              <w:rPr>
                <w:bCs/>
                <w:color w:val="EE0000"/>
              </w:rPr>
              <w:t>/L</w:t>
            </w:r>
            <w:r>
              <w:rPr>
                <w:rFonts w:hint="eastAsia"/>
                <w:bCs/>
                <w:color w:val="EE0000"/>
              </w:rPr>
              <w:t>（100.43g/kg）</w:t>
            </w:r>
            <w:r>
              <w:rPr>
                <w:bCs/>
              </w:rPr>
              <w:t>，挥发分按100%挥发计。根据企业提供的资料，项目水性面漆年用量为3t/a，喷漆非连续工作，喷漆工序每天工作3小时，工作天数为300天。则喷漆废气中的非甲烷总烃产生量为</w:t>
            </w:r>
            <w:r>
              <w:rPr>
                <w:bCs/>
                <w:color w:val="EE0000"/>
              </w:rPr>
              <w:t>0.</w:t>
            </w:r>
            <w:r>
              <w:rPr>
                <w:rFonts w:hint="eastAsia"/>
                <w:bCs/>
                <w:color w:val="EE0000"/>
              </w:rPr>
              <w:t>2333</w:t>
            </w:r>
            <w:r>
              <w:rPr>
                <w:bCs/>
                <w:color w:val="EE0000"/>
              </w:rPr>
              <w:t>kg/h（0.</w:t>
            </w:r>
            <w:r>
              <w:rPr>
                <w:rFonts w:hint="eastAsia"/>
                <w:bCs/>
                <w:color w:val="EE0000"/>
              </w:rPr>
              <w:t>2100</w:t>
            </w:r>
            <w:r>
              <w:rPr>
                <w:bCs/>
                <w:color w:val="EE0000"/>
              </w:rPr>
              <w:t>t/a</w:t>
            </w:r>
            <w:r>
              <w:rPr>
                <w:bCs/>
              </w:rPr>
              <w:t>）；烘干工序的非甲烷总烃产生量为</w:t>
            </w:r>
            <w:r>
              <w:rPr>
                <w:bCs/>
                <w:color w:val="EE0000"/>
              </w:rPr>
              <w:t>0.1kg/h（0.0</w:t>
            </w:r>
            <w:r>
              <w:rPr>
                <w:rFonts w:hint="eastAsia"/>
                <w:bCs/>
                <w:color w:val="EE0000"/>
              </w:rPr>
              <w:t>900</w:t>
            </w:r>
            <w:r>
              <w:rPr>
                <w:bCs/>
                <w:color w:val="EE0000"/>
              </w:rPr>
              <w:t>t/a</w:t>
            </w:r>
            <w:r>
              <w:rPr>
                <w:bCs/>
              </w:rPr>
              <w:t>）。</w:t>
            </w:r>
          </w:p>
          <w:p w14:paraId="5E1F21BB">
            <w:pPr>
              <w:ind w:firstLine="480"/>
              <w:rPr>
                <w:bCs/>
              </w:rPr>
            </w:pPr>
            <w:r>
              <w:rPr>
                <w:rFonts w:ascii="Cambria Math" w:hAnsi="Cambria Math" w:cs="Cambria Math"/>
                <w:bCs/>
              </w:rPr>
              <w:t>⑥</w:t>
            </w:r>
            <w:r>
              <w:rPr>
                <w:bCs/>
              </w:rPr>
              <w:t>漆雾废气</w:t>
            </w:r>
          </w:p>
          <w:p w14:paraId="6B5DEC5B">
            <w:pPr>
              <w:ind w:firstLine="480"/>
              <w:rPr>
                <w:bCs/>
              </w:rPr>
            </w:pPr>
            <w:r>
              <w:rPr>
                <w:bCs/>
              </w:rPr>
              <w:t>项目运营期喷漆工序产生漆雾废气主要污染因子为颗粒物。根据</w:t>
            </w:r>
            <w:bookmarkStart w:id="10" w:name="_Hlk121820556"/>
            <w:r>
              <w:rPr>
                <w:bCs/>
              </w:rPr>
              <w:t>水性面漆的</w:t>
            </w:r>
            <w:r>
              <w:rPr>
                <w:rFonts w:hint="eastAsia"/>
                <w:bCs/>
              </w:rPr>
              <w:t>MSDS（附件7）</w:t>
            </w:r>
            <w:r>
              <w:rPr>
                <w:bCs/>
              </w:rPr>
              <w:t>，水性面漆中挥发性成分为</w:t>
            </w:r>
            <w:r>
              <w:rPr>
                <w:rFonts w:hint="eastAsia"/>
                <w:bCs/>
                <w:color w:val="0000FF"/>
              </w:rPr>
              <w:t>28.7</w:t>
            </w:r>
            <w:r>
              <w:rPr>
                <w:rFonts w:hint="eastAsia"/>
                <w:bCs/>
              </w:rPr>
              <w:t>g/kg，</w:t>
            </w:r>
            <w:r>
              <w:rPr>
                <w:bCs/>
              </w:rPr>
              <w:t>水成分含量3</w:t>
            </w:r>
            <w:r>
              <w:rPr>
                <w:rFonts w:hint="eastAsia"/>
                <w:bCs/>
                <w:color w:val="0000FF"/>
              </w:rPr>
              <w:t>6</w:t>
            </w:r>
            <w:r>
              <w:rPr>
                <w:bCs/>
              </w:rPr>
              <w:t>%，则固化含量为1-</w:t>
            </w:r>
            <w:r>
              <w:rPr>
                <w:rFonts w:hint="eastAsia"/>
                <w:bCs/>
                <w:color w:val="0000FF"/>
              </w:rPr>
              <w:t>2.87</w:t>
            </w:r>
            <w:r>
              <w:rPr>
                <w:bCs/>
              </w:rPr>
              <w:t>%-</w:t>
            </w:r>
            <w:r>
              <w:rPr>
                <w:rFonts w:hint="eastAsia"/>
                <w:bCs/>
                <w:color w:val="0000FF"/>
              </w:rPr>
              <w:t>36</w:t>
            </w:r>
            <w:r>
              <w:rPr>
                <w:bCs/>
              </w:rPr>
              <w:t>%=</w:t>
            </w:r>
            <w:r>
              <w:rPr>
                <w:rFonts w:hint="eastAsia"/>
                <w:bCs/>
                <w:color w:val="0000FF"/>
              </w:rPr>
              <w:t>61.13</w:t>
            </w:r>
            <w:r>
              <w:rPr>
                <w:bCs/>
              </w:rPr>
              <w:t>%。本项目水性面漆用量为3t/a，</w:t>
            </w:r>
            <w:r>
              <w:rPr>
                <w:rFonts w:hint="eastAsia"/>
                <w:bCs/>
                <w:color w:val="0000FF"/>
              </w:rPr>
              <w:t>参考《广东省表面涂装（汽车制造业）挥发性有机废气治理技术指南》，自动喷涂附着率约为60%-70%，本项目附着率取中值70%</w:t>
            </w:r>
            <w:r>
              <w:rPr>
                <w:bCs/>
                <w:color w:val="0000FF"/>
              </w:rPr>
              <w:t>，漆雾产生量=油漆使用量*固化率*（1-附着率）</w:t>
            </w:r>
            <w:r>
              <w:rPr>
                <w:bCs/>
              </w:rPr>
              <w:t>，喷漆非连续工作，喷漆工序每天工作3小时，工作天数为300天，则漆雾颗粒物的产生量为</w:t>
            </w:r>
            <w:r>
              <w:rPr>
                <w:bCs/>
                <w:color w:val="EE0000"/>
              </w:rPr>
              <w:t>0.</w:t>
            </w:r>
            <w:r>
              <w:rPr>
                <w:rFonts w:hint="eastAsia"/>
                <w:bCs/>
                <w:color w:val="EE0000"/>
              </w:rPr>
              <w:t>79</w:t>
            </w:r>
            <w:r>
              <w:rPr>
                <w:bCs/>
                <w:color w:val="EE0000"/>
              </w:rPr>
              <w:t>17kg/h（0.7</w:t>
            </w:r>
            <w:r>
              <w:rPr>
                <w:rFonts w:hint="eastAsia"/>
                <w:bCs/>
                <w:color w:val="EE0000"/>
              </w:rPr>
              <w:t>12</w:t>
            </w:r>
            <w:r>
              <w:rPr>
                <w:bCs/>
                <w:color w:val="EE0000"/>
              </w:rPr>
              <w:t>5t/a）</w:t>
            </w:r>
            <w:r>
              <w:rPr>
                <w:bCs/>
              </w:rPr>
              <w:t>。</w:t>
            </w:r>
          </w:p>
          <w:p w14:paraId="491277AF">
            <w:pPr>
              <w:ind w:firstLine="480"/>
              <w:rPr>
                <w:rFonts w:ascii="Cambria Math" w:hAnsi="Cambria Math" w:cs="Cambria Math"/>
                <w:bCs/>
                <w:color w:val="EE0000"/>
              </w:rPr>
            </w:pPr>
            <w:r>
              <w:rPr>
                <w:rFonts w:ascii="Cambria Math" w:hAnsi="Cambria Math" w:cs="Cambria Math"/>
                <w:bCs/>
              </w:rPr>
              <w:t>⑦</w:t>
            </w:r>
            <w:r>
              <w:rPr>
                <w:rFonts w:hint="eastAsia" w:ascii="Cambria Math" w:hAnsi="Cambria Math" w:cs="Cambria Math"/>
                <w:bCs/>
                <w:color w:val="0000FF"/>
              </w:rPr>
              <w:t>电火花机</w:t>
            </w:r>
            <w:r>
              <w:rPr>
                <w:rFonts w:hint="eastAsia" w:ascii="Cambria Math" w:hAnsi="Cambria Math" w:cs="Cambria Math"/>
                <w:bCs/>
                <w:color w:val="EE0000"/>
              </w:rPr>
              <w:t>加工油雾</w:t>
            </w:r>
          </w:p>
          <w:p w14:paraId="64864BCA">
            <w:pPr>
              <w:ind w:firstLine="480"/>
              <w:rPr>
                <w:bCs/>
                <w:color w:val="EE0000"/>
              </w:rPr>
            </w:pPr>
            <w:r>
              <w:rPr>
                <w:bCs/>
                <w:color w:val="EE0000"/>
              </w:rPr>
              <w:t>项目</w:t>
            </w:r>
            <w:r>
              <w:rPr>
                <w:rFonts w:hint="eastAsia"/>
                <w:bCs/>
                <w:color w:val="0000FF"/>
              </w:rPr>
              <w:t>电火花机</w:t>
            </w:r>
            <w:r>
              <w:rPr>
                <w:bCs/>
                <w:color w:val="EE0000"/>
              </w:rPr>
              <w:t>工序中</w:t>
            </w:r>
            <w:r>
              <w:rPr>
                <w:rFonts w:hint="eastAsia" w:asciiTheme="majorBidi" w:hAnsiTheme="majorBidi" w:eastAsiaTheme="minorEastAsia" w:cstheme="majorBidi"/>
                <w:bCs/>
                <w:color w:val="EE0000"/>
              </w:rPr>
              <w:t>由于电源两极均浸润在</w:t>
            </w:r>
            <w:r>
              <w:rPr>
                <w:rFonts w:hint="eastAsia" w:asciiTheme="majorBidi" w:hAnsiTheme="majorBidi" w:eastAsiaTheme="minorEastAsia" w:cstheme="majorBidi"/>
                <w:bCs/>
                <w:color w:val="0000FF"/>
              </w:rPr>
              <w:t>电火花机</w:t>
            </w:r>
            <w:r>
              <w:rPr>
                <w:rFonts w:hint="eastAsia" w:asciiTheme="majorBidi" w:hAnsiTheme="majorBidi" w:eastAsiaTheme="minorEastAsia" w:cstheme="majorBidi"/>
                <w:bCs/>
                <w:color w:val="EE0000"/>
              </w:rPr>
              <w:t>油中，</w:t>
            </w:r>
            <w:r>
              <w:rPr>
                <w:rFonts w:hint="eastAsia" w:asciiTheme="majorBidi" w:hAnsiTheme="majorBidi" w:eastAsiaTheme="minorEastAsia" w:cstheme="majorBidi"/>
                <w:bCs/>
                <w:color w:val="0000FF"/>
              </w:rPr>
              <w:t>电火花机</w:t>
            </w:r>
            <w:r>
              <w:rPr>
                <w:rFonts w:hint="eastAsia" w:asciiTheme="majorBidi" w:hAnsiTheme="majorBidi" w:eastAsiaTheme="minorEastAsia" w:cstheme="majorBidi"/>
                <w:bCs/>
                <w:color w:val="EE0000"/>
              </w:rPr>
              <w:t>油同时起到导电介质和冷却介质的作用，油雾产生量极少，</w:t>
            </w:r>
            <w:r>
              <w:rPr>
                <w:rFonts w:asciiTheme="majorBidi" w:hAnsiTheme="majorBidi" w:eastAsiaTheme="minorEastAsia" w:cstheme="majorBidi"/>
                <w:bCs/>
                <w:color w:val="EE0000"/>
              </w:rPr>
              <w:t>以非甲烷总烃为表</w:t>
            </w:r>
            <w:r>
              <w:rPr>
                <w:rFonts w:hint="eastAsia" w:asciiTheme="majorBidi" w:hAnsiTheme="majorBidi" w:eastAsiaTheme="minorEastAsia" w:cstheme="majorBidi"/>
                <w:bCs/>
                <w:color w:val="EE0000"/>
              </w:rPr>
              <w:t>征，在</w:t>
            </w:r>
            <w:r>
              <w:rPr>
                <w:rFonts w:hint="eastAsia" w:asciiTheme="majorBidi" w:hAnsiTheme="majorBidi" w:eastAsiaTheme="minorEastAsia" w:cstheme="majorBidi"/>
                <w:bCs/>
                <w:color w:val="0000FF"/>
              </w:rPr>
              <w:t>厂区内</w:t>
            </w:r>
            <w:r>
              <w:rPr>
                <w:rFonts w:hint="eastAsia" w:asciiTheme="majorBidi" w:hAnsiTheme="majorBidi" w:eastAsiaTheme="minorEastAsia" w:cstheme="majorBidi"/>
                <w:bCs/>
                <w:color w:val="EE0000"/>
              </w:rPr>
              <w:t>无组织</w:t>
            </w:r>
            <w:r>
              <w:rPr>
                <w:rFonts w:hint="eastAsia" w:asciiTheme="majorBidi" w:hAnsiTheme="majorBidi" w:eastAsiaTheme="minorEastAsia" w:cstheme="majorBidi"/>
                <w:bCs/>
                <w:color w:val="0000FF"/>
              </w:rPr>
              <w:t>排放</w:t>
            </w:r>
            <w:r>
              <w:rPr>
                <w:rFonts w:hint="eastAsia" w:asciiTheme="majorBidi" w:hAnsiTheme="majorBidi" w:eastAsiaTheme="minorEastAsia" w:cstheme="majorBidi"/>
                <w:bCs/>
                <w:color w:val="EE0000"/>
              </w:rPr>
              <w:t>，本项目不对</w:t>
            </w:r>
            <w:r>
              <w:rPr>
                <w:rFonts w:hint="eastAsia" w:ascii="Cambria Math" w:hAnsi="Cambria Math" w:cs="Cambria Math"/>
                <w:bCs/>
                <w:color w:val="0000FF"/>
              </w:rPr>
              <w:t>电火花机</w:t>
            </w:r>
            <w:r>
              <w:rPr>
                <w:rFonts w:hint="eastAsia" w:ascii="Cambria Math" w:hAnsi="Cambria Math" w:cs="Cambria Math"/>
                <w:bCs/>
                <w:color w:val="EE0000"/>
              </w:rPr>
              <w:t>加工的</w:t>
            </w:r>
            <w:r>
              <w:rPr>
                <w:rFonts w:hint="eastAsia" w:asciiTheme="majorBidi" w:hAnsiTheme="majorBidi" w:eastAsiaTheme="minorEastAsia" w:cstheme="majorBidi"/>
                <w:bCs/>
                <w:color w:val="EE0000"/>
              </w:rPr>
              <w:t>油雾产生量进行定量</w:t>
            </w:r>
            <w:r>
              <w:rPr>
                <w:bCs/>
                <w:color w:val="EE0000"/>
              </w:rPr>
              <w:t>分析</w:t>
            </w:r>
            <w:r>
              <w:rPr>
                <w:rFonts w:hint="eastAsia"/>
                <w:bCs/>
                <w:color w:val="EE0000"/>
              </w:rPr>
              <w:t>。</w:t>
            </w:r>
          </w:p>
          <w:p w14:paraId="5DA90ED1">
            <w:pPr>
              <w:ind w:firstLine="480"/>
              <w:rPr>
                <w:bCs/>
              </w:rPr>
            </w:pPr>
            <w:r>
              <w:rPr>
                <w:rFonts w:ascii="Cambria Math" w:hAnsi="Cambria Math" w:cs="Cambria Math"/>
                <w:bCs/>
              </w:rPr>
              <w:t>⑧</w:t>
            </w:r>
            <w:r>
              <w:rPr>
                <w:rFonts w:hint="eastAsia" w:ascii="Cambria Math" w:hAnsi="Cambria Math" w:cs="Cambria Math"/>
                <w:bCs/>
              </w:rPr>
              <w:t>投料粉尘</w:t>
            </w:r>
          </w:p>
          <w:p w14:paraId="39AA498F">
            <w:pPr>
              <w:ind w:firstLine="480"/>
              <w:rPr>
                <w:bCs/>
              </w:rPr>
            </w:pPr>
            <w:r>
              <w:rPr>
                <w:bCs/>
              </w:rPr>
              <w:t>项目</w:t>
            </w:r>
            <w:r>
              <w:rPr>
                <w:rFonts w:hint="eastAsia"/>
                <w:bCs/>
                <w:color w:val="0000FF"/>
              </w:rPr>
              <w:t>投料</w:t>
            </w:r>
            <w:r>
              <w:rPr>
                <w:bCs/>
              </w:rPr>
              <w:t>过程中会产生粉尘，边角料及不合格品破碎工序中会产生粉尘，粉尘主要污染因子为颗粒物。</w:t>
            </w:r>
          </w:p>
          <w:p w14:paraId="54D4C06D">
            <w:pPr>
              <w:ind w:firstLine="480"/>
              <w:rPr>
                <w:bCs/>
              </w:rPr>
            </w:pPr>
            <w:r>
              <w:rPr>
                <w:bCs/>
              </w:rPr>
              <w:t>根据建设单位提供资料，</w:t>
            </w:r>
            <w:r>
              <w:rPr>
                <w:rFonts w:hint="eastAsia"/>
                <w:bCs/>
                <w:color w:val="0000FF"/>
              </w:rPr>
              <w:t>投</w:t>
            </w:r>
            <w:r>
              <w:rPr>
                <w:bCs/>
              </w:rPr>
              <w:t>料</w:t>
            </w:r>
            <w:r>
              <w:rPr>
                <w:rFonts w:hint="eastAsia"/>
                <w:bCs/>
              </w:rPr>
              <w:t>、混料</w:t>
            </w:r>
            <w:r>
              <w:rPr>
                <w:bCs/>
              </w:rPr>
              <w:t>主要为塑胶粒和色母粒、色粉混合，粉尘主要来源于色粉，混料机为密闭型，只有在投料过程中会有少量粉尘逸出</w:t>
            </w:r>
            <w:r>
              <w:rPr>
                <w:rFonts w:hint="eastAsia"/>
                <w:bCs/>
              </w:rPr>
              <w:t>，混料过程无粉尘逸出</w:t>
            </w:r>
            <w:r>
              <w:rPr>
                <w:bCs/>
              </w:rPr>
              <w:t>，根据企业提供资料，色粉用量为0.1t/a，该粉尘产生量极少，本次不做定量分析。</w:t>
            </w:r>
          </w:p>
          <w:p w14:paraId="2107117F">
            <w:pPr>
              <w:ind w:firstLine="480"/>
              <w:rPr>
                <w:bCs/>
              </w:rPr>
            </w:pPr>
            <w:r>
              <w:rPr>
                <w:rFonts w:ascii="Cambria Math" w:hAnsi="Cambria Math" w:cs="Cambria Math"/>
                <w:bCs/>
              </w:rPr>
              <w:t>⑨</w:t>
            </w:r>
            <w:r>
              <w:rPr>
                <w:rFonts w:hint="eastAsia" w:ascii="Cambria Math" w:hAnsi="Cambria Math" w:cs="Cambria Math"/>
                <w:bCs/>
                <w:color w:val="EE0000"/>
              </w:rPr>
              <w:t>破碎</w:t>
            </w:r>
            <w:r>
              <w:rPr>
                <w:bCs/>
                <w:color w:val="EE0000"/>
              </w:rPr>
              <w:t>粉尘</w:t>
            </w:r>
          </w:p>
          <w:p w14:paraId="00E6E866">
            <w:pPr>
              <w:ind w:firstLine="480"/>
              <w:rPr>
                <w:bCs/>
              </w:rPr>
            </w:pPr>
            <w:r>
              <w:rPr>
                <w:bCs/>
                <w:color w:val="0000FF"/>
              </w:rPr>
              <w:t>项目边角料约为产品产能的</w:t>
            </w:r>
            <w:r>
              <w:rPr>
                <w:rFonts w:hint="eastAsia"/>
                <w:bCs/>
                <w:color w:val="0000FF"/>
              </w:rPr>
              <w:t>2.5</w:t>
            </w:r>
            <w:r>
              <w:rPr>
                <w:bCs/>
                <w:color w:val="0000FF"/>
              </w:rPr>
              <w:t>%，不合格品约为产品产能的</w:t>
            </w:r>
            <w:r>
              <w:rPr>
                <w:rFonts w:hint="eastAsia"/>
                <w:bCs/>
                <w:color w:val="0000FF"/>
              </w:rPr>
              <w:t>0.5</w:t>
            </w:r>
            <w:r>
              <w:rPr>
                <w:bCs/>
                <w:color w:val="0000FF"/>
              </w:rPr>
              <w:t>%</w:t>
            </w:r>
            <w:r>
              <w:rPr>
                <w:rFonts w:hint="eastAsia"/>
                <w:bCs/>
                <w:color w:val="0000FF"/>
              </w:rPr>
              <w:t>，合计3%的产品需要破碎回用</w:t>
            </w:r>
            <w:r>
              <w:rPr>
                <w:rFonts w:hint="eastAsia"/>
                <w:bCs/>
              </w:rPr>
              <w:t>。</w:t>
            </w:r>
            <w:r>
              <w:rPr>
                <w:bCs/>
              </w:rPr>
              <w:t>项目年产塑料件140t/a，则边角料、不合格品产生量则约为4.2t/a，参考《排放源统计调查产排污核算方法和系数手册》（生态环境部公告2021年第24号）中42废弃资源综合利用行业系数手册-废PS/ABS-再生塑料粒子-干法破碎，颗粒物产污系数为425g/吨-原料。则破碎粉尘产生量为0.0004kg/h（0.0018t/a）。</w:t>
            </w:r>
          </w:p>
          <w:p w14:paraId="165CCD39">
            <w:pPr>
              <w:ind w:firstLine="480"/>
              <w:rPr>
                <w:bCs/>
              </w:rPr>
            </w:pPr>
            <w:r>
              <w:rPr>
                <w:rFonts w:ascii="Cambria Math" w:hAnsi="Cambria Math" w:cs="Cambria Math"/>
                <w:bCs/>
              </w:rPr>
              <w:t>⑩</w:t>
            </w:r>
            <w:r>
              <w:rPr>
                <w:rFonts w:hint="eastAsia"/>
                <w:bCs/>
                <w:color w:val="EE0000"/>
              </w:rPr>
              <w:t>金属</w:t>
            </w:r>
            <w:r>
              <w:rPr>
                <w:bCs/>
              </w:rPr>
              <w:t>粉尘</w:t>
            </w:r>
          </w:p>
          <w:p w14:paraId="33399CE3">
            <w:pPr>
              <w:ind w:firstLine="480"/>
              <w:rPr>
                <w:bCs/>
              </w:rPr>
            </w:pPr>
            <w:r>
              <w:rPr>
                <w:bCs/>
              </w:rPr>
              <w:t>项目使用模具机加工过程中会产生粉尘，以颗粒物表征。参考《排放源统计调查产排污核算方法和系数手册》（公告2021年第24号）中</w:t>
            </w:r>
            <w:r>
              <w:rPr>
                <w:rFonts w:ascii="宋体" w:hAnsi="宋体"/>
                <w:bCs/>
              </w:rPr>
              <w:t>“</w:t>
            </w:r>
            <w:r>
              <w:rPr>
                <w:bCs/>
              </w:rPr>
              <w:t>《33-37、431-434机械行业系数手册》-06预处理-干式预处理件-钢材-打磨-颗粒物的产污系数-2.19kg/t-原料</w:t>
            </w:r>
            <w:r>
              <w:rPr>
                <w:rFonts w:ascii="宋体" w:hAnsi="宋体"/>
                <w:bCs/>
              </w:rPr>
              <w:t>”</w:t>
            </w:r>
            <w:r>
              <w:rPr>
                <w:bCs/>
              </w:rPr>
              <w:t>，项目钢材用量为5t/a，则产生的金属粉尘量为0.0110t/a。</w:t>
            </w:r>
            <w:r>
              <w:rPr>
                <w:bCs/>
                <w:color w:val="EE0000"/>
              </w:rPr>
              <w:t>项目机加工过程产生的金属颗粒物粒径较大，易于</w:t>
            </w:r>
            <w:r>
              <w:rPr>
                <w:bCs/>
              </w:rPr>
              <w:t>沉降</w:t>
            </w:r>
            <w:r>
              <w:rPr>
                <w:bCs/>
                <w:color w:val="EE0000"/>
              </w:rPr>
              <w:t>，且有车间厂房阻拦，</w:t>
            </w:r>
            <w:r>
              <w:rPr>
                <w:rFonts w:hint="eastAsia"/>
                <w:bCs/>
                <w:color w:val="0000FF"/>
              </w:rPr>
              <w:t>参考《打磨作业过程金属粉尘扩散特性及集尘罩除尘效果》（张国梁1，蒋仲安，陈记合，中南大学学报），“调研打磨车间的现场情况，测定打磨点周围和人体呼吸带位置的粉尘质量浓度。在没有排尘系统时，测得打磨点高度粉尘质量浓度达到20.09mg/</w:t>
            </w:r>
            <w:r>
              <w:rPr>
                <w:bCs/>
                <w:color w:val="0000FF"/>
              </w:rPr>
              <w:t>m³</w:t>
            </w:r>
            <w:r>
              <w:rPr>
                <w:rFonts w:hint="eastAsia"/>
                <w:bCs/>
                <w:color w:val="0000FF"/>
              </w:rPr>
              <w:t>，人体呼吸带位置粉尘质量浓度达到6.60mg/m³”，约67%的金属碎屑在厂房内沉降并</w:t>
            </w:r>
            <w:r>
              <w:rPr>
                <w:bCs/>
                <w:color w:val="EE0000"/>
              </w:rPr>
              <w:t>及时清理后作为金属碎屑</w:t>
            </w:r>
            <w:r>
              <w:rPr>
                <w:rFonts w:hint="eastAsia"/>
                <w:bCs/>
                <w:color w:val="EE0000"/>
              </w:rPr>
              <w:t>被回收利用</w:t>
            </w:r>
            <w:r>
              <w:rPr>
                <w:bCs/>
                <w:color w:val="EE0000"/>
              </w:rPr>
              <w:t>，</w:t>
            </w:r>
            <w:r>
              <w:rPr>
                <w:rFonts w:hint="eastAsia"/>
                <w:bCs/>
                <w:color w:val="0000FF"/>
              </w:rPr>
              <w:t>未沉降的</w:t>
            </w:r>
            <w:r>
              <w:rPr>
                <w:rFonts w:hint="eastAsia"/>
                <w:bCs/>
                <w:color w:val="EE0000"/>
              </w:rPr>
              <w:t>粉尘</w:t>
            </w:r>
            <w:r>
              <w:rPr>
                <w:bCs/>
              </w:rPr>
              <w:t>以无组织形式排放，则颗粒物的无组织排放量约为</w:t>
            </w:r>
            <w:r>
              <w:rPr>
                <w:rFonts w:hint="eastAsia"/>
                <w:bCs/>
                <w:color w:val="0000FF"/>
              </w:rPr>
              <w:t>0.0074</w:t>
            </w:r>
            <w:r>
              <w:rPr>
                <w:bCs/>
                <w:color w:val="EE0000"/>
              </w:rPr>
              <w:t>t/a</w:t>
            </w:r>
            <w:r>
              <w:rPr>
                <w:bCs/>
              </w:rPr>
              <w:t>，机加工每天工作2h，年工作600h，排放速率为</w:t>
            </w:r>
            <w:r>
              <w:rPr>
                <w:rFonts w:hint="eastAsia"/>
                <w:bCs/>
                <w:color w:val="0000FF"/>
              </w:rPr>
              <w:t>0.0123</w:t>
            </w:r>
            <w:r>
              <w:rPr>
                <w:bCs/>
                <w:color w:val="EE0000"/>
              </w:rPr>
              <w:t>k</w:t>
            </w:r>
            <w:r>
              <w:rPr>
                <w:bCs/>
              </w:rPr>
              <w:t>g</w:t>
            </w:r>
            <w:r>
              <w:rPr>
                <w:rFonts w:hint="eastAsia"/>
                <w:bCs/>
              </w:rPr>
              <w:t xml:space="preserve"> </w:t>
            </w:r>
            <w:r>
              <w:rPr>
                <w:bCs/>
              </w:rPr>
              <w:t>/h</w:t>
            </w:r>
            <w:r>
              <w:rPr>
                <w:rFonts w:hint="eastAsia"/>
                <w:bCs/>
              </w:rPr>
              <w:t>。</w:t>
            </w:r>
          </w:p>
          <w:p w14:paraId="1360F0AF">
            <w:pPr>
              <w:ind w:firstLine="480"/>
              <w:rPr>
                <w:bCs/>
              </w:rPr>
            </w:pPr>
            <w:r>
              <w:rPr>
                <w:bCs/>
              </w:rPr>
              <w:t>⑪焊接烟尘</w:t>
            </w:r>
          </w:p>
          <w:p w14:paraId="75FE092A">
            <w:pPr>
              <w:ind w:firstLine="480"/>
              <w:rPr>
                <w:bCs/>
              </w:rPr>
            </w:pPr>
            <w:r>
              <w:rPr>
                <w:bCs/>
              </w:rPr>
              <w:t>模具焊接过程会产生烟尘，主要为颗粒物，焊接方式为二氧化碳保护焊，根据《排放源统计调查产排污核算方法和系数手册》（生态环境部公告2021年第24号）33-37,431-434机械行业系数手册中二氧化碳保护焊、埋弧焊、氩弧焊-实芯焊丝-颗粒物的产污系数为9.19千克/吨-原料。项目使用的焊条为无铅实芯焊丝，总用量为0.02t/a，则焊接过程颗粒物产生量为0.0002t/a，以无组织形式排放，焊接每天工作2h，年工作600h，产生速率为0.0003kg/h。</w:t>
            </w:r>
          </w:p>
          <w:p w14:paraId="0D414EB5">
            <w:pPr>
              <w:ind w:firstLine="480"/>
              <w:rPr>
                <w:bCs/>
              </w:rPr>
            </w:pPr>
            <w:r>
              <w:rPr>
                <w:rFonts w:ascii="Cambria Math" w:hAnsi="Cambria Math" w:cs="Cambria Math"/>
                <w:bCs/>
              </w:rPr>
              <w:t>⑫</w:t>
            </w:r>
            <w:r>
              <w:rPr>
                <w:bCs/>
              </w:rPr>
              <w:t>臭气浓度</w:t>
            </w:r>
          </w:p>
          <w:p w14:paraId="30B62563">
            <w:pPr>
              <w:ind w:firstLine="480"/>
              <w:rPr>
                <w:bCs/>
              </w:rPr>
            </w:pPr>
            <w:r>
              <w:rPr>
                <w:bCs/>
              </w:rPr>
              <w:t>项目注塑、喷漆过程会产生异味，该异味成分比较复杂，以臭气浓度表征。该气味主要弥散在车间内，臭气浓度大小跟企业车间空气流通性有关，通常情况下，低浓度异味对人体健康影响不大。本项目拟加强各生产工段的废气收集以减少臭气的排放，在此基础上，生产过程中的臭气浓度能够满足相应的标准要求，对周围环境影响不大。本评价不对臭气浓度进行定量核算，建议企业后续通过跟踪监测进行日常管理。</w:t>
            </w:r>
          </w:p>
          <w:p w14:paraId="56C506E1">
            <w:pPr>
              <w:ind w:firstLine="480"/>
              <w:rPr>
                <w:bCs/>
              </w:rPr>
            </w:pPr>
            <w:r>
              <w:rPr>
                <w:bCs/>
              </w:rPr>
              <w:t>（2）废气收集</w:t>
            </w:r>
            <w:r>
              <w:rPr>
                <w:rFonts w:hint="eastAsia"/>
                <w:bCs/>
                <w:color w:val="EE0000"/>
              </w:rPr>
              <w:t>、处理</w:t>
            </w:r>
            <w:r>
              <w:rPr>
                <w:bCs/>
              </w:rPr>
              <w:t>方式和效率</w:t>
            </w:r>
          </w:p>
          <w:p w14:paraId="5FA5BD41">
            <w:pPr>
              <w:ind w:firstLine="480"/>
              <w:rPr>
                <w:bCs/>
              </w:rPr>
            </w:pPr>
            <w:r>
              <w:rPr>
                <w:rFonts w:ascii="Cambria Math" w:hAnsi="Cambria Math" w:cs="Cambria Math"/>
                <w:bCs/>
              </w:rPr>
              <w:t>①</w:t>
            </w:r>
            <w:r>
              <w:rPr>
                <w:bCs/>
              </w:rPr>
              <w:t>收集</w:t>
            </w:r>
            <w:r>
              <w:rPr>
                <w:rFonts w:hint="eastAsia"/>
                <w:bCs/>
                <w:color w:val="EE0000"/>
              </w:rPr>
              <w:t>、处理</w:t>
            </w:r>
            <w:r>
              <w:rPr>
                <w:bCs/>
              </w:rPr>
              <w:t>方式</w:t>
            </w:r>
          </w:p>
          <w:p w14:paraId="579DB997">
            <w:pPr>
              <w:ind w:firstLine="480"/>
            </w:pPr>
            <w:r>
              <w:t>参照《广东省生态环境厅关于印发工业源挥发性有机物和氮氧化物减排量核算方法的通知》（粤环函〔2023〕538号）“表3.3-2废气收集集气效率参考值”的说明</w:t>
            </w:r>
            <w:r>
              <w:rPr>
                <w:rFonts w:hint="eastAsia"/>
              </w:rPr>
              <w:t>，根据项目设备废气收集设施设计资料，本项目废气收集效率见下表。</w:t>
            </w:r>
          </w:p>
          <w:p w14:paraId="58E5BC35">
            <w:pPr>
              <w:pStyle w:val="11"/>
              <w:numPr>
                <w:ilvl w:val="0"/>
                <w:numId w:val="4"/>
              </w:numPr>
              <w:rPr>
                <w:bCs w:val="0"/>
              </w:rPr>
            </w:pPr>
            <w:r>
              <w:rPr>
                <w:bCs w:val="0"/>
              </w:rPr>
              <w:t>废气收集集气效率参考值</w:t>
            </w:r>
            <w:r>
              <w:rPr>
                <w:rFonts w:hint="eastAsia"/>
                <w:bCs w:val="0"/>
              </w:rPr>
              <w:t>（节选）</w:t>
            </w:r>
          </w:p>
          <w:tbl>
            <w:tblPr>
              <w:tblStyle w:val="21"/>
              <w:tblW w:w="5000"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28" w:type="dxa"/>
                <w:bottom w:w="0" w:type="dxa"/>
                <w:right w:w="28" w:type="dxa"/>
              </w:tblCellMar>
            </w:tblPr>
            <w:tblGrid>
              <w:gridCol w:w="1026"/>
              <w:gridCol w:w="3912"/>
              <w:gridCol w:w="3168"/>
              <w:gridCol w:w="1137"/>
            </w:tblGrid>
            <w:tr w14:paraId="30713648">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jc w:val="center"/>
              </w:trPr>
              <w:tc>
                <w:tcPr>
                  <w:tcW w:w="555" w:type="pct"/>
                  <w:shd w:val="clear" w:color="auto" w:fill="auto"/>
                  <w:vAlign w:val="center"/>
                </w:tcPr>
                <w:p w14:paraId="00721BBE">
                  <w:pPr>
                    <w:pStyle w:val="29"/>
                    <w:rPr>
                      <w:color w:val="EE0000"/>
                    </w:rPr>
                  </w:pPr>
                  <w:r>
                    <w:rPr>
                      <w:rFonts w:hint="eastAsia"/>
                      <w:color w:val="EE0000"/>
                    </w:rPr>
                    <w:t>废气收集类型</w:t>
                  </w:r>
                </w:p>
              </w:tc>
              <w:tc>
                <w:tcPr>
                  <w:tcW w:w="2116" w:type="pct"/>
                  <w:shd w:val="clear" w:color="auto" w:fill="auto"/>
                  <w:vAlign w:val="center"/>
                </w:tcPr>
                <w:p w14:paraId="349EFD60">
                  <w:pPr>
                    <w:pStyle w:val="29"/>
                    <w:rPr>
                      <w:color w:val="EE0000"/>
                    </w:rPr>
                  </w:pPr>
                  <w:r>
                    <w:rPr>
                      <w:rFonts w:hint="eastAsia"/>
                      <w:color w:val="EE0000"/>
                    </w:rPr>
                    <w:t>废气收集方式</w:t>
                  </w:r>
                </w:p>
              </w:tc>
              <w:tc>
                <w:tcPr>
                  <w:tcW w:w="1714" w:type="pct"/>
                  <w:shd w:val="clear" w:color="auto" w:fill="auto"/>
                  <w:vAlign w:val="center"/>
                </w:tcPr>
                <w:p w14:paraId="526B0BF0">
                  <w:pPr>
                    <w:pStyle w:val="29"/>
                    <w:rPr>
                      <w:color w:val="EE0000"/>
                    </w:rPr>
                  </w:pPr>
                  <w:r>
                    <w:rPr>
                      <w:rFonts w:hint="eastAsia"/>
                      <w:color w:val="EE0000"/>
                    </w:rPr>
                    <w:t>情况说明</w:t>
                  </w:r>
                </w:p>
              </w:tc>
              <w:tc>
                <w:tcPr>
                  <w:tcW w:w="615" w:type="pct"/>
                  <w:shd w:val="clear" w:color="auto" w:fill="auto"/>
                  <w:vAlign w:val="center"/>
                </w:tcPr>
                <w:p w14:paraId="6FB5E724">
                  <w:pPr>
                    <w:pStyle w:val="29"/>
                    <w:rPr>
                      <w:color w:val="EE0000"/>
                    </w:rPr>
                  </w:pPr>
                  <w:r>
                    <w:rPr>
                      <w:rFonts w:hint="eastAsia"/>
                      <w:color w:val="EE0000"/>
                    </w:rPr>
                    <w:t>收集效率（%）</w:t>
                  </w:r>
                </w:p>
              </w:tc>
            </w:tr>
            <w:tr w14:paraId="26FDEF6D">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jc w:val="center"/>
              </w:trPr>
              <w:tc>
                <w:tcPr>
                  <w:tcW w:w="555" w:type="pct"/>
                  <w:shd w:val="clear" w:color="auto" w:fill="auto"/>
                  <w:vAlign w:val="center"/>
                </w:tcPr>
                <w:p w14:paraId="023C38B5">
                  <w:pPr>
                    <w:pStyle w:val="29"/>
                    <w:rPr>
                      <w:color w:val="EE0000"/>
                    </w:rPr>
                  </w:pPr>
                  <w:r>
                    <w:rPr>
                      <w:rFonts w:hint="eastAsia"/>
                      <w:color w:val="EE0000"/>
                    </w:rPr>
                    <w:t>全密封设备/空间</w:t>
                  </w:r>
                </w:p>
              </w:tc>
              <w:tc>
                <w:tcPr>
                  <w:tcW w:w="2116" w:type="pct"/>
                  <w:shd w:val="clear" w:color="auto" w:fill="auto"/>
                  <w:vAlign w:val="center"/>
                </w:tcPr>
                <w:p w14:paraId="5B583558">
                  <w:pPr>
                    <w:pStyle w:val="29"/>
                    <w:rPr>
                      <w:color w:val="EE0000"/>
                    </w:rPr>
                  </w:pPr>
                  <w:r>
                    <w:rPr>
                      <w:rFonts w:hint="eastAsia"/>
                      <w:color w:val="EE0000"/>
                    </w:rPr>
                    <w:t>单层密闭</w:t>
                  </w:r>
                  <w:r>
                    <w:rPr>
                      <w:color w:val="EE0000"/>
                    </w:rPr>
                    <w:t>正</w:t>
                  </w:r>
                  <w:r>
                    <w:rPr>
                      <w:rFonts w:hint="eastAsia"/>
                      <w:color w:val="EE0000"/>
                    </w:rPr>
                    <w:t>压</w:t>
                  </w:r>
                </w:p>
              </w:tc>
              <w:tc>
                <w:tcPr>
                  <w:tcW w:w="1714" w:type="pct"/>
                  <w:shd w:val="clear" w:color="auto" w:fill="auto"/>
                  <w:vAlign w:val="center"/>
                </w:tcPr>
                <w:p w14:paraId="620356A6">
                  <w:pPr>
                    <w:pStyle w:val="29"/>
                    <w:rPr>
                      <w:color w:val="EE0000"/>
                    </w:rPr>
                  </w:pPr>
                  <w:r>
                    <w:rPr>
                      <w:rFonts w:hint="eastAsia"/>
                      <w:color w:val="EE0000"/>
                    </w:rPr>
                    <w:t>VOCs 产生源设置在密闭车间内，所有开口处，包括人员或物料进出口处呈正压，且无明显泄漏点</w:t>
                  </w:r>
                </w:p>
              </w:tc>
              <w:tc>
                <w:tcPr>
                  <w:tcW w:w="615" w:type="pct"/>
                  <w:shd w:val="clear" w:color="auto" w:fill="auto"/>
                  <w:vAlign w:val="center"/>
                </w:tcPr>
                <w:p w14:paraId="351FFB71">
                  <w:pPr>
                    <w:pStyle w:val="29"/>
                    <w:rPr>
                      <w:color w:val="EE0000"/>
                    </w:rPr>
                  </w:pPr>
                  <w:r>
                    <w:rPr>
                      <w:rFonts w:hint="eastAsia"/>
                      <w:color w:val="EE0000"/>
                    </w:rPr>
                    <w:t>80</w:t>
                  </w:r>
                </w:p>
              </w:tc>
            </w:tr>
            <w:tr w14:paraId="645A5AA7">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jc w:val="center"/>
              </w:trPr>
              <w:tc>
                <w:tcPr>
                  <w:tcW w:w="555" w:type="pct"/>
                  <w:shd w:val="clear" w:color="auto" w:fill="auto"/>
                  <w:vAlign w:val="center"/>
                </w:tcPr>
                <w:p w14:paraId="76D6E61C">
                  <w:pPr>
                    <w:pStyle w:val="29"/>
                    <w:rPr>
                      <w:color w:val="EE0000"/>
                    </w:rPr>
                  </w:pPr>
                  <w:r>
                    <w:rPr>
                      <w:rFonts w:hint="eastAsia"/>
                      <w:color w:val="EE0000"/>
                    </w:rPr>
                    <w:t>半密闭型集气设备(含排气柜)</w:t>
                  </w:r>
                </w:p>
              </w:tc>
              <w:tc>
                <w:tcPr>
                  <w:tcW w:w="2116" w:type="pct"/>
                  <w:shd w:val="clear" w:color="auto" w:fill="auto"/>
                  <w:vAlign w:val="center"/>
                </w:tcPr>
                <w:p w14:paraId="1E44E759">
                  <w:pPr>
                    <w:pStyle w:val="29"/>
                    <w:rPr>
                      <w:color w:val="EE0000"/>
                    </w:rPr>
                  </w:pPr>
                  <w:r>
                    <w:rPr>
                      <w:rFonts w:hint="eastAsia"/>
                      <w:color w:val="EE0000"/>
                    </w:rPr>
                    <w:t>污染物产生点(或生产设施)四周及上下有围挡设施，符合以下两种情况：</w:t>
                  </w:r>
                </w:p>
                <w:p w14:paraId="2A61D471">
                  <w:pPr>
                    <w:pStyle w:val="29"/>
                    <w:rPr>
                      <w:color w:val="EE0000"/>
                    </w:rPr>
                  </w:pPr>
                  <w:r>
                    <w:rPr>
                      <w:rFonts w:hint="eastAsia"/>
                      <w:color w:val="EE0000"/>
                    </w:rPr>
                    <w:t>1.仅保留1个操作工位面；</w:t>
                  </w:r>
                </w:p>
                <w:p w14:paraId="2D46C53F">
                  <w:pPr>
                    <w:pStyle w:val="29"/>
                    <w:rPr>
                      <w:color w:val="EE0000"/>
                    </w:rPr>
                  </w:pPr>
                  <w:r>
                    <w:rPr>
                      <w:rFonts w:hint="eastAsia"/>
                      <w:color w:val="EE0000"/>
                    </w:rPr>
                    <w:t>2.仅保留物料进出通道，通道敞开面小于1个操作工位面。</w:t>
                  </w:r>
                </w:p>
              </w:tc>
              <w:tc>
                <w:tcPr>
                  <w:tcW w:w="1714" w:type="pct"/>
                  <w:shd w:val="clear" w:color="auto" w:fill="auto"/>
                  <w:vAlign w:val="center"/>
                </w:tcPr>
                <w:p w14:paraId="0F09CC25">
                  <w:pPr>
                    <w:pStyle w:val="29"/>
                    <w:rPr>
                      <w:color w:val="EE0000"/>
                    </w:rPr>
                  </w:pPr>
                  <w:r>
                    <w:rPr>
                      <w:rFonts w:hint="eastAsia"/>
                      <w:color w:val="EE0000"/>
                    </w:rPr>
                    <w:t>敞开面控制风速不小于</w:t>
                  </w:r>
                  <w:r>
                    <w:rPr>
                      <w:color w:val="EE0000"/>
                    </w:rPr>
                    <w:t>0.</w:t>
                  </w:r>
                  <w:r>
                    <w:rPr>
                      <w:rFonts w:hint="eastAsia"/>
                      <w:color w:val="EE0000"/>
                    </w:rPr>
                    <w:t>3</w:t>
                  </w:r>
                  <w:r>
                    <w:rPr>
                      <w:color w:val="EE0000"/>
                    </w:rPr>
                    <w:t>m/s</w:t>
                  </w:r>
                </w:p>
              </w:tc>
              <w:tc>
                <w:tcPr>
                  <w:tcW w:w="615" w:type="pct"/>
                  <w:shd w:val="clear" w:color="auto" w:fill="auto"/>
                  <w:vAlign w:val="center"/>
                </w:tcPr>
                <w:p w14:paraId="05E95B25">
                  <w:pPr>
                    <w:pStyle w:val="29"/>
                    <w:rPr>
                      <w:color w:val="EE0000"/>
                    </w:rPr>
                  </w:pPr>
                  <w:r>
                    <w:rPr>
                      <w:rFonts w:hint="eastAsia"/>
                      <w:color w:val="EE0000"/>
                    </w:rPr>
                    <w:t>65</w:t>
                  </w:r>
                </w:p>
              </w:tc>
            </w:tr>
          </w:tbl>
          <w:p w14:paraId="58C6A466">
            <w:pPr>
              <w:ind w:firstLine="480"/>
              <w:jc w:val="center"/>
              <w:rPr>
                <w:bCs/>
              </w:rPr>
            </w:pPr>
          </w:p>
          <w:p w14:paraId="44C661A3">
            <w:pPr>
              <w:ind w:firstLine="480"/>
              <w:rPr>
                <w:bCs/>
              </w:rPr>
            </w:pPr>
            <w:r>
              <w:rPr>
                <w:rFonts w:hint="eastAsia"/>
                <w:bCs/>
              </w:rPr>
              <w:t>则本项目</w:t>
            </w:r>
            <w:r>
              <w:rPr>
                <w:rFonts w:hint="eastAsia"/>
                <w:bCs/>
                <w:color w:val="EE0000"/>
              </w:rPr>
              <w:t>有组织</w:t>
            </w:r>
            <w:r>
              <w:rPr>
                <w:rFonts w:hint="eastAsia"/>
                <w:bCs/>
              </w:rPr>
              <w:t>废气收集方式见下表：</w:t>
            </w:r>
          </w:p>
          <w:p w14:paraId="04515CAA">
            <w:pPr>
              <w:pStyle w:val="11"/>
              <w:numPr>
                <w:ilvl w:val="0"/>
                <w:numId w:val="4"/>
              </w:numPr>
              <w:rPr>
                <w:bCs w:val="0"/>
              </w:rPr>
            </w:pPr>
            <w:r>
              <w:rPr>
                <w:rFonts w:hint="eastAsia"/>
                <w:bCs w:val="0"/>
              </w:rPr>
              <w:t>项目废气收集方式、收集效率及处理效率</w:t>
            </w:r>
          </w:p>
          <w:tbl>
            <w:tblPr>
              <w:tblStyle w:val="21"/>
              <w:tblW w:w="5000" w:type="pct"/>
              <w:tblInd w:w="0" w:type="dxa"/>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28" w:type="dxa"/>
                <w:bottom w:w="0" w:type="dxa"/>
                <w:right w:w="28" w:type="dxa"/>
              </w:tblCellMar>
            </w:tblPr>
            <w:tblGrid>
              <w:gridCol w:w="2706"/>
              <w:gridCol w:w="1718"/>
              <w:gridCol w:w="2632"/>
              <w:gridCol w:w="2187"/>
            </w:tblGrid>
            <w:tr w14:paraId="5B66B164">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340" w:hRule="atLeast"/>
              </w:trPr>
              <w:tc>
                <w:tcPr>
                  <w:tcW w:w="1464" w:type="pct"/>
                  <w:noWrap/>
                  <w:vAlign w:val="center"/>
                </w:tcPr>
                <w:p w14:paraId="0FBE5F02">
                  <w:pPr>
                    <w:pStyle w:val="29"/>
                    <w:rPr>
                      <w:bCs/>
                    </w:rPr>
                  </w:pPr>
                  <w:r>
                    <w:rPr>
                      <w:rFonts w:hint="eastAsia"/>
                      <w:bCs/>
                    </w:rPr>
                    <w:t>污染源</w:t>
                  </w:r>
                </w:p>
              </w:tc>
              <w:tc>
                <w:tcPr>
                  <w:tcW w:w="929" w:type="pct"/>
                  <w:noWrap/>
                  <w:vAlign w:val="center"/>
                </w:tcPr>
                <w:p w14:paraId="25F638BD">
                  <w:pPr>
                    <w:pStyle w:val="29"/>
                    <w:rPr>
                      <w:bCs/>
                      <w:color w:val="EE0000"/>
                    </w:rPr>
                  </w:pPr>
                  <w:r>
                    <w:rPr>
                      <w:rFonts w:hint="eastAsia"/>
                      <w:bCs/>
                      <w:color w:val="EE0000"/>
                    </w:rPr>
                    <w:t>污染因子</w:t>
                  </w:r>
                </w:p>
              </w:tc>
              <w:tc>
                <w:tcPr>
                  <w:tcW w:w="1424" w:type="pct"/>
                  <w:vAlign w:val="center"/>
                </w:tcPr>
                <w:p w14:paraId="71EB6913">
                  <w:pPr>
                    <w:pStyle w:val="29"/>
                    <w:rPr>
                      <w:bCs/>
                    </w:rPr>
                  </w:pPr>
                  <w:r>
                    <w:rPr>
                      <w:rFonts w:hint="eastAsia"/>
                      <w:bCs/>
                    </w:rPr>
                    <w:t>收集类型</w:t>
                  </w:r>
                </w:p>
              </w:tc>
              <w:tc>
                <w:tcPr>
                  <w:tcW w:w="1183" w:type="pct"/>
                </w:tcPr>
                <w:p w14:paraId="795DC489">
                  <w:pPr>
                    <w:pStyle w:val="29"/>
                    <w:rPr>
                      <w:bCs/>
                    </w:rPr>
                  </w:pPr>
                  <w:r>
                    <w:rPr>
                      <w:rFonts w:hint="eastAsia"/>
                      <w:bCs/>
                    </w:rPr>
                    <w:t>收集效率</w:t>
                  </w:r>
                </w:p>
              </w:tc>
            </w:tr>
            <w:tr w14:paraId="230CBD6D">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340" w:hRule="atLeast"/>
              </w:trPr>
              <w:tc>
                <w:tcPr>
                  <w:tcW w:w="1464" w:type="pct"/>
                  <w:noWrap/>
                  <w:vAlign w:val="center"/>
                </w:tcPr>
                <w:p w14:paraId="783629A1">
                  <w:pPr>
                    <w:pStyle w:val="29"/>
                    <w:rPr>
                      <w:bCs/>
                    </w:rPr>
                  </w:pPr>
                  <w:r>
                    <w:rPr>
                      <w:bCs/>
                    </w:rPr>
                    <w:t>注塑废气</w:t>
                  </w:r>
                </w:p>
              </w:tc>
              <w:tc>
                <w:tcPr>
                  <w:tcW w:w="929" w:type="pct"/>
                  <w:noWrap/>
                  <w:vAlign w:val="center"/>
                </w:tcPr>
                <w:p w14:paraId="6F2994BD">
                  <w:pPr>
                    <w:pStyle w:val="29"/>
                    <w:rPr>
                      <w:bCs/>
                      <w:color w:val="EE0000"/>
                    </w:rPr>
                  </w:pPr>
                  <w:r>
                    <w:rPr>
                      <w:rFonts w:hint="eastAsia"/>
                      <w:bCs/>
                      <w:color w:val="EE0000"/>
                    </w:rPr>
                    <w:t>VOCs</w:t>
                  </w:r>
                </w:p>
              </w:tc>
              <w:tc>
                <w:tcPr>
                  <w:tcW w:w="1424" w:type="pct"/>
                  <w:vAlign w:val="center"/>
                </w:tcPr>
                <w:p w14:paraId="17D84151">
                  <w:pPr>
                    <w:pStyle w:val="29"/>
                    <w:rPr>
                      <w:bCs/>
                    </w:rPr>
                  </w:pPr>
                  <w:r>
                    <w:rPr>
                      <w:bCs/>
                    </w:rPr>
                    <w:t>半密闭型集气设备</w:t>
                  </w:r>
                </w:p>
              </w:tc>
              <w:tc>
                <w:tcPr>
                  <w:tcW w:w="1183" w:type="pct"/>
                  <w:vAlign w:val="center"/>
                </w:tcPr>
                <w:p w14:paraId="2E222F35">
                  <w:pPr>
                    <w:pStyle w:val="29"/>
                    <w:rPr>
                      <w:bCs/>
                    </w:rPr>
                  </w:pPr>
                  <w:r>
                    <w:rPr>
                      <w:rFonts w:hint="eastAsia"/>
                      <w:color w:val="EE0000"/>
                    </w:rPr>
                    <w:t>65</w:t>
                  </w:r>
                </w:p>
              </w:tc>
            </w:tr>
            <w:tr w14:paraId="4D344E81">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340" w:hRule="atLeast"/>
              </w:trPr>
              <w:tc>
                <w:tcPr>
                  <w:tcW w:w="1464" w:type="pct"/>
                  <w:noWrap/>
                  <w:vAlign w:val="center"/>
                </w:tcPr>
                <w:p w14:paraId="3ACBD6B7">
                  <w:pPr>
                    <w:pStyle w:val="29"/>
                    <w:rPr>
                      <w:bCs/>
                    </w:rPr>
                  </w:pPr>
                  <w:r>
                    <w:rPr>
                      <w:rFonts w:hint="eastAsia"/>
                      <w:bCs/>
                      <w:color w:val="EE0000"/>
                    </w:rPr>
                    <w:t>胶合废气</w:t>
                  </w:r>
                </w:p>
              </w:tc>
              <w:tc>
                <w:tcPr>
                  <w:tcW w:w="929" w:type="pct"/>
                  <w:noWrap/>
                  <w:vAlign w:val="center"/>
                </w:tcPr>
                <w:p w14:paraId="41E8A954">
                  <w:pPr>
                    <w:pStyle w:val="29"/>
                    <w:rPr>
                      <w:bCs/>
                      <w:color w:val="EE0000"/>
                    </w:rPr>
                  </w:pPr>
                  <w:r>
                    <w:rPr>
                      <w:rFonts w:hint="eastAsia"/>
                      <w:bCs/>
                      <w:color w:val="EE0000"/>
                    </w:rPr>
                    <w:t>VOCs</w:t>
                  </w:r>
                </w:p>
              </w:tc>
              <w:tc>
                <w:tcPr>
                  <w:tcW w:w="1424" w:type="pct"/>
                  <w:vAlign w:val="center"/>
                </w:tcPr>
                <w:p w14:paraId="2CE8E7A2">
                  <w:pPr>
                    <w:pStyle w:val="29"/>
                    <w:rPr>
                      <w:bCs/>
                    </w:rPr>
                  </w:pPr>
                  <w:r>
                    <w:rPr>
                      <w:bCs/>
                    </w:rPr>
                    <w:t>半密闭型集气设备</w:t>
                  </w:r>
                </w:p>
              </w:tc>
              <w:tc>
                <w:tcPr>
                  <w:tcW w:w="1183" w:type="pct"/>
                  <w:vAlign w:val="center"/>
                </w:tcPr>
                <w:p w14:paraId="0ED12A51">
                  <w:pPr>
                    <w:pStyle w:val="29"/>
                    <w:rPr>
                      <w:bCs/>
                    </w:rPr>
                  </w:pPr>
                  <w:r>
                    <w:rPr>
                      <w:rFonts w:hint="eastAsia"/>
                      <w:color w:val="EE0000"/>
                    </w:rPr>
                    <w:t>65</w:t>
                  </w:r>
                </w:p>
              </w:tc>
            </w:tr>
            <w:tr w14:paraId="4A10A693">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340" w:hRule="atLeast"/>
              </w:trPr>
              <w:tc>
                <w:tcPr>
                  <w:tcW w:w="1464" w:type="pct"/>
                  <w:noWrap/>
                  <w:vAlign w:val="center"/>
                </w:tcPr>
                <w:p w14:paraId="6AB476D7">
                  <w:pPr>
                    <w:pStyle w:val="29"/>
                    <w:rPr>
                      <w:bCs/>
                    </w:rPr>
                  </w:pPr>
                  <w:r>
                    <w:rPr>
                      <w:bCs/>
                    </w:rPr>
                    <w:t>印刷废气</w:t>
                  </w:r>
                </w:p>
              </w:tc>
              <w:tc>
                <w:tcPr>
                  <w:tcW w:w="929" w:type="pct"/>
                  <w:noWrap/>
                  <w:vAlign w:val="center"/>
                </w:tcPr>
                <w:p w14:paraId="38F31C6E">
                  <w:pPr>
                    <w:pStyle w:val="29"/>
                    <w:rPr>
                      <w:bCs/>
                      <w:color w:val="EE0000"/>
                    </w:rPr>
                  </w:pPr>
                  <w:r>
                    <w:rPr>
                      <w:rFonts w:hint="eastAsia"/>
                      <w:bCs/>
                      <w:color w:val="EE0000"/>
                    </w:rPr>
                    <w:t>VOCs</w:t>
                  </w:r>
                </w:p>
              </w:tc>
              <w:tc>
                <w:tcPr>
                  <w:tcW w:w="1424" w:type="pct"/>
                  <w:vAlign w:val="center"/>
                </w:tcPr>
                <w:p w14:paraId="32CB6140">
                  <w:pPr>
                    <w:pStyle w:val="29"/>
                    <w:rPr>
                      <w:bCs/>
                    </w:rPr>
                  </w:pPr>
                  <w:r>
                    <w:rPr>
                      <w:bCs/>
                    </w:rPr>
                    <w:t>半密闭型集气设备</w:t>
                  </w:r>
                </w:p>
              </w:tc>
              <w:tc>
                <w:tcPr>
                  <w:tcW w:w="1183" w:type="pct"/>
                  <w:vAlign w:val="center"/>
                </w:tcPr>
                <w:p w14:paraId="06DEEB79">
                  <w:pPr>
                    <w:pStyle w:val="29"/>
                    <w:rPr>
                      <w:bCs/>
                    </w:rPr>
                  </w:pPr>
                  <w:r>
                    <w:rPr>
                      <w:rFonts w:hint="eastAsia"/>
                      <w:color w:val="EE0000"/>
                    </w:rPr>
                    <w:t>65</w:t>
                  </w:r>
                </w:p>
              </w:tc>
            </w:tr>
            <w:tr w14:paraId="42BA84A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340" w:hRule="atLeast"/>
              </w:trPr>
              <w:tc>
                <w:tcPr>
                  <w:tcW w:w="1464" w:type="pct"/>
                  <w:noWrap/>
                  <w:vAlign w:val="center"/>
                </w:tcPr>
                <w:p w14:paraId="7BD33349">
                  <w:pPr>
                    <w:pStyle w:val="29"/>
                    <w:rPr>
                      <w:bCs/>
                    </w:rPr>
                  </w:pPr>
                  <w:r>
                    <w:rPr>
                      <w:bCs/>
                    </w:rPr>
                    <w:t>喷漆废气</w:t>
                  </w:r>
                </w:p>
              </w:tc>
              <w:tc>
                <w:tcPr>
                  <w:tcW w:w="929" w:type="pct"/>
                  <w:noWrap/>
                  <w:vAlign w:val="center"/>
                </w:tcPr>
                <w:p w14:paraId="30A1C0A7">
                  <w:pPr>
                    <w:pStyle w:val="29"/>
                    <w:rPr>
                      <w:bCs/>
                      <w:color w:val="EE0000"/>
                    </w:rPr>
                  </w:pPr>
                  <w:r>
                    <w:rPr>
                      <w:rFonts w:hint="eastAsia"/>
                      <w:bCs/>
                      <w:color w:val="EE0000"/>
                    </w:rPr>
                    <w:t>VOCs</w:t>
                  </w:r>
                </w:p>
              </w:tc>
              <w:tc>
                <w:tcPr>
                  <w:tcW w:w="1424" w:type="pct"/>
                  <w:vAlign w:val="center"/>
                </w:tcPr>
                <w:p w14:paraId="46B7DDEB">
                  <w:pPr>
                    <w:pStyle w:val="29"/>
                    <w:rPr>
                      <w:bCs/>
                    </w:rPr>
                  </w:pPr>
                  <w:r>
                    <w:rPr>
                      <w:rFonts w:hint="eastAsia"/>
                      <w:color w:val="EE0000"/>
                    </w:rPr>
                    <w:t>单层密闭</w:t>
                  </w:r>
                  <w:r>
                    <w:rPr>
                      <w:color w:val="EE0000"/>
                    </w:rPr>
                    <w:t>正</w:t>
                  </w:r>
                  <w:r>
                    <w:rPr>
                      <w:rFonts w:hint="eastAsia"/>
                      <w:color w:val="EE0000"/>
                    </w:rPr>
                    <w:t>压</w:t>
                  </w:r>
                </w:p>
              </w:tc>
              <w:tc>
                <w:tcPr>
                  <w:tcW w:w="1183" w:type="pct"/>
                  <w:vAlign w:val="center"/>
                </w:tcPr>
                <w:p w14:paraId="57AACA07">
                  <w:pPr>
                    <w:pStyle w:val="29"/>
                    <w:rPr>
                      <w:bCs/>
                      <w:color w:val="EE0000"/>
                    </w:rPr>
                  </w:pPr>
                  <w:r>
                    <w:rPr>
                      <w:rFonts w:hint="eastAsia"/>
                      <w:color w:val="EE0000"/>
                    </w:rPr>
                    <w:t>80</w:t>
                  </w:r>
                </w:p>
              </w:tc>
            </w:tr>
            <w:tr w14:paraId="21EFB554">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340" w:hRule="atLeast"/>
              </w:trPr>
              <w:tc>
                <w:tcPr>
                  <w:tcW w:w="1464" w:type="pct"/>
                  <w:noWrap/>
                  <w:vAlign w:val="center"/>
                </w:tcPr>
                <w:p w14:paraId="087FA84E">
                  <w:pPr>
                    <w:pStyle w:val="29"/>
                    <w:rPr>
                      <w:bCs/>
                    </w:rPr>
                  </w:pPr>
                  <w:r>
                    <w:rPr>
                      <w:bCs/>
                    </w:rPr>
                    <w:t>喷漆烘干废气</w:t>
                  </w:r>
                </w:p>
              </w:tc>
              <w:tc>
                <w:tcPr>
                  <w:tcW w:w="929" w:type="pct"/>
                  <w:noWrap/>
                  <w:vAlign w:val="center"/>
                </w:tcPr>
                <w:p w14:paraId="52CC5574">
                  <w:pPr>
                    <w:pStyle w:val="29"/>
                    <w:rPr>
                      <w:bCs/>
                      <w:color w:val="EE0000"/>
                    </w:rPr>
                  </w:pPr>
                  <w:r>
                    <w:rPr>
                      <w:rFonts w:hint="eastAsia"/>
                      <w:bCs/>
                      <w:color w:val="EE0000"/>
                    </w:rPr>
                    <w:t>VOCs</w:t>
                  </w:r>
                </w:p>
              </w:tc>
              <w:tc>
                <w:tcPr>
                  <w:tcW w:w="1424" w:type="pct"/>
                  <w:vAlign w:val="center"/>
                </w:tcPr>
                <w:p w14:paraId="32AF8DD0">
                  <w:pPr>
                    <w:pStyle w:val="29"/>
                    <w:rPr>
                      <w:bCs/>
                    </w:rPr>
                  </w:pPr>
                  <w:r>
                    <w:rPr>
                      <w:rFonts w:hint="eastAsia"/>
                      <w:color w:val="EE0000"/>
                    </w:rPr>
                    <w:t>单层密闭</w:t>
                  </w:r>
                  <w:r>
                    <w:rPr>
                      <w:color w:val="EE0000"/>
                    </w:rPr>
                    <w:t>正</w:t>
                  </w:r>
                  <w:r>
                    <w:rPr>
                      <w:rFonts w:hint="eastAsia"/>
                      <w:color w:val="EE0000"/>
                    </w:rPr>
                    <w:t>压</w:t>
                  </w:r>
                </w:p>
              </w:tc>
              <w:tc>
                <w:tcPr>
                  <w:tcW w:w="1183" w:type="pct"/>
                  <w:vAlign w:val="center"/>
                </w:tcPr>
                <w:p w14:paraId="23BFCFAB">
                  <w:pPr>
                    <w:pStyle w:val="29"/>
                    <w:rPr>
                      <w:bCs/>
                    </w:rPr>
                  </w:pPr>
                  <w:r>
                    <w:rPr>
                      <w:rFonts w:hint="eastAsia"/>
                      <w:color w:val="EE0000"/>
                    </w:rPr>
                    <w:t>80</w:t>
                  </w:r>
                </w:p>
              </w:tc>
            </w:tr>
            <w:tr w14:paraId="21C8E9BC">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340" w:hRule="atLeast"/>
              </w:trPr>
              <w:tc>
                <w:tcPr>
                  <w:tcW w:w="1464" w:type="pct"/>
                  <w:noWrap/>
                  <w:vAlign w:val="center"/>
                </w:tcPr>
                <w:p w14:paraId="040C0CF2">
                  <w:pPr>
                    <w:pStyle w:val="29"/>
                    <w:rPr>
                      <w:bCs/>
                    </w:rPr>
                  </w:pPr>
                  <w:r>
                    <w:rPr>
                      <w:bCs/>
                    </w:rPr>
                    <w:t>漆雾废气</w:t>
                  </w:r>
                </w:p>
              </w:tc>
              <w:tc>
                <w:tcPr>
                  <w:tcW w:w="929" w:type="pct"/>
                  <w:noWrap/>
                  <w:vAlign w:val="center"/>
                </w:tcPr>
                <w:p w14:paraId="440F7576">
                  <w:pPr>
                    <w:pStyle w:val="29"/>
                    <w:rPr>
                      <w:bCs/>
                    </w:rPr>
                  </w:pPr>
                  <w:r>
                    <w:rPr>
                      <w:bCs/>
                    </w:rPr>
                    <w:t>颗粒物</w:t>
                  </w:r>
                </w:p>
              </w:tc>
              <w:tc>
                <w:tcPr>
                  <w:tcW w:w="1424" w:type="pct"/>
                  <w:vAlign w:val="center"/>
                </w:tcPr>
                <w:p w14:paraId="77FFFF10">
                  <w:pPr>
                    <w:pStyle w:val="29"/>
                    <w:rPr>
                      <w:bCs/>
                    </w:rPr>
                  </w:pPr>
                  <w:r>
                    <w:rPr>
                      <w:rFonts w:hint="eastAsia"/>
                      <w:color w:val="EE0000"/>
                    </w:rPr>
                    <w:t>单层密闭</w:t>
                  </w:r>
                  <w:r>
                    <w:rPr>
                      <w:color w:val="EE0000"/>
                    </w:rPr>
                    <w:t>正</w:t>
                  </w:r>
                  <w:r>
                    <w:rPr>
                      <w:rFonts w:hint="eastAsia"/>
                      <w:color w:val="EE0000"/>
                    </w:rPr>
                    <w:t>压</w:t>
                  </w:r>
                </w:p>
              </w:tc>
              <w:tc>
                <w:tcPr>
                  <w:tcW w:w="1183" w:type="pct"/>
                  <w:vAlign w:val="center"/>
                </w:tcPr>
                <w:p w14:paraId="4AF03DA9">
                  <w:pPr>
                    <w:pStyle w:val="29"/>
                    <w:rPr>
                      <w:bCs/>
                    </w:rPr>
                  </w:pPr>
                  <w:r>
                    <w:rPr>
                      <w:rFonts w:hint="eastAsia"/>
                      <w:color w:val="EE0000"/>
                    </w:rPr>
                    <w:t>80</w:t>
                  </w:r>
                </w:p>
              </w:tc>
            </w:tr>
          </w:tbl>
          <w:p w14:paraId="3CB1F08D">
            <w:pPr>
              <w:ind w:firstLine="480"/>
              <w:jc w:val="center"/>
              <w:rPr>
                <w:bCs/>
              </w:rPr>
            </w:pPr>
          </w:p>
          <w:p w14:paraId="48B47D83">
            <w:pPr>
              <w:ind w:firstLine="480"/>
              <w:rPr>
                <w:bCs/>
              </w:rPr>
            </w:pPr>
            <w:r>
              <w:rPr>
                <w:rFonts w:ascii="Cambria Math" w:hAnsi="Cambria Math" w:cs="Cambria Math"/>
                <w:bCs/>
              </w:rPr>
              <w:t>②</w:t>
            </w:r>
            <w:r>
              <w:rPr>
                <w:bCs/>
              </w:rPr>
              <w:t>收集</w:t>
            </w:r>
            <w:r>
              <w:rPr>
                <w:rFonts w:hint="eastAsia"/>
                <w:bCs/>
              </w:rPr>
              <w:t>风量</w:t>
            </w:r>
          </w:p>
          <w:p w14:paraId="34E48273">
            <w:pPr>
              <w:ind w:firstLine="480"/>
              <w:rPr>
                <w:bCs/>
              </w:rPr>
            </w:pPr>
            <w:r>
              <w:rPr>
                <w:bCs/>
              </w:rPr>
              <w:t>注塑废气、胶合废气、印刷废气</w:t>
            </w:r>
            <w:bookmarkEnd w:id="10"/>
            <w:r>
              <w:rPr>
                <w:bCs/>
              </w:rPr>
              <w:t>的收集效率：经半密闭型集气设备收集。收集效率参照《广东省生态环境厅关于印发工业源挥发性有机物和氮氧化物减排量核算方法的通知》（粤环函〔2023〕538号），半密闭型集气设备，生产设施四周及上下有围挡设施，仅保留1个操作工位面，敞开面控制风速不小于0.3m/s，收集效率为65%，则项目废气收集效率65%。根据《三废处理工程技术手册 废气卷》中半密闭罩风量计算公式：</w:t>
            </w:r>
          </w:p>
          <w:p w14:paraId="3D6D4979">
            <w:pPr>
              <w:ind w:firstLine="480"/>
              <w:jc w:val="center"/>
              <w:rPr>
                <w:rFonts w:asciiTheme="majorBidi" w:hAnsiTheme="majorBidi" w:eastAsiaTheme="minorEastAsia" w:cstheme="majorBidi"/>
                <w:bCs/>
                <w:color w:val="000000" w:themeColor="text1"/>
                <w14:textFill>
                  <w14:solidFill>
                    <w14:schemeClr w14:val="tx1"/>
                  </w14:solidFill>
                </w14:textFill>
              </w:rPr>
            </w:pPr>
            <w:r>
              <w:rPr>
                <w:rFonts w:asciiTheme="majorBidi" w:hAnsiTheme="majorBidi" w:eastAsiaTheme="minorEastAsia" w:cstheme="majorBidi"/>
                <w:bCs/>
                <w:color w:val="000000" w:themeColor="text1"/>
                <w14:textFill>
                  <w14:solidFill>
                    <w14:schemeClr w14:val="tx1"/>
                  </w14:solidFill>
                </w14:textFill>
              </w:rPr>
              <w:t>Q=3600FV</w:t>
            </w:r>
          </w:p>
          <w:p w14:paraId="345852BF">
            <w:pPr>
              <w:ind w:firstLine="480"/>
              <w:rPr>
                <w:bCs/>
              </w:rPr>
            </w:pPr>
            <w:r>
              <w:rPr>
                <w:bCs/>
              </w:rPr>
              <w:t>式中：</w:t>
            </w:r>
          </w:p>
          <w:p w14:paraId="24A87CAD">
            <w:pPr>
              <w:ind w:firstLine="480"/>
              <w:rPr>
                <w:bCs/>
              </w:rPr>
            </w:pPr>
            <w:r>
              <w:rPr>
                <w:bCs/>
              </w:rPr>
              <w:t>Q：集气罩风量，m³/h；</w:t>
            </w:r>
          </w:p>
          <w:p w14:paraId="6EC3CAE4">
            <w:pPr>
              <w:ind w:firstLine="480"/>
              <w:rPr>
                <w:bCs/>
              </w:rPr>
            </w:pPr>
            <w:r>
              <w:rPr>
                <w:bCs/>
              </w:rPr>
              <w:t>F：操作口面积，m</w:t>
            </w:r>
            <w:r>
              <w:rPr>
                <w:bCs/>
                <w:vertAlign w:val="superscript"/>
              </w:rPr>
              <w:t>2</w:t>
            </w:r>
            <w:r>
              <w:rPr>
                <w:bCs/>
              </w:rPr>
              <w:t>；</w:t>
            </w:r>
          </w:p>
          <w:p w14:paraId="684B890F">
            <w:pPr>
              <w:ind w:firstLine="480"/>
              <w:rPr>
                <w:bCs/>
              </w:rPr>
            </w:pPr>
            <w:r>
              <w:rPr>
                <w:bCs/>
              </w:rPr>
              <w:t>V：操作口平均风速，m/s；</w:t>
            </w:r>
          </w:p>
          <w:p w14:paraId="34D5E495">
            <w:pPr>
              <w:ind w:firstLine="480"/>
              <w:rPr>
                <w:bCs/>
              </w:rPr>
            </w:pPr>
            <w:r>
              <w:rPr>
                <w:bCs/>
                <w:color w:val="EE0000"/>
              </w:rPr>
              <w:t>注塑废气、胶合废气、印刷废气</w:t>
            </w:r>
            <w:r>
              <w:rPr>
                <w:rFonts w:hint="eastAsia"/>
                <w:bCs/>
                <w:color w:val="EE0000"/>
              </w:rPr>
              <w:t>集气罩面积根据设备</w:t>
            </w:r>
            <w:r>
              <w:rPr>
                <w:bCs/>
              </w:rPr>
              <w:t>工位操作口面积</w:t>
            </w:r>
            <w:r>
              <w:rPr>
                <w:rFonts w:hint="eastAsia"/>
                <w:bCs/>
              </w:rPr>
              <w:t>决定，操作工位设计面积约1米*0.4米，为保证充分收集废气，集气罩面积取值</w:t>
            </w:r>
            <w:r>
              <w:rPr>
                <w:bCs/>
              </w:rPr>
              <w:t>0.5m</w:t>
            </w:r>
            <w:r>
              <w:rPr>
                <w:bCs/>
                <w:vertAlign w:val="superscript"/>
              </w:rPr>
              <w:t>2</w:t>
            </w:r>
            <w:r>
              <w:rPr>
                <w:bCs/>
              </w:rPr>
              <w:t>，风速0.</w:t>
            </w:r>
            <w:r>
              <w:rPr>
                <w:rFonts w:hint="eastAsia"/>
                <w:bCs/>
              </w:rPr>
              <w:t>3</w:t>
            </w:r>
            <w:r>
              <w:rPr>
                <w:bCs/>
              </w:rPr>
              <w:t>m/s，则集气罩风量Q=</w:t>
            </w:r>
            <w:r>
              <w:rPr>
                <w:rFonts w:hint="eastAsia"/>
                <w:bCs/>
                <w:color w:val="EE0000"/>
              </w:rPr>
              <w:t>540</w:t>
            </w:r>
            <w:r>
              <w:rPr>
                <w:bCs/>
              </w:rPr>
              <w:t>m³/h。项目注塑区20台注塑机，共配置20个集气罩；胶合</w:t>
            </w:r>
            <w:r>
              <w:rPr>
                <w:rFonts w:hint="eastAsia"/>
                <w:bCs/>
                <w:color w:val="EE0000"/>
              </w:rPr>
              <w:t>共计</w:t>
            </w:r>
            <w:r>
              <w:rPr>
                <w:rFonts w:hint="eastAsia"/>
                <w:bCs/>
                <w:color w:val="0000FF"/>
              </w:rPr>
              <w:t>2</w:t>
            </w:r>
            <w:r>
              <w:rPr>
                <w:rFonts w:hint="eastAsia"/>
                <w:bCs/>
                <w:color w:val="EE0000"/>
              </w:rPr>
              <w:t>台超声波焊接机</w:t>
            </w:r>
            <w:r>
              <w:rPr>
                <w:rFonts w:hint="eastAsia"/>
                <w:bCs/>
              </w:rPr>
              <w:t>，</w:t>
            </w:r>
            <w:r>
              <w:rPr>
                <w:bCs/>
              </w:rPr>
              <w:t>配备</w:t>
            </w:r>
            <w:r>
              <w:rPr>
                <w:rFonts w:hint="eastAsia"/>
                <w:bCs/>
                <w:color w:val="0000FF"/>
              </w:rPr>
              <w:t>2</w:t>
            </w:r>
            <w:r>
              <w:rPr>
                <w:bCs/>
              </w:rPr>
              <w:t>个集气罩；印刷区</w:t>
            </w:r>
            <w:r>
              <w:rPr>
                <w:rFonts w:hint="eastAsia"/>
                <w:bCs/>
              </w:rPr>
              <w:t>共16台印刷设备，</w:t>
            </w:r>
            <w:r>
              <w:rPr>
                <w:bCs/>
              </w:rPr>
              <w:t>配备</w:t>
            </w:r>
            <w:r>
              <w:rPr>
                <w:rFonts w:hint="eastAsia"/>
                <w:bCs/>
                <w:color w:val="EE0000"/>
              </w:rPr>
              <w:t>16</w:t>
            </w:r>
            <w:r>
              <w:rPr>
                <w:bCs/>
              </w:rPr>
              <w:t>个集气罩</w:t>
            </w:r>
            <w:r>
              <w:rPr>
                <w:rFonts w:hint="eastAsia"/>
                <w:bCs/>
              </w:rPr>
              <w:t>，则</w:t>
            </w:r>
            <w:r>
              <w:rPr>
                <w:bCs/>
                <w:color w:val="EE0000"/>
              </w:rPr>
              <w:t>注塑废气、胶合废气、印刷废气</w:t>
            </w:r>
            <w:r>
              <w:rPr>
                <w:rFonts w:hint="eastAsia"/>
                <w:bCs/>
              </w:rPr>
              <w:t>理论所需风量合计</w:t>
            </w:r>
            <w:r>
              <w:rPr>
                <w:rFonts w:hint="eastAsia"/>
                <w:bCs/>
                <w:color w:val="EE0000"/>
              </w:rPr>
              <w:t>540*(20+</w:t>
            </w:r>
            <w:r>
              <w:rPr>
                <w:rFonts w:hint="eastAsia"/>
                <w:bCs/>
                <w:color w:val="0000FF"/>
              </w:rPr>
              <w:t>2</w:t>
            </w:r>
            <w:r>
              <w:rPr>
                <w:rFonts w:hint="eastAsia"/>
                <w:bCs/>
                <w:color w:val="EE0000"/>
              </w:rPr>
              <w:t>+16)=</w:t>
            </w:r>
            <w:r>
              <w:rPr>
                <w:rFonts w:hint="eastAsia"/>
                <w:bCs/>
                <w:color w:val="0000FF"/>
              </w:rPr>
              <w:t>23760</w:t>
            </w:r>
            <w:r>
              <w:rPr>
                <w:bCs/>
              </w:rPr>
              <w:t>m³/h</w:t>
            </w:r>
            <w:r>
              <w:rPr>
                <w:rFonts w:hint="eastAsia"/>
                <w:bCs/>
              </w:rPr>
              <w:t>，</w:t>
            </w:r>
            <w:r>
              <w:rPr>
                <w:bCs/>
              </w:rPr>
              <w:t>注塑工序设计风量</w:t>
            </w:r>
            <w:r>
              <w:rPr>
                <w:rFonts w:hint="eastAsia"/>
                <w:bCs/>
                <w:color w:val="EE0000"/>
              </w:rPr>
              <w:t>10800</w:t>
            </w:r>
            <w:r>
              <w:rPr>
                <w:bCs/>
              </w:rPr>
              <w:t>m³/h，胶合工序设计风量</w:t>
            </w:r>
            <w:r>
              <w:rPr>
                <w:rFonts w:hint="eastAsia"/>
                <w:bCs/>
                <w:color w:val="0000FF"/>
              </w:rPr>
              <w:t>1080</w:t>
            </w:r>
            <w:r>
              <w:rPr>
                <w:bCs/>
              </w:rPr>
              <w:t>m³/h，印刷工序设计风量</w:t>
            </w:r>
            <w:r>
              <w:rPr>
                <w:rFonts w:hint="eastAsia"/>
                <w:bCs/>
                <w:color w:val="EE0000"/>
              </w:rPr>
              <w:t>8640</w:t>
            </w:r>
            <w:r>
              <w:rPr>
                <w:bCs/>
              </w:rPr>
              <w:t>m³/h。</w:t>
            </w:r>
          </w:p>
          <w:p w14:paraId="5445B982">
            <w:pPr>
              <w:ind w:firstLine="480"/>
              <w:rPr>
                <w:bCs/>
              </w:rPr>
            </w:pPr>
            <w:r>
              <w:rPr>
                <w:bCs/>
              </w:rPr>
              <w:t>喷漆</w:t>
            </w:r>
            <w:r>
              <w:rPr>
                <w:rFonts w:hint="eastAsia"/>
                <w:bCs/>
              </w:rPr>
              <w:t>设置于</w:t>
            </w:r>
            <w:r>
              <w:rPr>
                <w:rFonts w:hint="eastAsia"/>
                <w:color w:val="EE0000"/>
              </w:rPr>
              <w:t>单层密闭</w:t>
            </w:r>
            <w:r>
              <w:rPr>
                <w:color w:val="EE0000"/>
              </w:rPr>
              <w:t>正</w:t>
            </w:r>
            <w:r>
              <w:rPr>
                <w:rFonts w:hint="eastAsia"/>
                <w:color w:val="EE0000"/>
              </w:rPr>
              <w:t>压喷涂房内，</w:t>
            </w:r>
            <w:r>
              <w:rPr>
                <w:rFonts w:hint="eastAsia"/>
                <w:bCs/>
                <w:color w:val="0000FF"/>
              </w:rPr>
              <w:t>所需风量根据喷涂房面积及换风次数决定，喷涂房面积约m²，换风次数拟设为12次，则所需风量为6000m³/h，</w:t>
            </w:r>
            <w:r>
              <w:rPr>
                <w:bCs/>
              </w:rPr>
              <w:t>根据《吸附法工业有机废气治理工程技术规范》（HJ2026-2013）中6.1.2，治理工程的处理能力应根据废气的处理量确定，设计风量宜按照最大废气排放量的120%进行设计，则项目水帘柜设计风量约为6500m³/h。</w:t>
            </w:r>
            <w:bookmarkStart w:id="11" w:name="_Hlk118902299"/>
          </w:p>
          <w:p w14:paraId="34991461">
            <w:pPr>
              <w:ind w:firstLine="480"/>
              <w:rPr>
                <w:bCs/>
              </w:rPr>
            </w:pPr>
            <w:r>
              <w:rPr>
                <w:rFonts w:hint="eastAsia"/>
                <w:bCs/>
              </w:rPr>
              <w:t>③</w:t>
            </w:r>
            <w:r>
              <w:rPr>
                <w:bCs/>
              </w:rPr>
              <w:t>处理</w:t>
            </w:r>
            <w:r>
              <w:rPr>
                <w:rFonts w:hint="eastAsia"/>
                <w:bCs/>
              </w:rPr>
              <w:t>效率</w:t>
            </w:r>
          </w:p>
          <w:p w14:paraId="62072713">
            <w:pPr>
              <w:ind w:firstLine="482"/>
              <w:rPr>
                <w:bCs/>
              </w:rPr>
            </w:pPr>
            <w:r>
              <w:rPr>
                <w:rFonts w:hint="eastAsia"/>
                <w:b/>
              </w:rPr>
              <w:t>水帘柜处理效率</w:t>
            </w:r>
            <w:r>
              <w:rPr>
                <w:rFonts w:hint="eastAsia"/>
                <w:bCs/>
              </w:rPr>
              <w:t>：根据《排放源统计调查产排污核算方法和系数手册》中《33 金属制品业、34 通用设备制造业、35 专用设备制造业、36 汽车制造业、37 铁路、船舶、航空航天和其他运输设备制造业、431 金属制品修理、432通用设备修理、433 专用设备修理、434 铁路、船舶、航空航天等运输设备修理(不包括电镀工艺)行业系数手册》,钢材干式预处理,颗粒物的产污系数为 2.19kg/t-原料，采用喷淋塔/冲击水浴末端治理技术的处理效率为85%。本项目漆雾产生浓度较低，处理效率保守取</w:t>
            </w:r>
            <w:r>
              <w:rPr>
                <w:bCs/>
              </w:rPr>
              <w:t>70%</w:t>
            </w:r>
            <w:r>
              <w:rPr>
                <w:rFonts w:hint="eastAsia"/>
                <w:bCs/>
              </w:rPr>
              <w:t>。</w:t>
            </w:r>
          </w:p>
          <w:p w14:paraId="67CAC0A3">
            <w:pPr>
              <w:ind w:firstLine="482"/>
              <w:rPr>
                <w:bCs/>
              </w:rPr>
            </w:pPr>
            <w:r>
              <w:rPr>
                <w:rFonts w:hint="eastAsia"/>
                <w:b/>
              </w:rPr>
              <w:t>水喷淋塔处理效率</w:t>
            </w:r>
            <w:r>
              <w:rPr>
                <w:rFonts w:hint="eastAsia"/>
                <w:bCs/>
              </w:rPr>
              <w:t>：根据《排放源统计调查产排污核算方法和系数手册》中《33 金属制品业、34 通用设备制造业、35 专用设备制造业、36 汽车制造业、37 铁路、船舶、航空航天和其他运输设备制造业、431 金属制品修理、432通用设备修理、433 专用设备修理、434 铁路、船舶、航空航天等运输设备修理(不包括电镀工艺)行业系数手册》,钢材干式预处理,颗粒物的产污系数为 2.19kg/t-原料，采用喷淋塔/冲击水浴末端治理技术的处理效率为85%，则本项目水喷淋塔对颗粒物处理效率为85%。则本项目对漆</w:t>
            </w:r>
            <w:r>
              <w:rPr>
                <w:rFonts w:hint="eastAsia"/>
                <w:bCs/>
                <w:color w:val="0000FF"/>
              </w:rPr>
              <w:t>雾</w:t>
            </w:r>
            <w:r>
              <w:rPr>
                <w:rFonts w:hint="eastAsia"/>
                <w:bCs/>
              </w:rPr>
              <w:t>的处理效率综合为</w:t>
            </w:r>
            <w:r>
              <w:rPr>
                <w:bCs/>
                <w:color w:val="0000FF"/>
              </w:rPr>
              <w:t>η=1-（1-</w:t>
            </w:r>
            <w:r>
              <w:rPr>
                <w:rFonts w:hint="eastAsia"/>
                <w:bCs/>
                <w:color w:val="0000FF"/>
              </w:rPr>
              <w:t>70%</w:t>
            </w:r>
            <w:r>
              <w:rPr>
                <w:bCs/>
                <w:color w:val="0000FF"/>
              </w:rPr>
              <w:t>）（1-</w:t>
            </w:r>
            <w:r>
              <w:rPr>
                <w:rFonts w:hint="eastAsia"/>
                <w:bCs/>
                <w:color w:val="0000FF"/>
              </w:rPr>
              <w:t>85%</w:t>
            </w:r>
            <w:r>
              <w:rPr>
                <w:bCs/>
                <w:color w:val="0000FF"/>
              </w:rPr>
              <w:t>）</w:t>
            </w:r>
            <w:r>
              <w:rPr>
                <w:rFonts w:hint="eastAsia"/>
                <w:bCs/>
                <w:color w:val="0000FF"/>
              </w:rPr>
              <w:t>≈95.5%</w:t>
            </w:r>
            <w:r>
              <w:rPr>
                <w:bCs/>
              </w:rPr>
              <w:t>。</w:t>
            </w:r>
          </w:p>
          <w:p w14:paraId="3953DF7C">
            <w:pPr>
              <w:ind w:firstLine="482"/>
              <w:rPr>
                <w:bCs/>
              </w:rPr>
            </w:pPr>
            <w:r>
              <w:rPr>
                <w:rFonts w:hint="eastAsia"/>
                <w:b/>
              </w:rPr>
              <w:t>二级活性炭箱处理</w:t>
            </w:r>
            <w:r>
              <w:rPr>
                <w:rFonts w:hint="eastAsia"/>
                <w:bCs/>
              </w:rPr>
              <w:t>效率：</w:t>
            </w:r>
            <w:r>
              <w:rPr>
                <w:bCs/>
              </w:rPr>
              <w:t xml:space="preserve"> </w:t>
            </w:r>
          </w:p>
          <w:p w14:paraId="3DB32C07">
            <w:pPr>
              <w:ind w:firstLine="480"/>
              <w:rPr>
                <w:bCs/>
              </w:rPr>
            </w:pPr>
            <w:r>
              <w:rPr>
                <w:color w:val="EE0000"/>
              </w:rPr>
              <w:t>根据《广东省生态环境厅关于印发工业源挥发性有机物和氮氧化物减排量核算方法的通知》（粤环函〔2023〕538号）表3.3-3废气治理效率参考值中吸附技术</w:t>
            </w:r>
            <w:r>
              <w:rPr>
                <w:b/>
                <w:bCs/>
                <w:color w:val="EE0000"/>
              </w:rPr>
              <w:t>“建议直接将“活性炭年更换量×活性炭吸附比例”（活性炭年更换量优先以危废转移量为依据，吸附比例建议取值15%）</w:t>
            </w:r>
            <w:r>
              <w:rPr>
                <w:color w:val="EE0000"/>
              </w:rPr>
              <w:t>作为废气处理设施VOCs削减量。”，本项目活性炭设计用量（</w:t>
            </w:r>
            <w:r>
              <w:rPr>
                <w:rFonts w:hint="eastAsia"/>
                <w:color w:val="EE0000"/>
              </w:rPr>
              <w:t>见表4-15，</w:t>
            </w:r>
            <w:r>
              <w:rPr>
                <w:rFonts w:hint="eastAsia"/>
                <w:color w:val="0000FF"/>
              </w:rPr>
              <w:t>3.15</w:t>
            </w:r>
            <w:r>
              <w:rPr>
                <w:rFonts w:hint="eastAsia"/>
                <w:color w:val="EE0000"/>
              </w:rPr>
              <w:t>t</w:t>
            </w:r>
            <w:r>
              <w:rPr>
                <w:color w:val="EE0000"/>
              </w:rPr>
              <w:t>）大于“废气处理设施VOCs削减量</w:t>
            </w:r>
            <w:r>
              <w:rPr>
                <w:rFonts w:hint="eastAsia"/>
                <w:color w:val="EE0000"/>
              </w:rPr>
              <w:t>（</w:t>
            </w:r>
            <w:r>
              <w:rPr>
                <w:rFonts w:hint="eastAsia" w:eastAsia="等线"/>
                <w:color w:val="0000FF"/>
              </w:rPr>
              <w:t>0.2529</w:t>
            </w:r>
            <w:r>
              <w:rPr>
                <w:rFonts w:hint="eastAsia"/>
                <w:color w:val="EE0000"/>
              </w:rPr>
              <w:t>）</w:t>
            </w:r>
            <w:r>
              <w:rPr>
                <w:color w:val="EE0000"/>
              </w:rPr>
              <w:t>÷活性炭吸附比例（取值15%）</w:t>
            </w:r>
            <w:r>
              <w:rPr>
                <w:rFonts w:hint="eastAsia"/>
                <w:color w:val="EE0000"/>
              </w:rPr>
              <w:t>=</w:t>
            </w:r>
            <w:r>
              <w:rPr>
                <w:rFonts w:hint="eastAsia"/>
                <w:color w:val="0000FF"/>
              </w:rPr>
              <w:t>1.6860</w:t>
            </w:r>
            <w:r>
              <w:rPr>
                <w:rFonts w:hint="eastAsia"/>
                <w:color w:val="EE0000"/>
              </w:rPr>
              <w:t>t/a</w:t>
            </w:r>
            <w:r>
              <w:rPr>
                <w:color w:val="EE0000"/>
              </w:rPr>
              <w:t>”，则本项目活性炭箱</w:t>
            </w:r>
            <w:r>
              <w:rPr>
                <w:rFonts w:hint="eastAsia"/>
                <w:color w:val="EE0000"/>
              </w:rPr>
              <w:t>使用量</w:t>
            </w:r>
            <w:r>
              <w:rPr>
                <w:rFonts w:hint="eastAsia"/>
                <w:color w:val="0000FF"/>
              </w:rPr>
              <w:t>为</w:t>
            </w:r>
            <w:r>
              <w:rPr>
                <w:bCs/>
                <w:color w:val="0000FF"/>
              </w:rPr>
              <w:t>3.150t</w:t>
            </w:r>
            <w:r>
              <w:rPr>
                <w:rFonts w:hint="eastAsia"/>
                <w:color w:val="EE0000"/>
              </w:rPr>
              <w:t>，大于</w:t>
            </w:r>
            <w:r>
              <w:rPr>
                <w:rFonts w:hint="eastAsia"/>
                <w:color w:val="0000FF"/>
              </w:rPr>
              <w:t>1.6860</w:t>
            </w:r>
            <w:r>
              <w:rPr>
                <w:rFonts w:hint="eastAsia"/>
                <w:color w:val="EE0000"/>
              </w:rPr>
              <w:t>t/a的活性炭以</w:t>
            </w:r>
            <w:r>
              <w:rPr>
                <w:color w:val="EE0000"/>
              </w:rPr>
              <w:t>满足上述吸附效率。</w:t>
            </w:r>
            <w:r>
              <w:rPr>
                <w:bCs/>
              </w:rPr>
              <w:t>参考《吸附法工业有机废气治理工程技术规范》（HJ2026-2013）、《广东省印刷行业挥发性有机化合物废气治理技术指南》（广东省环保厅2013年11月）、《广东省家具制造行业挥发性有机废气治理技术指南》（广东省环保厅2014年12月）等提出的关于活性炭吸附有机废气的处理效率，活性炭吸附法可达治理效率50-80%，项目取60%。本项目二级活性炭吸附装置处理效率可达1-（1-60%）×（1-60%）=84%。本项目保守估算，</w:t>
            </w:r>
            <w:r>
              <w:rPr>
                <w:rFonts w:ascii="宋体" w:hAnsi="宋体"/>
                <w:bCs/>
              </w:rPr>
              <w:t>“</w:t>
            </w:r>
            <w:r>
              <w:rPr>
                <w:bCs/>
              </w:rPr>
              <w:t>水喷淋+干式过滤器+二级活性炭吸附装置</w:t>
            </w:r>
            <w:r>
              <w:rPr>
                <w:rFonts w:ascii="宋体" w:hAnsi="宋体"/>
                <w:bCs/>
              </w:rPr>
              <w:t>”</w:t>
            </w:r>
            <w:r>
              <w:rPr>
                <w:bCs/>
              </w:rPr>
              <w:t>对有机废气的综合处理效率按80%进行核算。</w:t>
            </w:r>
          </w:p>
          <w:p w14:paraId="6339F8AF">
            <w:pPr>
              <w:ind w:firstLine="480"/>
              <w:rPr>
                <w:color w:val="EE0000"/>
                <w:lang w:bidi="ar"/>
              </w:rPr>
            </w:pPr>
            <w:r>
              <w:rPr>
                <w:color w:val="EE0000"/>
                <w:lang w:bidi="ar"/>
              </w:rPr>
              <w:t>本项目废气处理措施为</w:t>
            </w:r>
            <w:r>
              <w:rPr>
                <w:rFonts w:hint="eastAsia"/>
                <w:color w:val="EE0000"/>
                <w:lang w:bidi="ar"/>
              </w:rPr>
              <w:t>1</w:t>
            </w:r>
            <w:r>
              <w:rPr>
                <w:color w:val="EE0000"/>
                <w:lang w:bidi="ar"/>
              </w:rPr>
              <w:t>套二级活性炭吸附装置</w:t>
            </w:r>
            <w:r>
              <w:rPr>
                <w:rFonts w:hint="eastAsia"/>
                <w:color w:val="EE0000"/>
                <w:lang w:bidi="ar"/>
              </w:rPr>
              <w:t>，</w:t>
            </w:r>
            <w:r>
              <w:rPr>
                <w:color w:val="EE0000"/>
                <w:lang w:bidi="ar"/>
              </w:rPr>
              <w:t>单个废气活性炭吸附装置尺寸</w:t>
            </w:r>
            <w:r>
              <w:rPr>
                <w:rFonts w:hint="eastAsia"/>
                <w:color w:val="EE0000"/>
                <w:lang w:bidi="ar"/>
              </w:rPr>
              <w:t>、</w:t>
            </w:r>
            <w:r>
              <w:rPr>
                <w:color w:val="EE0000"/>
                <w:lang w:bidi="ar"/>
              </w:rPr>
              <w:t>碳层尺寸</w:t>
            </w:r>
            <w:r>
              <w:rPr>
                <w:rFonts w:hint="eastAsia"/>
                <w:color w:val="EE0000"/>
                <w:lang w:bidi="ar"/>
              </w:rPr>
              <w:t>及活性炭吸附装置</w:t>
            </w:r>
            <w:r>
              <w:rPr>
                <w:color w:val="EE0000"/>
                <w:lang w:bidi="ar"/>
              </w:rPr>
              <w:t>单次总装填量</w:t>
            </w:r>
            <w:r>
              <w:rPr>
                <w:rFonts w:hint="eastAsia"/>
                <w:color w:val="EE0000"/>
                <w:lang w:bidi="ar"/>
              </w:rPr>
              <w:t>见下表</w:t>
            </w:r>
            <w:r>
              <w:rPr>
                <w:color w:val="EE0000"/>
                <w:lang w:bidi="ar"/>
              </w:rPr>
              <w:t>。拟装填</w:t>
            </w:r>
            <w:r>
              <w:rPr>
                <w:rFonts w:hint="eastAsia"/>
                <w:color w:val="EE0000"/>
                <w:lang w:bidi="ar"/>
              </w:rPr>
              <w:t>孔径为5-10mm</w:t>
            </w:r>
            <w:r>
              <w:rPr>
                <w:color w:val="EE0000"/>
                <w:lang w:bidi="ar"/>
              </w:rPr>
              <w:t>的蜂窝</w:t>
            </w:r>
            <w:r>
              <w:rPr>
                <w:color w:val="EE0000"/>
              </w:rPr>
              <w:t>状</w:t>
            </w:r>
            <w:r>
              <w:rPr>
                <w:color w:val="EE0000"/>
                <w:lang w:bidi="ar"/>
              </w:rPr>
              <w:t>活性炭，蜂窝</w:t>
            </w:r>
            <w:r>
              <w:rPr>
                <w:color w:val="EE0000"/>
              </w:rPr>
              <w:t>状</w:t>
            </w:r>
            <w:r>
              <w:rPr>
                <w:color w:val="EE0000"/>
                <w:lang w:bidi="ar"/>
              </w:rPr>
              <w:t>活性炭</w:t>
            </w:r>
            <w:r>
              <w:rPr>
                <w:rFonts w:hint="eastAsia"/>
                <w:color w:val="EE0000"/>
                <w:lang w:bidi="ar"/>
              </w:rPr>
              <w:t>实际质量与体积比随孔径变大而降低，实际密度</w:t>
            </w:r>
            <w:r>
              <w:rPr>
                <w:color w:val="EE0000"/>
                <w:lang w:bidi="ar"/>
              </w:rPr>
              <w:t>约为0.</w:t>
            </w:r>
            <w:r>
              <w:rPr>
                <w:rFonts w:hint="eastAsia"/>
                <w:color w:val="EE0000"/>
                <w:lang w:bidi="ar"/>
              </w:rPr>
              <w:t>3</w:t>
            </w:r>
            <w:r>
              <w:rPr>
                <w:color w:val="EE0000"/>
                <w:lang w:bidi="ar"/>
              </w:rPr>
              <w:t xml:space="preserve">g/cm³； </w:t>
            </w:r>
          </w:p>
          <w:p w14:paraId="4206433E">
            <w:pPr>
              <w:ind w:firstLine="480"/>
              <w:rPr>
                <w:color w:val="EE0000"/>
              </w:rPr>
            </w:pPr>
            <w:r>
              <w:rPr>
                <w:color w:val="EE0000"/>
                <w:lang w:bidi="ar"/>
              </w:rPr>
              <w:t>活性炭</w:t>
            </w:r>
            <w:r>
              <w:rPr>
                <w:rFonts w:hint="eastAsia"/>
                <w:color w:val="EE0000"/>
                <w:lang w:bidi="ar"/>
              </w:rPr>
              <w:t>年</w:t>
            </w:r>
            <w:r>
              <w:rPr>
                <w:color w:val="EE0000"/>
                <w:lang w:bidi="ar"/>
              </w:rPr>
              <w:t>更换</w:t>
            </w:r>
            <w:r>
              <w:rPr>
                <w:rFonts w:hint="eastAsia"/>
                <w:color w:val="EE0000"/>
                <w:lang w:bidi="ar"/>
              </w:rPr>
              <w:t>次数</w:t>
            </w:r>
            <w:r>
              <w:rPr>
                <w:color w:val="EE0000"/>
                <w:lang w:bidi="ar"/>
              </w:rPr>
              <w:t>：</w:t>
            </w:r>
            <w:r>
              <w:rPr>
                <w:rFonts w:hint="eastAsia"/>
                <w:color w:val="EE0000"/>
                <w:lang w:bidi="ar"/>
              </w:rPr>
              <w:t>根据活性炭箱规格及活性炭理论需要装填量</w:t>
            </w:r>
            <w:r>
              <w:rPr>
                <w:rFonts w:hint="eastAsia"/>
                <w:color w:val="0000FF"/>
              </w:rPr>
              <w:t>1.6860</w:t>
            </w:r>
            <w:r>
              <w:rPr>
                <w:rFonts w:hint="eastAsia"/>
                <w:color w:val="EE0000"/>
              </w:rPr>
              <w:t>t</w:t>
            </w:r>
            <w:r>
              <w:rPr>
                <w:rFonts w:hint="eastAsia"/>
                <w:color w:val="EE0000"/>
                <w:lang w:bidi="ar"/>
              </w:rPr>
              <w:t>/a</w:t>
            </w:r>
            <w:r>
              <w:rPr>
                <w:rFonts w:hint="eastAsia"/>
                <w:color w:val="EE0000"/>
              </w:rPr>
              <w:t>，为保证活性炭吸附废气的有效性，拟每季度更换一次。活性炭单箱尺寸2.8m*2.5m*1.2m，碳层厚度0.25m，共3层，蜂窝活性炭的密度为0.3g/m³，单箱填充2.8m*2.5m*0.25*3*0.3=</w:t>
            </w:r>
            <w:r>
              <w:rPr>
                <w:rFonts w:hint="eastAsia"/>
                <w:color w:val="0000FF"/>
              </w:rPr>
              <w:t>1.575</w:t>
            </w:r>
            <w:r>
              <w:rPr>
                <w:rFonts w:hint="eastAsia"/>
                <w:color w:val="EE0000"/>
              </w:rPr>
              <w:t>t，则单次二级活性炭箱填充量为</w:t>
            </w:r>
            <w:r>
              <w:rPr>
                <w:color w:val="0000FF"/>
              </w:rPr>
              <w:t>3.15</w:t>
            </w:r>
            <w:r>
              <w:rPr>
                <w:rFonts w:hint="eastAsia"/>
                <w:color w:val="0000FF"/>
              </w:rPr>
              <w:t>t</w:t>
            </w:r>
            <w:r>
              <w:rPr>
                <w:rFonts w:hint="eastAsia"/>
                <w:color w:val="EE0000"/>
              </w:rPr>
              <w:t>，活性炭年用量为</w:t>
            </w:r>
            <w:r>
              <w:rPr>
                <w:rFonts w:hint="eastAsia"/>
                <w:color w:val="0000FF"/>
              </w:rPr>
              <w:t>3.15</w:t>
            </w:r>
            <w:r>
              <w:rPr>
                <w:rFonts w:hint="eastAsia"/>
                <w:color w:val="EE0000"/>
              </w:rPr>
              <w:t>t/a。</w:t>
            </w:r>
          </w:p>
          <w:p w14:paraId="08FDD517">
            <w:pPr>
              <w:ind w:firstLine="960" w:firstLineChars="400"/>
              <w:rPr>
                <w:bCs/>
              </w:rPr>
            </w:pPr>
            <w:r>
              <w:rPr>
                <w:bCs/>
              </w:rPr>
              <w:t>本项目活性炭吸附装置设置参数表如下：</w:t>
            </w:r>
          </w:p>
          <w:p w14:paraId="0CE49BAA">
            <w:pPr>
              <w:pStyle w:val="11"/>
              <w:numPr>
                <w:ilvl w:val="0"/>
                <w:numId w:val="4"/>
              </w:numPr>
              <w:rPr>
                <w:bCs w:val="0"/>
              </w:rPr>
            </w:pPr>
            <w:r>
              <w:rPr>
                <w:bCs w:val="0"/>
              </w:rPr>
              <w:t>表4-15 项目活性炭吸附装置主要技术参数一览表</w:t>
            </w:r>
          </w:p>
          <w:tbl>
            <w:tblPr>
              <w:tblStyle w:val="21"/>
              <w:tblW w:w="4955" w:type="pct"/>
              <w:tblInd w:w="80" w:type="dxa"/>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28" w:type="dxa"/>
                <w:bottom w:w="0" w:type="dxa"/>
                <w:right w:w="28" w:type="dxa"/>
              </w:tblCellMar>
            </w:tblPr>
            <w:tblGrid>
              <w:gridCol w:w="840"/>
              <w:gridCol w:w="2757"/>
              <w:gridCol w:w="1409"/>
              <w:gridCol w:w="4155"/>
            </w:tblGrid>
            <w:tr w14:paraId="78C3DC2F">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340" w:hRule="atLeast"/>
              </w:trPr>
              <w:tc>
                <w:tcPr>
                  <w:tcW w:w="826" w:type="dxa"/>
                  <w:vAlign w:val="center"/>
                </w:tcPr>
                <w:p w14:paraId="39348719">
                  <w:pPr>
                    <w:pStyle w:val="29"/>
                    <w:rPr>
                      <w:bCs/>
                    </w:rPr>
                  </w:pPr>
                  <w:bookmarkStart w:id="12" w:name="_Hlk194498692"/>
                  <w:r>
                    <w:rPr>
                      <w:bCs/>
                    </w:rPr>
                    <w:t>排气筒编号</w:t>
                  </w:r>
                </w:p>
              </w:tc>
              <w:tc>
                <w:tcPr>
                  <w:tcW w:w="2712" w:type="dxa"/>
                  <w:vAlign w:val="center"/>
                </w:tcPr>
                <w:p w14:paraId="2F2FA8B8">
                  <w:pPr>
                    <w:pStyle w:val="29"/>
                    <w:rPr>
                      <w:bCs/>
                    </w:rPr>
                  </w:pPr>
                  <w:r>
                    <w:rPr>
                      <w:bCs/>
                    </w:rPr>
                    <w:t>技术参数</w:t>
                  </w:r>
                </w:p>
              </w:tc>
              <w:tc>
                <w:tcPr>
                  <w:tcW w:w="1386" w:type="dxa"/>
                  <w:vAlign w:val="center"/>
                </w:tcPr>
                <w:p w14:paraId="52685E21">
                  <w:pPr>
                    <w:pStyle w:val="29"/>
                    <w:rPr>
                      <w:bCs/>
                    </w:rPr>
                  </w:pPr>
                  <w:r>
                    <w:rPr>
                      <w:bCs/>
                    </w:rPr>
                    <w:t>本项目指标</w:t>
                  </w:r>
                </w:p>
              </w:tc>
              <w:tc>
                <w:tcPr>
                  <w:tcW w:w="4088" w:type="dxa"/>
                  <w:vAlign w:val="center"/>
                </w:tcPr>
                <w:p w14:paraId="08EFF62D">
                  <w:pPr>
                    <w:pStyle w:val="29"/>
                    <w:rPr>
                      <w:bCs/>
                    </w:rPr>
                  </w:pPr>
                  <w:r>
                    <w:rPr>
                      <w:bCs/>
                    </w:rPr>
                    <w:t>备注</w:t>
                  </w:r>
                </w:p>
              </w:tc>
            </w:tr>
            <w:tr w14:paraId="78E77EEC">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340" w:hRule="atLeast"/>
              </w:trPr>
              <w:tc>
                <w:tcPr>
                  <w:tcW w:w="826" w:type="dxa"/>
                  <w:vMerge w:val="restart"/>
                  <w:vAlign w:val="center"/>
                </w:tcPr>
                <w:p w14:paraId="0CE2EDFD">
                  <w:pPr>
                    <w:pStyle w:val="29"/>
                    <w:rPr>
                      <w:bCs/>
                    </w:rPr>
                  </w:pPr>
                  <w:r>
                    <w:rPr>
                      <w:bCs/>
                    </w:rPr>
                    <w:t>DA001</w:t>
                  </w:r>
                </w:p>
              </w:tc>
              <w:tc>
                <w:tcPr>
                  <w:tcW w:w="2712" w:type="dxa"/>
                  <w:vAlign w:val="center"/>
                </w:tcPr>
                <w:p w14:paraId="78D0C093">
                  <w:pPr>
                    <w:pStyle w:val="29"/>
                    <w:rPr>
                      <w:bCs/>
                    </w:rPr>
                  </w:pPr>
                  <w:r>
                    <w:rPr>
                      <w:bCs/>
                    </w:rPr>
                    <w:t>设</w:t>
                  </w:r>
                  <w:r>
                    <w:rPr>
                      <w:bCs/>
                      <w:highlight w:val="yellow"/>
                    </w:rPr>
                    <w:t>计风量</w:t>
                  </w:r>
                </w:p>
              </w:tc>
              <w:tc>
                <w:tcPr>
                  <w:tcW w:w="1386" w:type="dxa"/>
                  <w:vAlign w:val="center"/>
                </w:tcPr>
                <w:p w14:paraId="7B78B40C">
                  <w:pPr>
                    <w:pStyle w:val="29"/>
                    <w:rPr>
                      <w:bCs/>
                    </w:rPr>
                  </w:pPr>
                  <w:r>
                    <w:rPr>
                      <w:rFonts w:hint="eastAsia"/>
                      <w:bCs/>
                      <w:color w:val="0000FF"/>
                    </w:rPr>
                    <w:t>29180</w:t>
                  </w:r>
                </w:p>
              </w:tc>
              <w:tc>
                <w:tcPr>
                  <w:tcW w:w="4088" w:type="dxa"/>
                  <w:vAlign w:val="center"/>
                </w:tcPr>
                <w:p w14:paraId="60A018E2">
                  <w:pPr>
                    <w:pStyle w:val="29"/>
                    <w:rPr>
                      <w:bCs/>
                    </w:rPr>
                  </w:pPr>
                  <w:r>
                    <w:rPr>
                      <w:rFonts w:hint="eastAsia"/>
                      <w:bCs/>
                    </w:rPr>
                    <w:t>/</w:t>
                  </w:r>
                </w:p>
              </w:tc>
            </w:tr>
            <w:tr w14:paraId="1F1E8FD1">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340" w:hRule="atLeast"/>
              </w:trPr>
              <w:tc>
                <w:tcPr>
                  <w:tcW w:w="826" w:type="dxa"/>
                  <w:vMerge w:val="continue"/>
                  <w:vAlign w:val="center"/>
                </w:tcPr>
                <w:p w14:paraId="63FD285B">
                  <w:pPr>
                    <w:pStyle w:val="29"/>
                    <w:rPr>
                      <w:bCs/>
                    </w:rPr>
                  </w:pPr>
                </w:p>
              </w:tc>
              <w:tc>
                <w:tcPr>
                  <w:tcW w:w="2712" w:type="dxa"/>
                  <w:vAlign w:val="center"/>
                </w:tcPr>
                <w:p w14:paraId="02021862">
                  <w:pPr>
                    <w:pStyle w:val="29"/>
                    <w:rPr>
                      <w:bCs/>
                    </w:rPr>
                  </w:pPr>
                  <w:r>
                    <w:rPr>
                      <w:bCs/>
                      <w:highlight w:val="yellow"/>
                    </w:rPr>
                    <w:t>气体流速</w:t>
                  </w:r>
                </w:p>
              </w:tc>
              <w:tc>
                <w:tcPr>
                  <w:tcW w:w="1386" w:type="dxa"/>
                  <w:vAlign w:val="center"/>
                </w:tcPr>
                <w:p w14:paraId="256E1B9B">
                  <w:pPr>
                    <w:pStyle w:val="29"/>
                    <w:rPr>
                      <w:bCs/>
                      <w:vertAlign w:val="superscript"/>
                    </w:rPr>
                  </w:pPr>
                  <w:r>
                    <w:rPr>
                      <w:bCs/>
                      <w:color w:val="0000FF"/>
                    </w:rPr>
                    <w:t xml:space="preserve">1.16 </w:t>
                  </w:r>
                  <w:r>
                    <w:rPr>
                      <w:bCs/>
                    </w:rPr>
                    <w:t>m/s</w:t>
                  </w:r>
                </w:p>
              </w:tc>
              <w:tc>
                <w:tcPr>
                  <w:tcW w:w="4088" w:type="dxa"/>
                  <w:vAlign w:val="center"/>
                </w:tcPr>
                <w:p w14:paraId="0C25BF0A">
                  <w:pPr>
                    <w:pStyle w:val="29"/>
                    <w:rPr>
                      <w:bCs/>
                    </w:rPr>
                  </w:pPr>
                  <w:r>
                    <w:rPr>
                      <w:bCs/>
                    </w:rPr>
                    <w:t>根据《吸附法工业有机废气治理工程技术规范》（HJ2026-2013）中使用蜂窝活性炭风速小于1.2m/s；气体流速=风量÷3600÷碳层横截面</w:t>
                  </w:r>
                </w:p>
              </w:tc>
            </w:tr>
            <w:tr w14:paraId="72A9F2AC">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340" w:hRule="atLeast"/>
              </w:trPr>
              <w:tc>
                <w:tcPr>
                  <w:tcW w:w="826" w:type="dxa"/>
                  <w:vMerge w:val="continue"/>
                  <w:vAlign w:val="center"/>
                </w:tcPr>
                <w:p w14:paraId="72800CB4">
                  <w:pPr>
                    <w:pStyle w:val="29"/>
                    <w:rPr>
                      <w:bCs/>
                    </w:rPr>
                  </w:pPr>
                </w:p>
              </w:tc>
              <w:tc>
                <w:tcPr>
                  <w:tcW w:w="2712" w:type="dxa"/>
                  <w:vAlign w:val="center"/>
                </w:tcPr>
                <w:p w14:paraId="3574560B">
                  <w:pPr>
                    <w:pStyle w:val="29"/>
                    <w:rPr>
                      <w:bCs/>
                    </w:rPr>
                  </w:pPr>
                  <w:r>
                    <w:rPr>
                      <w:bCs/>
                    </w:rPr>
                    <w:t>过滤</w:t>
                  </w:r>
                  <w:r>
                    <w:rPr>
                      <w:bCs/>
                      <w:highlight w:val="yellow"/>
                    </w:rPr>
                    <w:t>停留时间</w:t>
                  </w:r>
                </w:p>
              </w:tc>
              <w:tc>
                <w:tcPr>
                  <w:tcW w:w="1386" w:type="dxa"/>
                  <w:vAlign w:val="center"/>
                </w:tcPr>
                <w:p w14:paraId="4B15B930">
                  <w:pPr>
                    <w:pStyle w:val="29"/>
                    <w:rPr>
                      <w:bCs/>
                    </w:rPr>
                  </w:pPr>
                  <w:r>
                    <w:rPr>
                      <w:bCs/>
                      <w:color w:val="0000FF"/>
                    </w:rPr>
                    <w:t>0.6</w:t>
                  </w:r>
                  <w:r>
                    <w:rPr>
                      <w:rFonts w:hint="eastAsia"/>
                      <w:bCs/>
                      <w:color w:val="0000FF"/>
                    </w:rPr>
                    <w:t>5</w:t>
                  </w:r>
                  <w:r>
                    <w:rPr>
                      <w:bCs/>
                    </w:rPr>
                    <w:t>s</w:t>
                  </w:r>
                </w:p>
              </w:tc>
              <w:tc>
                <w:tcPr>
                  <w:tcW w:w="4088" w:type="dxa"/>
                  <w:vAlign w:val="center"/>
                </w:tcPr>
                <w:p w14:paraId="1B6E546F">
                  <w:pPr>
                    <w:pStyle w:val="29"/>
                    <w:rPr>
                      <w:bCs/>
                    </w:rPr>
                  </w:pPr>
                  <w:r>
                    <w:rPr>
                      <w:bCs/>
                    </w:rPr>
                    <w:t>满足污染物在活性碳箱内的接触时间0.5~2.0s；停留时间=每层碳层厚度*碳层数÷过滤风速</w:t>
                  </w:r>
                </w:p>
              </w:tc>
            </w:tr>
            <w:tr w14:paraId="3060F307">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340" w:hRule="atLeast"/>
              </w:trPr>
              <w:tc>
                <w:tcPr>
                  <w:tcW w:w="826" w:type="dxa"/>
                  <w:vMerge w:val="continue"/>
                  <w:vAlign w:val="center"/>
                </w:tcPr>
                <w:p w14:paraId="7CCFB434">
                  <w:pPr>
                    <w:pStyle w:val="29"/>
                    <w:rPr>
                      <w:bCs/>
                    </w:rPr>
                  </w:pPr>
                </w:p>
              </w:tc>
              <w:tc>
                <w:tcPr>
                  <w:tcW w:w="2712" w:type="dxa"/>
                  <w:vAlign w:val="center"/>
                </w:tcPr>
                <w:p w14:paraId="47413BAE">
                  <w:pPr>
                    <w:pStyle w:val="29"/>
                    <w:rPr>
                      <w:bCs/>
                    </w:rPr>
                  </w:pPr>
                  <w:r>
                    <w:rPr>
                      <w:bCs/>
                    </w:rPr>
                    <w:t>炭</w:t>
                  </w:r>
                  <w:r>
                    <w:rPr>
                      <w:rFonts w:hint="eastAsia"/>
                      <w:bCs/>
                    </w:rPr>
                    <w:t xml:space="preserve">层填充厚度 </w:t>
                  </w:r>
                </w:p>
              </w:tc>
              <w:tc>
                <w:tcPr>
                  <w:tcW w:w="1386" w:type="dxa"/>
                  <w:vAlign w:val="center"/>
                </w:tcPr>
                <w:p w14:paraId="2C9B67BE">
                  <w:pPr>
                    <w:pStyle w:val="29"/>
                    <w:rPr>
                      <w:bCs/>
                    </w:rPr>
                  </w:pPr>
                  <w:r>
                    <w:rPr>
                      <w:bCs/>
                    </w:rPr>
                    <w:t>0.25m</w:t>
                  </w:r>
                  <w:r>
                    <w:rPr>
                      <w:rFonts w:hint="eastAsia"/>
                      <w:bCs/>
                    </w:rPr>
                    <w:t>，3层</w:t>
                  </w:r>
                </w:p>
              </w:tc>
              <w:tc>
                <w:tcPr>
                  <w:tcW w:w="4088" w:type="dxa"/>
                  <w:vAlign w:val="center"/>
                </w:tcPr>
                <w:p w14:paraId="60E79C38">
                  <w:pPr>
                    <w:pStyle w:val="29"/>
                    <w:rPr>
                      <w:bCs/>
                    </w:rPr>
                  </w:pPr>
                  <w:r>
                    <w:rPr>
                      <w:rFonts w:hint="eastAsia"/>
                      <w:bCs/>
                    </w:rPr>
                    <w:t>/</w:t>
                  </w:r>
                </w:p>
              </w:tc>
            </w:tr>
            <w:tr w14:paraId="4D241D7A">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340" w:hRule="atLeast"/>
              </w:trPr>
              <w:tc>
                <w:tcPr>
                  <w:tcW w:w="826" w:type="dxa"/>
                  <w:vMerge w:val="continue"/>
                  <w:vAlign w:val="center"/>
                </w:tcPr>
                <w:p w14:paraId="12580F7D">
                  <w:pPr>
                    <w:pStyle w:val="29"/>
                    <w:rPr>
                      <w:bCs/>
                    </w:rPr>
                  </w:pPr>
                </w:p>
              </w:tc>
              <w:tc>
                <w:tcPr>
                  <w:tcW w:w="2712" w:type="dxa"/>
                  <w:vAlign w:val="center"/>
                </w:tcPr>
                <w:p w14:paraId="5756EDE0">
                  <w:pPr>
                    <w:pStyle w:val="29"/>
                    <w:rPr>
                      <w:bCs/>
                    </w:rPr>
                  </w:pPr>
                  <w:r>
                    <w:rPr>
                      <w:bCs/>
                    </w:rPr>
                    <w:t>活性</w:t>
                  </w:r>
                  <w:r>
                    <w:rPr>
                      <w:bCs/>
                      <w:highlight w:val="yellow"/>
                    </w:rPr>
                    <w:t>炭形态</w:t>
                  </w:r>
                </w:p>
              </w:tc>
              <w:tc>
                <w:tcPr>
                  <w:tcW w:w="1386" w:type="dxa"/>
                  <w:vAlign w:val="center"/>
                </w:tcPr>
                <w:p w14:paraId="3CF07E72">
                  <w:pPr>
                    <w:pStyle w:val="29"/>
                    <w:rPr>
                      <w:bCs/>
                    </w:rPr>
                  </w:pPr>
                  <w:r>
                    <w:rPr>
                      <w:bCs/>
                    </w:rPr>
                    <w:t>蜂窝状</w:t>
                  </w:r>
                </w:p>
              </w:tc>
              <w:tc>
                <w:tcPr>
                  <w:tcW w:w="4088" w:type="dxa"/>
                  <w:vAlign w:val="center"/>
                </w:tcPr>
                <w:p w14:paraId="712FAD9C">
                  <w:pPr>
                    <w:pStyle w:val="29"/>
                    <w:rPr>
                      <w:bCs/>
                    </w:rPr>
                  </w:pPr>
                  <w:r>
                    <w:rPr>
                      <w:rFonts w:hint="eastAsia"/>
                      <w:bCs/>
                    </w:rPr>
                    <w:t>/</w:t>
                  </w:r>
                </w:p>
              </w:tc>
            </w:tr>
            <w:tr w14:paraId="45D0AF91">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340" w:hRule="atLeast"/>
              </w:trPr>
              <w:tc>
                <w:tcPr>
                  <w:tcW w:w="826" w:type="dxa"/>
                  <w:vMerge w:val="continue"/>
                  <w:vAlign w:val="center"/>
                </w:tcPr>
                <w:p w14:paraId="7D8BA90F">
                  <w:pPr>
                    <w:pStyle w:val="29"/>
                    <w:rPr>
                      <w:bCs/>
                    </w:rPr>
                  </w:pPr>
                </w:p>
              </w:tc>
              <w:tc>
                <w:tcPr>
                  <w:tcW w:w="2712" w:type="dxa"/>
                  <w:vAlign w:val="center"/>
                </w:tcPr>
                <w:p w14:paraId="71E1992F">
                  <w:pPr>
                    <w:pStyle w:val="29"/>
                    <w:rPr>
                      <w:bCs/>
                    </w:rPr>
                  </w:pPr>
                  <w:r>
                    <w:rPr>
                      <w:bCs/>
                    </w:rPr>
                    <w:t>每年装填次数</w:t>
                  </w:r>
                </w:p>
              </w:tc>
              <w:tc>
                <w:tcPr>
                  <w:tcW w:w="1386" w:type="dxa"/>
                  <w:vAlign w:val="center"/>
                </w:tcPr>
                <w:p w14:paraId="76BEA046">
                  <w:pPr>
                    <w:pStyle w:val="29"/>
                    <w:rPr>
                      <w:bCs/>
                    </w:rPr>
                  </w:pPr>
                  <w:r>
                    <w:rPr>
                      <w:rFonts w:hint="eastAsia"/>
                      <w:bCs/>
                    </w:rPr>
                    <w:t>1</w:t>
                  </w:r>
                  <w:r>
                    <w:rPr>
                      <w:bCs/>
                    </w:rPr>
                    <w:t>次</w:t>
                  </w:r>
                </w:p>
              </w:tc>
              <w:tc>
                <w:tcPr>
                  <w:tcW w:w="4088" w:type="dxa"/>
                  <w:vAlign w:val="center"/>
                </w:tcPr>
                <w:p w14:paraId="0A17958B">
                  <w:pPr>
                    <w:pStyle w:val="29"/>
                    <w:rPr>
                      <w:bCs/>
                    </w:rPr>
                  </w:pPr>
                  <w:r>
                    <w:rPr>
                      <w:rFonts w:hint="eastAsia"/>
                      <w:bCs/>
                    </w:rPr>
                    <w:t>每年</w:t>
                  </w:r>
                  <w:r>
                    <w:rPr>
                      <w:bCs/>
                    </w:rPr>
                    <w:t>更换一次</w:t>
                  </w:r>
                </w:p>
              </w:tc>
            </w:tr>
            <w:tr w14:paraId="1F4AA92F">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340" w:hRule="atLeast"/>
              </w:trPr>
              <w:tc>
                <w:tcPr>
                  <w:tcW w:w="826" w:type="dxa"/>
                  <w:vMerge w:val="continue"/>
                  <w:vAlign w:val="center"/>
                </w:tcPr>
                <w:p w14:paraId="71EC1EBF">
                  <w:pPr>
                    <w:pStyle w:val="29"/>
                    <w:rPr>
                      <w:bCs/>
                    </w:rPr>
                  </w:pPr>
                </w:p>
              </w:tc>
              <w:tc>
                <w:tcPr>
                  <w:tcW w:w="2712" w:type="dxa"/>
                  <w:vAlign w:val="center"/>
                </w:tcPr>
                <w:p w14:paraId="0A6473C2">
                  <w:pPr>
                    <w:pStyle w:val="29"/>
                    <w:rPr>
                      <w:bCs/>
                    </w:rPr>
                  </w:pPr>
                  <w:r>
                    <w:rPr>
                      <w:bCs/>
                    </w:rPr>
                    <w:t>更换的活性炭量</w:t>
                  </w:r>
                </w:p>
              </w:tc>
              <w:tc>
                <w:tcPr>
                  <w:tcW w:w="1386" w:type="dxa"/>
                  <w:vAlign w:val="center"/>
                </w:tcPr>
                <w:p w14:paraId="4AB9A262">
                  <w:pPr>
                    <w:pStyle w:val="29"/>
                    <w:rPr>
                      <w:bCs/>
                    </w:rPr>
                  </w:pPr>
                  <w:r>
                    <w:rPr>
                      <w:bCs/>
                      <w:color w:val="0000FF"/>
                    </w:rPr>
                    <w:t>3.15</w:t>
                  </w:r>
                  <w:r>
                    <w:rPr>
                      <w:bCs/>
                    </w:rPr>
                    <w:t>0t</w:t>
                  </w:r>
                </w:p>
              </w:tc>
              <w:tc>
                <w:tcPr>
                  <w:tcW w:w="4088" w:type="dxa"/>
                  <w:vAlign w:val="center"/>
                </w:tcPr>
                <w:p w14:paraId="4E975953">
                  <w:pPr>
                    <w:pStyle w:val="29"/>
                    <w:rPr>
                      <w:bCs/>
                    </w:rPr>
                  </w:pPr>
                  <w:r>
                    <w:rPr>
                      <w:rFonts w:hint="eastAsia"/>
                      <w:bCs/>
                    </w:rPr>
                    <w:t>/</w:t>
                  </w:r>
                </w:p>
              </w:tc>
            </w:tr>
            <w:bookmarkEnd w:id="12"/>
          </w:tbl>
          <w:p w14:paraId="49583CC7">
            <w:pPr>
              <w:ind w:firstLine="480"/>
              <w:rPr>
                <w:bCs/>
                <w:color w:val="0000FF"/>
              </w:rPr>
            </w:pPr>
            <w:r>
              <w:rPr>
                <w:color w:val="0000FF"/>
              </w:rPr>
              <w:t>根据《广东省生态环境厅关于印发工业源挥发性有机物和氮氧化物减排量核算方法的通知》（粤环函〔2023〕538号）</w:t>
            </w:r>
            <w:r>
              <w:rPr>
                <w:rFonts w:hint="eastAsia"/>
                <w:color w:val="0000FF"/>
              </w:rPr>
              <w:t>“</w:t>
            </w:r>
            <w:r>
              <w:rPr>
                <w:color w:val="0000FF"/>
              </w:rPr>
              <w:t>活性炭吸附技术</w:t>
            </w:r>
            <w:r>
              <w:rPr>
                <w:rFonts w:hint="eastAsia"/>
                <w:color w:val="0000FF"/>
              </w:rPr>
              <w:t>-废气中颗粒物含量宜低于1mg/m³”</w:t>
            </w:r>
            <w:r>
              <w:rPr>
                <w:rFonts w:hint="eastAsia"/>
                <w:bCs/>
                <w:color w:val="0000FF"/>
              </w:rPr>
              <w:t>颗粒物经“水喷淋+干性过滤”处理后有组织排放浓度为</w:t>
            </w:r>
            <w:r>
              <w:rPr>
                <w:bCs/>
                <w:color w:val="0000FF"/>
              </w:rPr>
              <w:t>0.7539</w:t>
            </w:r>
            <w:r>
              <w:rPr>
                <w:rFonts w:hint="eastAsia"/>
                <w:bCs/>
                <w:color w:val="0000FF"/>
              </w:rPr>
              <w:t>mg/m³（见表4-1），符合技术要求，活性炭处理措施可行有效。</w:t>
            </w:r>
          </w:p>
          <w:p w14:paraId="2718EC5F">
            <w:pPr>
              <w:ind w:firstLine="480"/>
              <w:rPr>
                <w:bCs/>
              </w:rPr>
            </w:pPr>
            <w:r>
              <w:rPr>
                <w:rFonts w:hint="eastAsia"/>
                <w:bCs/>
              </w:rPr>
              <w:t>综上所述，本项目有组织废气处理效率见下表：</w:t>
            </w:r>
          </w:p>
          <w:p w14:paraId="2DA66AFB">
            <w:pPr>
              <w:pStyle w:val="11"/>
              <w:numPr>
                <w:ilvl w:val="0"/>
                <w:numId w:val="4"/>
              </w:numPr>
              <w:rPr>
                <w:bCs w:val="0"/>
              </w:rPr>
            </w:pPr>
            <w:r>
              <w:rPr>
                <w:bCs w:val="0"/>
              </w:rPr>
              <w:t>废气产生情况</w:t>
            </w:r>
          </w:p>
          <w:tbl>
            <w:tblPr>
              <w:tblStyle w:val="21"/>
              <w:tblW w:w="5000" w:type="pct"/>
              <w:tblInd w:w="0" w:type="dxa"/>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28" w:type="dxa"/>
                <w:bottom w:w="0" w:type="dxa"/>
                <w:right w:w="28" w:type="dxa"/>
              </w:tblCellMar>
            </w:tblPr>
            <w:tblGrid>
              <w:gridCol w:w="2605"/>
              <w:gridCol w:w="1671"/>
              <w:gridCol w:w="2402"/>
              <w:gridCol w:w="2565"/>
            </w:tblGrid>
            <w:tr w14:paraId="3DB27F02">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340" w:hRule="atLeast"/>
              </w:trPr>
              <w:tc>
                <w:tcPr>
                  <w:tcW w:w="1409" w:type="pct"/>
                  <w:noWrap/>
                  <w:vAlign w:val="center"/>
                </w:tcPr>
                <w:p w14:paraId="6462DC79">
                  <w:pPr>
                    <w:pStyle w:val="29"/>
                    <w:rPr>
                      <w:color w:val="EE0000"/>
                    </w:rPr>
                  </w:pPr>
                  <w:r>
                    <w:rPr>
                      <w:rFonts w:hint="eastAsia"/>
                      <w:color w:val="EE0000"/>
                    </w:rPr>
                    <w:t>污染源</w:t>
                  </w:r>
                </w:p>
              </w:tc>
              <w:tc>
                <w:tcPr>
                  <w:tcW w:w="904" w:type="pct"/>
                  <w:noWrap/>
                  <w:vAlign w:val="center"/>
                </w:tcPr>
                <w:p w14:paraId="3FB0FE20">
                  <w:pPr>
                    <w:pStyle w:val="29"/>
                    <w:rPr>
                      <w:color w:val="EE0000"/>
                    </w:rPr>
                  </w:pPr>
                  <w:r>
                    <w:rPr>
                      <w:rFonts w:hint="eastAsia"/>
                      <w:color w:val="EE0000"/>
                    </w:rPr>
                    <w:t>污染因子</w:t>
                  </w:r>
                </w:p>
              </w:tc>
              <w:tc>
                <w:tcPr>
                  <w:tcW w:w="1299" w:type="pct"/>
                  <w:vAlign w:val="center"/>
                </w:tcPr>
                <w:p w14:paraId="0411E83F">
                  <w:pPr>
                    <w:pStyle w:val="29"/>
                    <w:rPr>
                      <w:color w:val="EE0000"/>
                    </w:rPr>
                  </w:pPr>
                  <w:r>
                    <w:rPr>
                      <w:rFonts w:hint="eastAsia"/>
                      <w:color w:val="EE0000"/>
                    </w:rPr>
                    <w:t>处理方式</w:t>
                  </w:r>
                </w:p>
              </w:tc>
              <w:tc>
                <w:tcPr>
                  <w:tcW w:w="1388" w:type="pct"/>
                  <w:vAlign w:val="center"/>
                </w:tcPr>
                <w:p w14:paraId="3E076B77">
                  <w:pPr>
                    <w:pStyle w:val="29"/>
                    <w:rPr>
                      <w:color w:val="EE0000"/>
                    </w:rPr>
                  </w:pPr>
                  <w:r>
                    <w:rPr>
                      <w:rFonts w:hint="eastAsia"/>
                      <w:color w:val="EE0000"/>
                    </w:rPr>
                    <w:t>处理效率</w:t>
                  </w:r>
                </w:p>
              </w:tc>
            </w:tr>
            <w:tr w14:paraId="65F02B79">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340" w:hRule="atLeast"/>
              </w:trPr>
              <w:tc>
                <w:tcPr>
                  <w:tcW w:w="1409" w:type="pct"/>
                  <w:noWrap/>
                  <w:vAlign w:val="center"/>
                </w:tcPr>
                <w:p w14:paraId="03BF5436">
                  <w:pPr>
                    <w:pStyle w:val="29"/>
                    <w:rPr>
                      <w:color w:val="EE0000"/>
                    </w:rPr>
                  </w:pPr>
                  <w:r>
                    <w:rPr>
                      <w:color w:val="EE0000"/>
                    </w:rPr>
                    <w:t>注塑废气</w:t>
                  </w:r>
                </w:p>
              </w:tc>
              <w:tc>
                <w:tcPr>
                  <w:tcW w:w="904" w:type="pct"/>
                  <w:noWrap/>
                  <w:vAlign w:val="center"/>
                </w:tcPr>
                <w:p w14:paraId="5E0E3EFB">
                  <w:pPr>
                    <w:pStyle w:val="29"/>
                    <w:rPr>
                      <w:color w:val="EE0000"/>
                    </w:rPr>
                  </w:pPr>
                  <w:r>
                    <w:rPr>
                      <w:rFonts w:hint="eastAsia"/>
                      <w:color w:val="EE0000"/>
                    </w:rPr>
                    <w:t>VOCs</w:t>
                  </w:r>
                </w:p>
              </w:tc>
              <w:tc>
                <w:tcPr>
                  <w:tcW w:w="1299" w:type="pct"/>
                  <w:vMerge w:val="restart"/>
                  <w:vAlign w:val="center"/>
                </w:tcPr>
                <w:p w14:paraId="63931932">
                  <w:pPr>
                    <w:pStyle w:val="29"/>
                    <w:rPr>
                      <w:color w:val="EE0000"/>
                    </w:rPr>
                  </w:pPr>
                  <w:r>
                    <w:rPr>
                      <w:color w:val="EE0000"/>
                    </w:rPr>
                    <w:t>水喷淋+干式过滤+二级活性炭吸附</w:t>
                  </w:r>
                </w:p>
              </w:tc>
              <w:tc>
                <w:tcPr>
                  <w:tcW w:w="1388" w:type="pct"/>
                </w:tcPr>
                <w:p w14:paraId="1D3A703A">
                  <w:pPr>
                    <w:pStyle w:val="29"/>
                    <w:rPr>
                      <w:color w:val="EE0000"/>
                    </w:rPr>
                  </w:pPr>
                  <w:r>
                    <w:rPr>
                      <w:rFonts w:hint="eastAsia"/>
                      <w:color w:val="EE0000"/>
                    </w:rPr>
                    <w:t>80%</w:t>
                  </w:r>
                </w:p>
              </w:tc>
            </w:tr>
            <w:tr w14:paraId="191F83BB">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340" w:hRule="atLeast"/>
              </w:trPr>
              <w:tc>
                <w:tcPr>
                  <w:tcW w:w="1409" w:type="pct"/>
                  <w:noWrap/>
                  <w:vAlign w:val="center"/>
                </w:tcPr>
                <w:p w14:paraId="49C0A8F5">
                  <w:pPr>
                    <w:pStyle w:val="29"/>
                    <w:rPr>
                      <w:color w:val="EE0000"/>
                    </w:rPr>
                  </w:pPr>
                  <w:r>
                    <w:rPr>
                      <w:rFonts w:hint="eastAsia"/>
                      <w:color w:val="EE0000"/>
                    </w:rPr>
                    <w:t>胶合废气</w:t>
                  </w:r>
                </w:p>
              </w:tc>
              <w:tc>
                <w:tcPr>
                  <w:tcW w:w="904" w:type="pct"/>
                  <w:noWrap/>
                  <w:vAlign w:val="center"/>
                </w:tcPr>
                <w:p w14:paraId="7F1E9D56">
                  <w:pPr>
                    <w:pStyle w:val="29"/>
                    <w:rPr>
                      <w:color w:val="EE0000"/>
                    </w:rPr>
                  </w:pPr>
                  <w:r>
                    <w:rPr>
                      <w:rFonts w:hint="eastAsia"/>
                      <w:color w:val="EE0000"/>
                    </w:rPr>
                    <w:t>VOCs</w:t>
                  </w:r>
                </w:p>
              </w:tc>
              <w:tc>
                <w:tcPr>
                  <w:tcW w:w="1299" w:type="pct"/>
                  <w:vMerge w:val="continue"/>
                  <w:vAlign w:val="center"/>
                </w:tcPr>
                <w:p w14:paraId="5486E061">
                  <w:pPr>
                    <w:pStyle w:val="29"/>
                    <w:rPr>
                      <w:color w:val="EE0000"/>
                    </w:rPr>
                  </w:pPr>
                </w:p>
              </w:tc>
              <w:tc>
                <w:tcPr>
                  <w:tcW w:w="1388" w:type="pct"/>
                </w:tcPr>
                <w:p w14:paraId="555AD80E">
                  <w:pPr>
                    <w:pStyle w:val="29"/>
                    <w:rPr>
                      <w:color w:val="EE0000"/>
                    </w:rPr>
                  </w:pPr>
                  <w:r>
                    <w:rPr>
                      <w:rFonts w:hint="eastAsia"/>
                      <w:color w:val="EE0000"/>
                    </w:rPr>
                    <w:t>80%</w:t>
                  </w:r>
                </w:p>
              </w:tc>
            </w:tr>
            <w:tr w14:paraId="28468073">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340" w:hRule="atLeast"/>
              </w:trPr>
              <w:tc>
                <w:tcPr>
                  <w:tcW w:w="1409" w:type="pct"/>
                  <w:noWrap/>
                  <w:vAlign w:val="center"/>
                </w:tcPr>
                <w:p w14:paraId="690D4CF6">
                  <w:pPr>
                    <w:pStyle w:val="29"/>
                    <w:rPr>
                      <w:color w:val="EE0000"/>
                    </w:rPr>
                  </w:pPr>
                  <w:r>
                    <w:rPr>
                      <w:color w:val="EE0000"/>
                    </w:rPr>
                    <w:t>印刷废气</w:t>
                  </w:r>
                </w:p>
              </w:tc>
              <w:tc>
                <w:tcPr>
                  <w:tcW w:w="904" w:type="pct"/>
                  <w:noWrap/>
                  <w:vAlign w:val="center"/>
                </w:tcPr>
                <w:p w14:paraId="3E4E63C4">
                  <w:pPr>
                    <w:pStyle w:val="29"/>
                    <w:rPr>
                      <w:color w:val="EE0000"/>
                    </w:rPr>
                  </w:pPr>
                  <w:r>
                    <w:rPr>
                      <w:rFonts w:hint="eastAsia"/>
                      <w:color w:val="EE0000"/>
                    </w:rPr>
                    <w:t>VOCs</w:t>
                  </w:r>
                </w:p>
              </w:tc>
              <w:tc>
                <w:tcPr>
                  <w:tcW w:w="1299" w:type="pct"/>
                  <w:vMerge w:val="continue"/>
                  <w:vAlign w:val="center"/>
                </w:tcPr>
                <w:p w14:paraId="60562D58">
                  <w:pPr>
                    <w:pStyle w:val="29"/>
                    <w:rPr>
                      <w:color w:val="EE0000"/>
                    </w:rPr>
                  </w:pPr>
                </w:p>
              </w:tc>
              <w:tc>
                <w:tcPr>
                  <w:tcW w:w="1388" w:type="pct"/>
                </w:tcPr>
                <w:p w14:paraId="65166C52">
                  <w:pPr>
                    <w:pStyle w:val="29"/>
                    <w:rPr>
                      <w:color w:val="EE0000"/>
                    </w:rPr>
                  </w:pPr>
                  <w:r>
                    <w:rPr>
                      <w:rFonts w:hint="eastAsia"/>
                      <w:color w:val="EE0000"/>
                    </w:rPr>
                    <w:t>80%</w:t>
                  </w:r>
                </w:p>
              </w:tc>
            </w:tr>
            <w:tr w14:paraId="14213214">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340" w:hRule="atLeast"/>
              </w:trPr>
              <w:tc>
                <w:tcPr>
                  <w:tcW w:w="1409" w:type="pct"/>
                  <w:noWrap/>
                  <w:vAlign w:val="center"/>
                </w:tcPr>
                <w:p w14:paraId="33BA7C84">
                  <w:pPr>
                    <w:pStyle w:val="29"/>
                    <w:rPr>
                      <w:color w:val="EE0000"/>
                    </w:rPr>
                  </w:pPr>
                  <w:r>
                    <w:rPr>
                      <w:color w:val="EE0000"/>
                    </w:rPr>
                    <w:t>喷漆废气</w:t>
                  </w:r>
                </w:p>
              </w:tc>
              <w:tc>
                <w:tcPr>
                  <w:tcW w:w="904" w:type="pct"/>
                  <w:noWrap/>
                  <w:vAlign w:val="center"/>
                </w:tcPr>
                <w:p w14:paraId="1447AB66">
                  <w:pPr>
                    <w:pStyle w:val="29"/>
                    <w:rPr>
                      <w:color w:val="EE0000"/>
                    </w:rPr>
                  </w:pPr>
                  <w:r>
                    <w:rPr>
                      <w:rFonts w:hint="eastAsia"/>
                      <w:color w:val="EE0000"/>
                    </w:rPr>
                    <w:t>VOCs</w:t>
                  </w:r>
                </w:p>
              </w:tc>
              <w:tc>
                <w:tcPr>
                  <w:tcW w:w="1299" w:type="pct"/>
                  <w:vMerge w:val="restart"/>
                  <w:vAlign w:val="center"/>
                </w:tcPr>
                <w:p w14:paraId="1C871A8F">
                  <w:pPr>
                    <w:pStyle w:val="29"/>
                    <w:rPr>
                      <w:color w:val="EE0000"/>
                    </w:rPr>
                  </w:pPr>
                  <w:r>
                    <w:rPr>
                      <w:color w:val="EE0000"/>
                    </w:rPr>
                    <w:t>水帘柜</w:t>
                  </w:r>
                  <w:r>
                    <w:rPr>
                      <w:rFonts w:hint="eastAsia"/>
                      <w:color w:val="EE0000"/>
                    </w:rPr>
                    <w:t>+</w:t>
                  </w:r>
                  <w:r>
                    <w:rPr>
                      <w:color w:val="EE0000"/>
                    </w:rPr>
                    <w:t>水喷淋+干式过滤+二级活性炭吸附</w:t>
                  </w:r>
                </w:p>
              </w:tc>
              <w:tc>
                <w:tcPr>
                  <w:tcW w:w="1388" w:type="pct"/>
                </w:tcPr>
                <w:p w14:paraId="0612A3C3">
                  <w:pPr>
                    <w:pStyle w:val="29"/>
                    <w:rPr>
                      <w:color w:val="EE0000"/>
                    </w:rPr>
                  </w:pPr>
                  <w:r>
                    <w:rPr>
                      <w:rFonts w:hint="eastAsia"/>
                      <w:color w:val="EE0000"/>
                    </w:rPr>
                    <w:t>80%</w:t>
                  </w:r>
                </w:p>
              </w:tc>
            </w:tr>
            <w:tr w14:paraId="1EB89F90">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340" w:hRule="atLeast"/>
              </w:trPr>
              <w:tc>
                <w:tcPr>
                  <w:tcW w:w="1409" w:type="pct"/>
                  <w:noWrap/>
                  <w:vAlign w:val="center"/>
                </w:tcPr>
                <w:p w14:paraId="588AF29F">
                  <w:pPr>
                    <w:pStyle w:val="29"/>
                    <w:rPr>
                      <w:color w:val="EE0000"/>
                    </w:rPr>
                  </w:pPr>
                  <w:r>
                    <w:rPr>
                      <w:color w:val="EE0000"/>
                    </w:rPr>
                    <w:t>喷漆烘干废气</w:t>
                  </w:r>
                </w:p>
              </w:tc>
              <w:tc>
                <w:tcPr>
                  <w:tcW w:w="904" w:type="pct"/>
                  <w:noWrap/>
                  <w:vAlign w:val="center"/>
                </w:tcPr>
                <w:p w14:paraId="658A90EE">
                  <w:pPr>
                    <w:pStyle w:val="29"/>
                    <w:rPr>
                      <w:color w:val="EE0000"/>
                    </w:rPr>
                  </w:pPr>
                  <w:r>
                    <w:rPr>
                      <w:rFonts w:hint="eastAsia"/>
                      <w:color w:val="EE0000"/>
                    </w:rPr>
                    <w:t>VOCs</w:t>
                  </w:r>
                </w:p>
              </w:tc>
              <w:tc>
                <w:tcPr>
                  <w:tcW w:w="1299" w:type="pct"/>
                  <w:vMerge w:val="continue"/>
                  <w:vAlign w:val="center"/>
                </w:tcPr>
                <w:p w14:paraId="0FE6EC21">
                  <w:pPr>
                    <w:pStyle w:val="29"/>
                    <w:rPr>
                      <w:color w:val="EE0000"/>
                    </w:rPr>
                  </w:pPr>
                </w:p>
              </w:tc>
              <w:tc>
                <w:tcPr>
                  <w:tcW w:w="1388" w:type="pct"/>
                </w:tcPr>
                <w:p w14:paraId="28FD7685">
                  <w:pPr>
                    <w:pStyle w:val="29"/>
                    <w:rPr>
                      <w:color w:val="EE0000"/>
                    </w:rPr>
                  </w:pPr>
                  <w:r>
                    <w:rPr>
                      <w:rFonts w:hint="eastAsia"/>
                      <w:color w:val="EE0000"/>
                    </w:rPr>
                    <w:t>80%</w:t>
                  </w:r>
                </w:p>
              </w:tc>
            </w:tr>
            <w:tr w14:paraId="1C5C284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340" w:hRule="atLeast"/>
              </w:trPr>
              <w:tc>
                <w:tcPr>
                  <w:tcW w:w="1409" w:type="pct"/>
                  <w:noWrap/>
                  <w:vAlign w:val="center"/>
                </w:tcPr>
                <w:p w14:paraId="2BCE2996">
                  <w:pPr>
                    <w:pStyle w:val="29"/>
                    <w:rPr>
                      <w:color w:val="EE0000"/>
                    </w:rPr>
                  </w:pPr>
                  <w:r>
                    <w:rPr>
                      <w:color w:val="EE0000"/>
                    </w:rPr>
                    <w:t>漆雾废气</w:t>
                  </w:r>
                </w:p>
              </w:tc>
              <w:tc>
                <w:tcPr>
                  <w:tcW w:w="904" w:type="pct"/>
                  <w:noWrap/>
                  <w:vAlign w:val="center"/>
                </w:tcPr>
                <w:p w14:paraId="1F1E23E7">
                  <w:pPr>
                    <w:pStyle w:val="29"/>
                    <w:rPr>
                      <w:color w:val="EE0000"/>
                    </w:rPr>
                  </w:pPr>
                  <w:r>
                    <w:rPr>
                      <w:color w:val="EE0000"/>
                    </w:rPr>
                    <w:t>颗粒物</w:t>
                  </w:r>
                </w:p>
              </w:tc>
              <w:tc>
                <w:tcPr>
                  <w:tcW w:w="1299" w:type="pct"/>
                  <w:vMerge w:val="continue"/>
                  <w:vAlign w:val="center"/>
                </w:tcPr>
                <w:p w14:paraId="62542889">
                  <w:pPr>
                    <w:pStyle w:val="29"/>
                    <w:rPr>
                      <w:color w:val="EE0000"/>
                    </w:rPr>
                  </w:pPr>
                </w:p>
              </w:tc>
              <w:tc>
                <w:tcPr>
                  <w:tcW w:w="1388" w:type="pct"/>
                  <w:vAlign w:val="center"/>
                </w:tcPr>
                <w:p w14:paraId="51A404E2">
                  <w:pPr>
                    <w:pStyle w:val="29"/>
                    <w:rPr>
                      <w:color w:val="EE0000"/>
                    </w:rPr>
                  </w:pPr>
                  <w:r>
                    <w:rPr>
                      <w:rFonts w:hint="eastAsia"/>
                      <w:color w:val="EE0000"/>
                    </w:rPr>
                    <w:t>95.5%</w:t>
                  </w:r>
                </w:p>
              </w:tc>
            </w:tr>
          </w:tbl>
          <w:p w14:paraId="65DD1ED7">
            <w:pPr>
              <w:ind w:firstLine="480"/>
              <w:jc w:val="center"/>
              <w:rPr>
                <w:bCs/>
              </w:rPr>
            </w:pPr>
          </w:p>
          <w:bookmarkEnd w:id="11"/>
          <w:p w14:paraId="0B6A474E">
            <w:pPr>
              <w:ind w:firstLine="480"/>
              <w:rPr>
                <w:bCs/>
              </w:rPr>
            </w:pPr>
            <w:r>
              <w:rPr>
                <w:bCs/>
              </w:rPr>
              <w:t>4.排气筒排放情况</w:t>
            </w:r>
          </w:p>
          <w:p w14:paraId="073E2DFE">
            <w:pPr>
              <w:ind w:firstLine="480"/>
              <w:rPr>
                <w:bCs/>
              </w:rPr>
            </w:pPr>
            <w:r>
              <w:rPr>
                <w:bCs/>
              </w:rPr>
              <w:t>项目生产过程中产生的大气污染物经废气处理设施处理后通过1根65米高的排气筒（DA001）排放。项目排气筒废气排放情况见下表。</w:t>
            </w:r>
          </w:p>
          <w:p w14:paraId="777714A7">
            <w:pPr>
              <w:pStyle w:val="11"/>
              <w:numPr>
                <w:ilvl w:val="0"/>
                <w:numId w:val="4"/>
              </w:numPr>
              <w:rPr>
                <w:bCs w:val="0"/>
              </w:rPr>
            </w:pPr>
            <w:r>
              <w:rPr>
                <w:bCs w:val="0"/>
              </w:rPr>
              <w:t>项目排气口基本情况</w:t>
            </w:r>
          </w:p>
          <w:tbl>
            <w:tblPr>
              <w:tblStyle w:val="21"/>
              <w:tblW w:w="9110" w:type="dxa"/>
              <w:tblInd w:w="0" w:type="dxa"/>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28" w:type="dxa"/>
                <w:bottom w:w="0" w:type="dxa"/>
                <w:right w:w="28" w:type="dxa"/>
              </w:tblCellMar>
            </w:tblPr>
            <w:tblGrid>
              <w:gridCol w:w="744"/>
              <w:gridCol w:w="913"/>
              <w:gridCol w:w="1498"/>
              <w:gridCol w:w="1275"/>
              <w:gridCol w:w="1281"/>
              <w:gridCol w:w="709"/>
              <w:gridCol w:w="709"/>
              <w:gridCol w:w="567"/>
              <w:gridCol w:w="709"/>
              <w:gridCol w:w="705"/>
            </w:tblGrid>
            <w:tr w14:paraId="65DB747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65" w:hRule="atLeast"/>
              </w:trPr>
              <w:tc>
                <w:tcPr>
                  <w:tcW w:w="409" w:type="pct"/>
                  <w:vMerge w:val="restart"/>
                  <w:vAlign w:val="center"/>
                </w:tcPr>
                <w:p w14:paraId="2E605164">
                  <w:pPr>
                    <w:pStyle w:val="29"/>
                    <w:rPr>
                      <w:b/>
                    </w:rPr>
                  </w:pPr>
                  <w:r>
                    <w:rPr>
                      <w:b/>
                    </w:rPr>
                    <w:t>编号</w:t>
                  </w:r>
                </w:p>
              </w:tc>
              <w:tc>
                <w:tcPr>
                  <w:tcW w:w="501" w:type="pct"/>
                  <w:vMerge w:val="restart"/>
                  <w:vAlign w:val="center"/>
                </w:tcPr>
                <w:p w14:paraId="401F3395">
                  <w:pPr>
                    <w:pStyle w:val="29"/>
                    <w:rPr>
                      <w:b/>
                    </w:rPr>
                  </w:pPr>
                  <w:r>
                    <w:rPr>
                      <w:b/>
                    </w:rPr>
                    <w:t>污染源</w:t>
                  </w:r>
                </w:p>
              </w:tc>
              <w:tc>
                <w:tcPr>
                  <w:tcW w:w="822" w:type="pct"/>
                  <w:vMerge w:val="restart"/>
                  <w:vAlign w:val="center"/>
                </w:tcPr>
                <w:p w14:paraId="1DD5FF61">
                  <w:pPr>
                    <w:pStyle w:val="29"/>
                    <w:rPr>
                      <w:b/>
                    </w:rPr>
                  </w:pPr>
                  <w:r>
                    <w:rPr>
                      <w:b/>
                    </w:rPr>
                    <w:t>污染物种类</w:t>
                  </w:r>
                </w:p>
              </w:tc>
              <w:tc>
                <w:tcPr>
                  <w:tcW w:w="1403" w:type="pct"/>
                  <w:gridSpan w:val="2"/>
                  <w:vAlign w:val="center"/>
                </w:tcPr>
                <w:p w14:paraId="35B2F944">
                  <w:pPr>
                    <w:pStyle w:val="29"/>
                    <w:rPr>
                      <w:b/>
                    </w:rPr>
                  </w:pPr>
                  <w:r>
                    <w:rPr>
                      <w:b/>
                    </w:rPr>
                    <w:t>排放口地理坐标</w:t>
                  </w:r>
                </w:p>
              </w:tc>
              <w:tc>
                <w:tcPr>
                  <w:tcW w:w="389" w:type="pct"/>
                  <w:vMerge w:val="restart"/>
                  <w:vAlign w:val="center"/>
                </w:tcPr>
                <w:p w14:paraId="2E11750E">
                  <w:pPr>
                    <w:pStyle w:val="29"/>
                    <w:rPr>
                      <w:b/>
                    </w:rPr>
                  </w:pPr>
                  <w:r>
                    <w:rPr>
                      <w:b/>
                    </w:rPr>
                    <w:t>排气温度℃</w:t>
                  </w:r>
                </w:p>
              </w:tc>
              <w:tc>
                <w:tcPr>
                  <w:tcW w:w="389" w:type="pct"/>
                  <w:vMerge w:val="restart"/>
                  <w:vAlign w:val="center"/>
                </w:tcPr>
                <w:p w14:paraId="6EC45B45">
                  <w:pPr>
                    <w:pStyle w:val="29"/>
                    <w:rPr>
                      <w:b/>
                    </w:rPr>
                  </w:pPr>
                  <w:r>
                    <w:rPr>
                      <w:b/>
                    </w:rPr>
                    <w:t>烟气流速m/s</w:t>
                  </w:r>
                </w:p>
              </w:tc>
              <w:tc>
                <w:tcPr>
                  <w:tcW w:w="700" w:type="pct"/>
                  <w:gridSpan w:val="2"/>
                  <w:vAlign w:val="center"/>
                </w:tcPr>
                <w:p w14:paraId="7DEE6750">
                  <w:pPr>
                    <w:pStyle w:val="29"/>
                    <w:rPr>
                      <w:b/>
                    </w:rPr>
                  </w:pPr>
                  <w:r>
                    <w:rPr>
                      <w:b/>
                    </w:rPr>
                    <w:t>排气筒</w:t>
                  </w:r>
                </w:p>
              </w:tc>
              <w:tc>
                <w:tcPr>
                  <w:tcW w:w="389" w:type="pct"/>
                  <w:vMerge w:val="restart"/>
                  <w:vAlign w:val="center"/>
                </w:tcPr>
                <w:p w14:paraId="3DFE7501">
                  <w:pPr>
                    <w:pStyle w:val="29"/>
                    <w:rPr>
                      <w:b/>
                    </w:rPr>
                  </w:pPr>
                  <w:r>
                    <w:rPr>
                      <w:b/>
                    </w:rPr>
                    <w:t>类型</w:t>
                  </w:r>
                </w:p>
              </w:tc>
            </w:tr>
            <w:tr w14:paraId="2DBD9C02">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340" w:hRule="atLeast"/>
              </w:trPr>
              <w:tc>
                <w:tcPr>
                  <w:tcW w:w="409" w:type="pct"/>
                  <w:vMerge w:val="continue"/>
                  <w:vAlign w:val="center"/>
                </w:tcPr>
                <w:p w14:paraId="2F0FCF8D">
                  <w:pPr>
                    <w:pStyle w:val="29"/>
                    <w:rPr>
                      <w:b/>
                    </w:rPr>
                  </w:pPr>
                </w:p>
              </w:tc>
              <w:tc>
                <w:tcPr>
                  <w:tcW w:w="501" w:type="pct"/>
                  <w:vMerge w:val="continue"/>
                  <w:vAlign w:val="center"/>
                </w:tcPr>
                <w:p w14:paraId="0C9A114B">
                  <w:pPr>
                    <w:pStyle w:val="29"/>
                    <w:rPr>
                      <w:b/>
                    </w:rPr>
                  </w:pPr>
                </w:p>
              </w:tc>
              <w:tc>
                <w:tcPr>
                  <w:tcW w:w="822" w:type="pct"/>
                  <w:vMerge w:val="continue"/>
                  <w:vAlign w:val="center"/>
                </w:tcPr>
                <w:p w14:paraId="0D961F26">
                  <w:pPr>
                    <w:pStyle w:val="29"/>
                    <w:rPr>
                      <w:b/>
                    </w:rPr>
                  </w:pPr>
                </w:p>
              </w:tc>
              <w:tc>
                <w:tcPr>
                  <w:tcW w:w="700" w:type="pct"/>
                  <w:vAlign w:val="center"/>
                </w:tcPr>
                <w:p w14:paraId="5335B16C">
                  <w:pPr>
                    <w:pStyle w:val="29"/>
                    <w:rPr>
                      <w:b/>
                    </w:rPr>
                  </w:pPr>
                  <w:r>
                    <w:rPr>
                      <w:b/>
                    </w:rPr>
                    <w:t>经度（E）</w:t>
                  </w:r>
                </w:p>
              </w:tc>
              <w:tc>
                <w:tcPr>
                  <w:tcW w:w="703" w:type="pct"/>
                  <w:vAlign w:val="center"/>
                </w:tcPr>
                <w:p w14:paraId="4DE4540D">
                  <w:pPr>
                    <w:pStyle w:val="29"/>
                    <w:rPr>
                      <w:b/>
                    </w:rPr>
                  </w:pPr>
                  <w:r>
                    <w:rPr>
                      <w:b/>
                    </w:rPr>
                    <w:t>纬度（N）</w:t>
                  </w:r>
                </w:p>
              </w:tc>
              <w:tc>
                <w:tcPr>
                  <w:tcW w:w="389" w:type="pct"/>
                  <w:vMerge w:val="continue"/>
                  <w:vAlign w:val="center"/>
                </w:tcPr>
                <w:p w14:paraId="4B794C11">
                  <w:pPr>
                    <w:pStyle w:val="29"/>
                    <w:rPr>
                      <w:b/>
                    </w:rPr>
                  </w:pPr>
                </w:p>
              </w:tc>
              <w:tc>
                <w:tcPr>
                  <w:tcW w:w="389" w:type="pct"/>
                  <w:vMerge w:val="continue"/>
                  <w:vAlign w:val="center"/>
                </w:tcPr>
                <w:p w14:paraId="0767FDBF">
                  <w:pPr>
                    <w:pStyle w:val="29"/>
                    <w:rPr>
                      <w:b/>
                    </w:rPr>
                  </w:pPr>
                </w:p>
              </w:tc>
              <w:tc>
                <w:tcPr>
                  <w:tcW w:w="311" w:type="pct"/>
                  <w:vAlign w:val="center"/>
                </w:tcPr>
                <w:p w14:paraId="3B7E4C7F">
                  <w:pPr>
                    <w:pStyle w:val="29"/>
                    <w:rPr>
                      <w:b/>
                    </w:rPr>
                  </w:pPr>
                  <w:r>
                    <w:rPr>
                      <w:b/>
                    </w:rPr>
                    <w:t>高度m</w:t>
                  </w:r>
                </w:p>
              </w:tc>
              <w:tc>
                <w:tcPr>
                  <w:tcW w:w="389" w:type="pct"/>
                  <w:vAlign w:val="center"/>
                </w:tcPr>
                <w:p w14:paraId="7749823E">
                  <w:pPr>
                    <w:pStyle w:val="29"/>
                    <w:rPr>
                      <w:b/>
                    </w:rPr>
                  </w:pPr>
                  <w:r>
                    <w:rPr>
                      <w:b/>
                    </w:rPr>
                    <w:t>出口内径m</w:t>
                  </w:r>
                </w:p>
              </w:tc>
              <w:tc>
                <w:tcPr>
                  <w:tcW w:w="389" w:type="pct"/>
                  <w:vMerge w:val="continue"/>
                  <w:vAlign w:val="center"/>
                </w:tcPr>
                <w:p w14:paraId="5A168A1F">
                  <w:pPr>
                    <w:pStyle w:val="29"/>
                    <w:rPr>
                      <w:b/>
                    </w:rPr>
                  </w:pPr>
                </w:p>
              </w:tc>
            </w:tr>
            <w:tr w14:paraId="28CD7DEE">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340" w:hRule="atLeast"/>
              </w:trPr>
              <w:tc>
                <w:tcPr>
                  <w:tcW w:w="409" w:type="pct"/>
                  <w:vAlign w:val="center"/>
                </w:tcPr>
                <w:p w14:paraId="5E16BCE9">
                  <w:pPr>
                    <w:pStyle w:val="29"/>
                    <w:rPr>
                      <w:bCs/>
                    </w:rPr>
                  </w:pPr>
                  <w:r>
                    <w:rPr>
                      <w:bCs/>
                    </w:rPr>
                    <w:t>DA001</w:t>
                  </w:r>
                </w:p>
              </w:tc>
              <w:tc>
                <w:tcPr>
                  <w:tcW w:w="501" w:type="pct"/>
                  <w:vAlign w:val="center"/>
                </w:tcPr>
                <w:p w14:paraId="295A1BB9">
                  <w:pPr>
                    <w:pStyle w:val="29"/>
                    <w:rPr>
                      <w:bCs/>
                    </w:rPr>
                  </w:pPr>
                  <w:r>
                    <w:rPr>
                      <w:bCs/>
                    </w:rPr>
                    <w:t>有机废气、漆雾废气</w:t>
                  </w:r>
                </w:p>
              </w:tc>
              <w:tc>
                <w:tcPr>
                  <w:tcW w:w="822" w:type="pct"/>
                  <w:vAlign w:val="center"/>
                </w:tcPr>
                <w:p w14:paraId="00E66353">
                  <w:pPr>
                    <w:pStyle w:val="29"/>
                    <w:rPr>
                      <w:bCs/>
                    </w:rPr>
                  </w:pPr>
                  <w:r>
                    <w:rPr>
                      <w:bCs/>
                    </w:rPr>
                    <w:t>非甲烷总烃、</w:t>
                  </w:r>
                  <w:r>
                    <w:rPr>
                      <w:rFonts w:hint="eastAsia"/>
                      <w:bCs/>
                      <w:color w:val="EE0000"/>
                    </w:rPr>
                    <w:t>TVOC、</w:t>
                  </w:r>
                  <w:r>
                    <w:rPr>
                      <w:bCs/>
                    </w:rPr>
                    <w:t>总VOCs、颗粒物、臭气浓度</w:t>
                  </w:r>
                </w:p>
              </w:tc>
              <w:tc>
                <w:tcPr>
                  <w:tcW w:w="700" w:type="pct"/>
                  <w:vAlign w:val="center"/>
                </w:tcPr>
                <w:p w14:paraId="217D15D6">
                  <w:pPr>
                    <w:pStyle w:val="29"/>
                    <w:rPr>
                      <w:bCs/>
                    </w:rPr>
                  </w:pPr>
                  <w:r>
                    <w:rPr>
                      <w:bCs/>
                    </w:rPr>
                    <w:t>114°0′44.114″</w:t>
                  </w:r>
                </w:p>
              </w:tc>
              <w:tc>
                <w:tcPr>
                  <w:tcW w:w="703" w:type="pct"/>
                  <w:vAlign w:val="center"/>
                </w:tcPr>
                <w:p w14:paraId="56BB6C70">
                  <w:pPr>
                    <w:pStyle w:val="29"/>
                    <w:rPr>
                      <w:bCs/>
                    </w:rPr>
                  </w:pPr>
                  <w:r>
                    <w:rPr>
                      <w:bCs/>
                    </w:rPr>
                    <w:t>23°6′37.280″</w:t>
                  </w:r>
                </w:p>
              </w:tc>
              <w:tc>
                <w:tcPr>
                  <w:tcW w:w="389" w:type="pct"/>
                  <w:vAlign w:val="center"/>
                </w:tcPr>
                <w:p w14:paraId="6F3BE4C8">
                  <w:pPr>
                    <w:pStyle w:val="29"/>
                    <w:rPr>
                      <w:bCs/>
                    </w:rPr>
                  </w:pPr>
                  <w:r>
                    <w:rPr>
                      <w:bCs/>
                    </w:rPr>
                    <w:t>25</w:t>
                  </w:r>
                </w:p>
              </w:tc>
              <w:tc>
                <w:tcPr>
                  <w:tcW w:w="389" w:type="pct"/>
                  <w:vAlign w:val="center"/>
                </w:tcPr>
                <w:p w14:paraId="67C4B7F4">
                  <w:pPr>
                    <w:pStyle w:val="29"/>
                    <w:rPr>
                      <w:bCs/>
                    </w:rPr>
                  </w:pPr>
                  <w:r>
                    <w:rPr>
                      <w:bCs/>
                    </w:rPr>
                    <w:t>15.68</w:t>
                  </w:r>
                </w:p>
              </w:tc>
              <w:tc>
                <w:tcPr>
                  <w:tcW w:w="311" w:type="pct"/>
                  <w:vAlign w:val="center"/>
                </w:tcPr>
                <w:p w14:paraId="00D1E9AE">
                  <w:pPr>
                    <w:pStyle w:val="29"/>
                    <w:rPr>
                      <w:bCs/>
                    </w:rPr>
                  </w:pPr>
                  <w:r>
                    <w:rPr>
                      <w:bCs/>
                    </w:rPr>
                    <w:t>65</w:t>
                  </w:r>
                </w:p>
              </w:tc>
              <w:tc>
                <w:tcPr>
                  <w:tcW w:w="389" w:type="pct"/>
                  <w:vAlign w:val="center"/>
                </w:tcPr>
                <w:p w14:paraId="0FFE6A1E">
                  <w:pPr>
                    <w:pStyle w:val="29"/>
                    <w:rPr>
                      <w:bCs/>
                    </w:rPr>
                  </w:pPr>
                  <w:r>
                    <w:rPr>
                      <w:bCs/>
                    </w:rPr>
                    <w:t>0.96</w:t>
                  </w:r>
                </w:p>
              </w:tc>
              <w:tc>
                <w:tcPr>
                  <w:tcW w:w="389" w:type="pct"/>
                  <w:vAlign w:val="center"/>
                </w:tcPr>
                <w:p w14:paraId="76A165DB">
                  <w:pPr>
                    <w:pStyle w:val="29"/>
                    <w:rPr>
                      <w:bCs/>
                    </w:rPr>
                  </w:pPr>
                  <w:r>
                    <w:rPr>
                      <w:bCs/>
                    </w:rPr>
                    <w:t>一般排放口</w:t>
                  </w:r>
                </w:p>
              </w:tc>
            </w:tr>
          </w:tbl>
          <w:p w14:paraId="6E64DCF7">
            <w:pPr>
              <w:ind w:firstLine="480"/>
              <w:rPr>
                <w:bCs/>
              </w:rPr>
            </w:pPr>
            <w:r>
              <w:rPr>
                <w:bCs/>
              </w:rPr>
              <w:t>5.大气污染物监测要求</w:t>
            </w:r>
          </w:p>
          <w:p w14:paraId="2E7DD0D7">
            <w:pPr>
              <w:ind w:firstLine="480"/>
              <w:rPr>
                <w:bCs/>
              </w:rPr>
            </w:pPr>
            <w:r>
              <w:rPr>
                <w:bCs/>
              </w:rPr>
              <w:t>根据《固定污染源排污许可分类管理名录（2019年版）》（部令第11号），本项目属于登记管理类排污单位，根据《排污单位自行监测技术指南 橡胶和塑料制品》（HJ 1207-2021）非重点排污单位监测要求，项目监测计划见下表。</w:t>
            </w:r>
          </w:p>
          <w:p w14:paraId="2BC18B2B">
            <w:pPr>
              <w:pStyle w:val="11"/>
              <w:numPr>
                <w:ilvl w:val="0"/>
                <w:numId w:val="4"/>
              </w:numPr>
              <w:rPr>
                <w:bCs w:val="0"/>
              </w:rPr>
            </w:pPr>
            <w:r>
              <w:rPr>
                <w:bCs w:val="0"/>
              </w:rPr>
              <w:t>废气监测计划一览表</w:t>
            </w:r>
          </w:p>
          <w:tbl>
            <w:tblPr>
              <w:tblStyle w:val="21"/>
              <w:tblW w:w="9018" w:type="dxa"/>
              <w:tblInd w:w="80" w:type="dxa"/>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28" w:type="dxa"/>
                <w:bottom w:w="0" w:type="dxa"/>
                <w:right w:w="28" w:type="dxa"/>
              </w:tblCellMar>
            </w:tblPr>
            <w:tblGrid>
              <w:gridCol w:w="796"/>
              <w:gridCol w:w="1136"/>
              <w:gridCol w:w="990"/>
              <w:gridCol w:w="997"/>
              <w:gridCol w:w="5099"/>
            </w:tblGrid>
            <w:tr w14:paraId="1D99267D">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283" w:hRule="atLeast"/>
              </w:trPr>
              <w:tc>
                <w:tcPr>
                  <w:tcW w:w="441" w:type="pct"/>
                  <w:vMerge w:val="restart"/>
                  <w:vAlign w:val="center"/>
                </w:tcPr>
                <w:p w14:paraId="3B04B9E7">
                  <w:pPr>
                    <w:pStyle w:val="29"/>
                    <w:rPr>
                      <w:b/>
                    </w:rPr>
                  </w:pPr>
                  <w:r>
                    <w:rPr>
                      <w:b/>
                    </w:rPr>
                    <w:t>排放口编号</w:t>
                  </w:r>
                </w:p>
              </w:tc>
              <w:tc>
                <w:tcPr>
                  <w:tcW w:w="630" w:type="pct"/>
                  <w:vMerge w:val="restart"/>
                  <w:vAlign w:val="center"/>
                </w:tcPr>
                <w:p w14:paraId="3F5C9F1F">
                  <w:pPr>
                    <w:pStyle w:val="29"/>
                    <w:rPr>
                      <w:b/>
                    </w:rPr>
                  </w:pPr>
                  <w:r>
                    <w:rPr>
                      <w:b/>
                    </w:rPr>
                    <w:t>监测指标</w:t>
                  </w:r>
                </w:p>
              </w:tc>
              <w:tc>
                <w:tcPr>
                  <w:tcW w:w="1102" w:type="pct"/>
                  <w:gridSpan w:val="2"/>
                  <w:vAlign w:val="center"/>
                </w:tcPr>
                <w:p w14:paraId="5F5137AF">
                  <w:pPr>
                    <w:pStyle w:val="29"/>
                    <w:rPr>
                      <w:b/>
                    </w:rPr>
                  </w:pPr>
                  <w:r>
                    <w:rPr>
                      <w:b/>
                    </w:rPr>
                    <w:t>监测要求</w:t>
                  </w:r>
                </w:p>
              </w:tc>
              <w:tc>
                <w:tcPr>
                  <w:tcW w:w="2827" w:type="pct"/>
                  <w:vAlign w:val="center"/>
                </w:tcPr>
                <w:p w14:paraId="49D22318">
                  <w:pPr>
                    <w:pStyle w:val="29"/>
                    <w:rPr>
                      <w:b/>
                    </w:rPr>
                  </w:pPr>
                  <w:r>
                    <w:rPr>
                      <w:b/>
                    </w:rPr>
                    <w:t>执行标准</w:t>
                  </w:r>
                </w:p>
              </w:tc>
            </w:tr>
            <w:tr w14:paraId="3678EC7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283" w:hRule="atLeast"/>
              </w:trPr>
              <w:tc>
                <w:tcPr>
                  <w:tcW w:w="441" w:type="pct"/>
                  <w:vMerge w:val="continue"/>
                  <w:vAlign w:val="center"/>
                </w:tcPr>
                <w:p w14:paraId="4A2ECBA2">
                  <w:pPr>
                    <w:pStyle w:val="29"/>
                    <w:rPr>
                      <w:b/>
                    </w:rPr>
                  </w:pPr>
                </w:p>
              </w:tc>
              <w:tc>
                <w:tcPr>
                  <w:tcW w:w="630" w:type="pct"/>
                  <w:vMerge w:val="continue"/>
                  <w:vAlign w:val="center"/>
                </w:tcPr>
                <w:p w14:paraId="0046EB15">
                  <w:pPr>
                    <w:pStyle w:val="29"/>
                    <w:rPr>
                      <w:b/>
                    </w:rPr>
                  </w:pPr>
                </w:p>
              </w:tc>
              <w:tc>
                <w:tcPr>
                  <w:tcW w:w="549" w:type="pct"/>
                  <w:vAlign w:val="center"/>
                </w:tcPr>
                <w:p w14:paraId="3BB54751">
                  <w:pPr>
                    <w:pStyle w:val="29"/>
                    <w:rPr>
                      <w:b/>
                    </w:rPr>
                  </w:pPr>
                  <w:r>
                    <w:rPr>
                      <w:b/>
                    </w:rPr>
                    <w:t>监测点位</w:t>
                  </w:r>
                </w:p>
              </w:tc>
              <w:tc>
                <w:tcPr>
                  <w:tcW w:w="553" w:type="pct"/>
                  <w:vAlign w:val="center"/>
                </w:tcPr>
                <w:p w14:paraId="347DBB3B">
                  <w:pPr>
                    <w:pStyle w:val="29"/>
                    <w:rPr>
                      <w:b/>
                    </w:rPr>
                  </w:pPr>
                  <w:r>
                    <w:rPr>
                      <w:b/>
                    </w:rPr>
                    <w:t>监测频率</w:t>
                  </w:r>
                </w:p>
              </w:tc>
              <w:tc>
                <w:tcPr>
                  <w:tcW w:w="2827" w:type="pct"/>
                  <w:vAlign w:val="center"/>
                </w:tcPr>
                <w:p w14:paraId="56848F43">
                  <w:pPr>
                    <w:pStyle w:val="29"/>
                    <w:rPr>
                      <w:b/>
                    </w:rPr>
                  </w:pPr>
                  <w:r>
                    <w:rPr>
                      <w:b/>
                    </w:rPr>
                    <w:t>名称</w:t>
                  </w:r>
                </w:p>
              </w:tc>
            </w:tr>
            <w:tr w14:paraId="44EB463B">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PrEx>
              <w:trPr>
                <w:trHeight w:val="283" w:hRule="atLeast"/>
              </w:trPr>
              <w:tc>
                <w:tcPr>
                  <w:tcW w:w="441" w:type="pct"/>
                  <w:vMerge w:val="restart"/>
                  <w:vAlign w:val="center"/>
                </w:tcPr>
                <w:p w14:paraId="1901EEF1">
                  <w:pPr>
                    <w:pStyle w:val="29"/>
                    <w:rPr>
                      <w:bCs/>
                    </w:rPr>
                  </w:pPr>
                  <w:r>
                    <w:rPr>
                      <w:bCs/>
                    </w:rPr>
                    <w:t>DA001</w:t>
                  </w:r>
                </w:p>
              </w:tc>
              <w:tc>
                <w:tcPr>
                  <w:tcW w:w="630" w:type="pct"/>
                  <w:vAlign w:val="center"/>
                </w:tcPr>
                <w:p w14:paraId="7A385915">
                  <w:pPr>
                    <w:pStyle w:val="29"/>
                    <w:rPr>
                      <w:bCs/>
                    </w:rPr>
                  </w:pPr>
                  <w:r>
                    <w:rPr>
                      <w:bCs/>
                    </w:rPr>
                    <w:t>颗粒物</w:t>
                  </w:r>
                </w:p>
              </w:tc>
              <w:tc>
                <w:tcPr>
                  <w:tcW w:w="549" w:type="pct"/>
                  <w:vMerge w:val="restart"/>
                  <w:vAlign w:val="center"/>
                </w:tcPr>
                <w:p w14:paraId="5EBE6A0C">
                  <w:pPr>
                    <w:pStyle w:val="29"/>
                    <w:rPr>
                      <w:bCs/>
                    </w:rPr>
                  </w:pPr>
                  <w:r>
                    <w:rPr>
                      <w:bCs/>
                    </w:rPr>
                    <w:t>废气处理设施后监测点</w:t>
                  </w:r>
                </w:p>
              </w:tc>
              <w:tc>
                <w:tcPr>
                  <w:tcW w:w="553" w:type="pct"/>
                  <w:vAlign w:val="center"/>
                </w:tcPr>
                <w:p w14:paraId="49F72C18">
                  <w:pPr>
                    <w:pStyle w:val="29"/>
                    <w:rPr>
                      <w:bCs/>
                    </w:rPr>
                  </w:pPr>
                  <w:r>
                    <w:rPr>
                      <w:bCs/>
                    </w:rPr>
                    <w:t>1次/年</w:t>
                  </w:r>
                </w:p>
              </w:tc>
              <w:tc>
                <w:tcPr>
                  <w:tcW w:w="2827" w:type="pct"/>
                  <w:vAlign w:val="center"/>
                </w:tcPr>
                <w:p w14:paraId="2A63777A">
                  <w:pPr>
                    <w:pStyle w:val="29"/>
                    <w:rPr>
                      <w:bCs/>
                    </w:rPr>
                  </w:pPr>
                  <w:r>
                    <w:rPr>
                      <w:bCs/>
                    </w:rPr>
                    <w:t>广东省《大气污染物排放限值》（DB44/27-2001）第二时段二级标准</w:t>
                  </w:r>
                  <w:r>
                    <w:rPr>
                      <w:rFonts w:hint="eastAsia"/>
                      <w:bCs/>
                      <w:color w:val="EE0000"/>
                      <w:szCs w:val="24"/>
                    </w:rPr>
                    <w:t>（排放速率按照标准限值50%执行）</w:t>
                  </w:r>
                </w:p>
              </w:tc>
            </w:tr>
            <w:tr w14:paraId="0FC1C64E">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283" w:hRule="atLeast"/>
              </w:trPr>
              <w:tc>
                <w:tcPr>
                  <w:tcW w:w="441" w:type="pct"/>
                  <w:vMerge w:val="continue"/>
                  <w:vAlign w:val="center"/>
                </w:tcPr>
                <w:p w14:paraId="34D46486">
                  <w:pPr>
                    <w:pStyle w:val="29"/>
                    <w:rPr>
                      <w:bCs/>
                    </w:rPr>
                  </w:pPr>
                </w:p>
              </w:tc>
              <w:tc>
                <w:tcPr>
                  <w:tcW w:w="630" w:type="pct"/>
                  <w:vAlign w:val="center"/>
                </w:tcPr>
                <w:p w14:paraId="5321375B">
                  <w:pPr>
                    <w:pStyle w:val="29"/>
                    <w:rPr>
                      <w:bCs/>
                    </w:rPr>
                  </w:pPr>
                  <w:r>
                    <w:rPr>
                      <w:bCs/>
                    </w:rPr>
                    <w:t>非甲烷总烃</w:t>
                  </w:r>
                </w:p>
              </w:tc>
              <w:tc>
                <w:tcPr>
                  <w:tcW w:w="549" w:type="pct"/>
                  <w:vMerge w:val="continue"/>
                  <w:vAlign w:val="center"/>
                </w:tcPr>
                <w:p w14:paraId="3C556D42">
                  <w:pPr>
                    <w:pStyle w:val="29"/>
                    <w:rPr>
                      <w:bCs/>
                    </w:rPr>
                  </w:pPr>
                </w:p>
              </w:tc>
              <w:tc>
                <w:tcPr>
                  <w:tcW w:w="553" w:type="pct"/>
                  <w:vAlign w:val="center"/>
                </w:tcPr>
                <w:p w14:paraId="344D5698">
                  <w:pPr>
                    <w:pStyle w:val="29"/>
                    <w:rPr>
                      <w:bCs/>
                    </w:rPr>
                  </w:pPr>
                  <w:r>
                    <w:rPr>
                      <w:bCs/>
                    </w:rPr>
                    <w:t>1次/半年</w:t>
                  </w:r>
                </w:p>
              </w:tc>
              <w:tc>
                <w:tcPr>
                  <w:tcW w:w="2827" w:type="pct"/>
                  <w:vAlign w:val="center"/>
                </w:tcPr>
                <w:p w14:paraId="15FFC1FD">
                  <w:pPr>
                    <w:pStyle w:val="29"/>
                    <w:rPr>
                      <w:bCs/>
                    </w:rPr>
                  </w:pPr>
                  <w:r>
                    <w:rPr>
                      <w:rFonts w:hint="eastAsia"/>
                      <w:bCs/>
                      <w:color w:val="EE0000"/>
                    </w:rPr>
                    <w:t>《合成树脂工业污染物排放标准》(GB31572-2015，含2024年修改单)</w:t>
                  </w:r>
                  <w:r>
                    <w:rPr>
                      <w:bCs/>
                    </w:rPr>
                    <w:t>中表5排放限值、《固定污染源挥发性有机物综合排放标准》（DB44/2367-2022）表1限值及《印刷工业大气污染物排放标准》(GB41616-2022)中的表1大气污染物排放限值的较严者</w:t>
                  </w:r>
                </w:p>
              </w:tc>
            </w:tr>
            <w:tr w14:paraId="38CC9705">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283" w:hRule="atLeast"/>
              </w:trPr>
              <w:tc>
                <w:tcPr>
                  <w:tcW w:w="441" w:type="pct"/>
                  <w:vMerge w:val="continue"/>
                  <w:vAlign w:val="center"/>
                </w:tcPr>
                <w:p w14:paraId="5DD8642D">
                  <w:pPr>
                    <w:pStyle w:val="29"/>
                    <w:rPr>
                      <w:bCs/>
                    </w:rPr>
                  </w:pPr>
                </w:p>
              </w:tc>
              <w:tc>
                <w:tcPr>
                  <w:tcW w:w="630" w:type="pct"/>
                  <w:vAlign w:val="center"/>
                </w:tcPr>
                <w:p w14:paraId="5187F6FA">
                  <w:pPr>
                    <w:pStyle w:val="29"/>
                    <w:rPr>
                      <w:bCs/>
                    </w:rPr>
                  </w:pPr>
                  <w:r>
                    <w:rPr>
                      <w:rFonts w:hint="eastAsia"/>
                      <w:bCs/>
                      <w:color w:val="EE0000"/>
                    </w:rPr>
                    <w:t>TVOC</w:t>
                  </w:r>
                </w:p>
              </w:tc>
              <w:tc>
                <w:tcPr>
                  <w:tcW w:w="549" w:type="pct"/>
                  <w:vMerge w:val="continue"/>
                  <w:vAlign w:val="center"/>
                </w:tcPr>
                <w:p w14:paraId="681AAC7C">
                  <w:pPr>
                    <w:pStyle w:val="29"/>
                    <w:rPr>
                      <w:bCs/>
                    </w:rPr>
                  </w:pPr>
                </w:p>
              </w:tc>
              <w:tc>
                <w:tcPr>
                  <w:tcW w:w="553" w:type="pct"/>
                  <w:vAlign w:val="center"/>
                </w:tcPr>
                <w:p w14:paraId="6257FED1">
                  <w:pPr>
                    <w:pStyle w:val="29"/>
                    <w:rPr>
                      <w:bCs/>
                    </w:rPr>
                  </w:pPr>
                  <w:r>
                    <w:rPr>
                      <w:bCs/>
                    </w:rPr>
                    <w:t>1次/半年</w:t>
                  </w:r>
                </w:p>
              </w:tc>
              <w:tc>
                <w:tcPr>
                  <w:tcW w:w="2827" w:type="pct"/>
                  <w:vAlign w:val="center"/>
                </w:tcPr>
                <w:p w14:paraId="64D775BC">
                  <w:pPr>
                    <w:pStyle w:val="29"/>
                    <w:rPr>
                      <w:bCs/>
                    </w:rPr>
                  </w:pPr>
                  <w:r>
                    <w:rPr>
                      <w:bCs/>
                    </w:rPr>
                    <w:t>《固定污染源挥发性有机物综合排放标准》（DB44/2367-2022）表1限值</w:t>
                  </w:r>
                </w:p>
              </w:tc>
            </w:tr>
            <w:tr w14:paraId="4D2FDA3E">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283" w:hRule="atLeast"/>
              </w:trPr>
              <w:tc>
                <w:tcPr>
                  <w:tcW w:w="441" w:type="pct"/>
                  <w:vMerge w:val="continue"/>
                  <w:vAlign w:val="center"/>
                </w:tcPr>
                <w:p w14:paraId="18BFAAC8">
                  <w:pPr>
                    <w:pStyle w:val="29"/>
                    <w:rPr>
                      <w:bCs/>
                    </w:rPr>
                  </w:pPr>
                </w:p>
              </w:tc>
              <w:tc>
                <w:tcPr>
                  <w:tcW w:w="630" w:type="pct"/>
                  <w:vAlign w:val="center"/>
                </w:tcPr>
                <w:p w14:paraId="0C076DB0">
                  <w:pPr>
                    <w:pStyle w:val="29"/>
                    <w:rPr>
                      <w:bCs/>
                    </w:rPr>
                  </w:pPr>
                  <w:r>
                    <w:rPr>
                      <w:bCs/>
                    </w:rPr>
                    <w:t>总VOCs</w:t>
                  </w:r>
                </w:p>
              </w:tc>
              <w:tc>
                <w:tcPr>
                  <w:tcW w:w="549" w:type="pct"/>
                  <w:vMerge w:val="continue"/>
                  <w:vAlign w:val="center"/>
                </w:tcPr>
                <w:p w14:paraId="1407A0CD">
                  <w:pPr>
                    <w:pStyle w:val="29"/>
                    <w:rPr>
                      <w:bCs/>
                    </w:rPr>
                  </w:pPr>
                </w:p>
              </w:tc>
              <w:tc>
                <w:tcPr>
                  <w:tcW w:w="553" w:type="pct"/>
                  <w:vAlign w:val="center"/>
                </w:tcPr>
                <w:p w14:paraId="03B0A43B">
                  <w:pPr>
                    <w:pStyle w:val="29"/>
                    <w:rPr>
                      <w:bCs/>
                    </w:rPr>
                  </w:pPr>
                  <w:r>
                    <w:rPr>
                      <w:bCs/>
                    </w:rPr>
                    <w:t>1次/半年</w:t>
                  </w:r>
                </w:p>
              </w:tc>
              <w:tc>
                <w:tcPr>
                  <w:tcW w:w="2827" w:type="pct"/>
                  <w:vAlign w:val="center"/>
                </w:tcPr>
                <w:p w14:paraId="2A99110D">
                  <w:pPr>
                    <w:pStyle w:val="29"/>
                    <w:rPr>
                      <w:bCs/>
                    </w:rPr>
                  </w:pPr>
                  <w:r>
                    <w:rPr>
                      <w:bCs/>
                    </w:rPr>
                    <w:t>广东省《印刷行业挥发性有机化合物排放标准》（DB44/815-2010）Ⅱ时段排放浓度限值</w:t>
                  </w:r>
                  <w:r>
                    <w:rPr>
                      <w:rFonts w:hint="eastAsia"/>
                      <w:bCs/>
                      <w:color w:val="EE0000"/>
                      <w:szCs w:val="24"/>
                    </w:rPr>
                    <w:t>（排放速率按照标准限值50%执行）</w:t>
                  </w:r>
                </w:p>
              </w:tc>
            </w:tr>
            <w:tr w14:paraId="509600FB">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283" w:hRule="atLeast"/>
              </w:trPr>
              <w:tc>
                <w:tcPr>
                  <w:tcW w:w="441" w:type="pct"/>
                  <w:vMerge w:val="continue"/>
                  <w:vAlign w:val="center"/>
                </w:tcPr>
                <w:p w14:paraId="66BC99D5">
                  <w:pPr>
                    <w:pStyle w:val="29"/>
                    <w:rPr>
                      <w:bCs/>
                    </w:rPr>
                  </w:pPr>
                </w:p>
              </w:tc>
              <w:tc>
                <w:tcPr>
                  <w:tcW w:w="630" w:type="pct"/>
                  <w:vAlign w:val="center"/>
                </w:tcPr>
                <w:p w14:paraId="6C665FD6">
                  <w:pPr>
                    <w:pStyle w:val="29"/>
                    <w:rPr>
                      <w:bCs/>
                    </w:rPr>
                  </w:pPr>
                  <w:r>
                    <w:rPr>
                      <w:bCs/>
                    </w:rPr>
                    <w:t>苯乙烯</w:t>
                  </w:r>
                </w:p>
              </w:tc>
              <w:tc>
                <w:tcPr>
                  <w:tcW w:w="549" w:type="pct"/>
                  <w:vMerge w:val="continue"/>
                  <w:vAlign w:val="center"/>
                </w:tcPr>
                <w:p w14:paraId="2E777E51">
                  <w:pPr>
                    <w:pStyle w:val="29"/>
                    <w:rPr>
                      <w:bCs/>
                    </w:rPr>
                  </w:pPr>
                </w:p>
              </w:tc>
              <w:tc>
                <w:tcPr>
                  <w:tcW w:w="553" w:type="pct"/>
                  <w:vMerge w:val="restart"/>
                  <w:vAlign w:val="center"/>
                </w:tcPr>
                <w:p w14:paraId="3935C0B8">
                  <w:pPr>
                    <w:pStyle w:val="29"/>
                    <w:rPr>
                      <w:bCs/>
                    </w:rPr>
                  </w:pPr>
                  <w:r>
                    <w:rPr>
                      <w:bCs/>
                    </w:rPr>
                    <w:t>1次/年</w:t>
                  </w:r>
                </w:p>
              </w:tc>
              <w:tc>
                <w:tcPr>
                  <w:tcW w:w="2827" w:type="pct"/>
                  <w:vMerge w:val="restart"/>
                  <w:vAlign w:val="center"/>
                </w:tcPr>
                <w:p w14:paraId="5E2F1DC5">
                  <w:pPr>
                    <w:pStyle w:val="29"/>
                    <w:rPr>
                      <w:bCs/>
                    </w:rPr>
                  </w:pPr>
                  <w:r>
                    <w:rPr>
                      <w:bCs/>
                    </w:rPr>
                    <w:t>《合成树脂工业污染物排放标准》</w:t>
                  </w:r>
                  <w:r>
                    <w:rPr>
                      <w:rFonts w:hint="eastAsia"/>
                      <w:bCs/>
                      <w:color w:val="EE0000"/>
                    </w:rPr>
                    <w:t xml:space="preserve"> (GB31572-2015，含2024年修改单)</w:t>
                  </w:r>
                  <w:r>
                    <w:rPr>
                      <w:bCs/>
                    </w:rPr>
                    <w:t>中表5大气污染物特别排放限值</w:t>
                  </w:r>
                </w:p>
              </w:tc>
            </w:tr>
            <w:tr w14:paraId="26EE1BE4">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283" w:hRule="atLeast"/>
              </w:trPr>
              <w:tc>
                <w:tcPr>
                  <w:tcW w:w="441" w:type="pct"/>
                  <w:vMerge w:val="continue"/>
                  <w:vAlign w:val="center"/>
                </w:tcPr>
                <w:p w14:paraId="7A6E2091">
                  <w:pPr>
                    <w:pStyle w:val="29"/>
                    <w:rPr>
                      <w:bCs/>
                    </w:rPr>
                  </w:pPr>
                </w:p>
              </w:tc>
              <w:tc>
                <w:tcPr>
                  <w:tcW w:w="630" w:type="pct"/>
                  <w:vAlign w:val="center"/>
                </w:tcPr>
                <w:p w14:paraId="6DE4510F">
                  <w:pPr>
                    <w:pStyle w:val="29"/>
                    <w:rPr>
                      <w:bCs/>
                    </w:rPr>
                  </w:pPr>
                  <w:r>
                    <w:rPr>
                      <w:bCs/>
                    </w:rPr>
                    <w:t>丙烯腈</w:t>
                  </w:r>
                </w:p>
              </w:tc>
              <w:tc>
                <w:tcPr>
                  <w:tcW w:w="549" w:type="pct"/>
                  <w:vMerge w:val="continue"/>
                  <w:vAlign w:val="center"/>
                </w:tcPr>
                <w:p w14:paraId="6B06AC59">
                  <w:pPr>
                    <w:pStyle w:val="29"/>
                    <w:rPr>
                      <w:bCs/>
                    </w:rPr>
                  </w:pPr>
                </w:p>
              </w:tc>
              <w:tc>
                <w:tcPr>
                  <w:tcW w:w="553" w:type="pct"/>
                  <w:vMerge w:val="continue"/>
                  <w:vAlign w:val="center"/>
                </w:tcPr>
                <w:p w14:paraId="7A0ED4EE">
                  <w:pPr>
                    <w:pStyle w:val="29"/>
                    <w:rPr>
                      <w:bCs/>
                    </w:rPr>
                  </w:pPr>
                </w:p>
              </w:tc>
              <w:tc>
                <w:tcPr>
                  <w:tcW w:w="2827" w:type="pct"/>
                  <w:vMerge w:val="continue"/>
                  <w:vAlign w:val="center"/>
                </w:tcPr>
                <w:p w14:paraId="260B9F61">
                  <w:pPr>
                    <w:pStyle w:val="29"/>
                    <w:rPr>
                      <w:bCs/>
                    </w:rPr>
                  </w:pPr>
                </w:p>
              </w:tc>
            </w:tr>
            <w:tr w14:paraId="068B5D19">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283" w:hRule="atLeast"/>
              </w:trPr>
              <w:tc>
                <w:tcPr>
                  <w:tcW w:w="441" w:type="pct"/>
                  <w:vMerge w:val="continue"/>
                  <w:vAlign w:val="center"/>
                </w:tcPr>
                <w:p w14:paraId="4D62EB31">
                  <w:pPr>
                    <w:pStyle w:val="29"/>
                    <w:rPr>
                      <w:bCs/>
                    </w:rPr>
                  </w:pPr>
                </w:p>
              </w:tc>
              <w:tc>
                <w:tcPr>
                  <w:tcW w:w="630" w:type="pct"/>
                  <w:vAlign w:val="center"/>
                </w:tcPr>
                <w:p w14:paraId="66E59B81">
                  <w:pPr>
                    <w:pStyle w:val="29"/>
                    <w:rPr>
                      <w:bCs/>
                    </w:rPr>
                  </w:pPr>
                  <w:r>
                    <w:rPr>
                      <w:bCs/>
                    </w:rPr>
                    <w:t>1,3-丁二烯</w:t>
                  </w:r>
                </w:p>
              </w:tc>
              <w:tc>
                <w:tcPr>
                  <w:tcW w:w="549" w:type="pct"/>
                  <w:vMerge w:val="continue"/>
                  <w:vAlign w:val="center"/>
                </w:tcPr>
                <w:p w14:paraId="118B8280">
                  <w:pPr>
                    <w:pStyle w:val="29"/>
                    <w:rPr>
                      <w:bCs/>
                    </w:rPr>
                  </w:pPr>
                </w:p>
              </w:tc>
              <w:tc>
                <w:tcPr>
                  <w:tcW w:w="553" w:type="pct"/>
                  <w:vMerge w:val="continue"/>
                  <w:vAlign w:val="center"/>
                </w:tcPr>
                <w:p w14:paraId="301A2BC9">
                  <w:pPr>
                    <w:pStyle w:val="29"/>
                    <w:rPr>
                      <w:bCs/>
                    </w:rPr>
                  </w:pPr>
                </w:p>
              </w:tc>
              <w:tc>
                <w:tcPr>
                  <w:tcW w:w="2827" w:type="pct"/>
                  <w:vMerge w:val="continue"/>
                  <w:vAlign w:val="center"/>
                </w:tcPr>
                <w:p w14:paraId="770E9C34">
                  <w:pPr>
                    <w:pStyle w:val="29"/>
                    <w:rPr>
                      <w:bCs/>
                    </w:rPr>
                  </w:pPr>
                </w:p>
              </w:tc>
            </w:tr>
            <w:tr w14:paraId="6B10D285">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283" w:hRule="atLeast"/>
              </w:trPr>
              <w:tc>
                <w:tcPr>
                  <w:tcW w:w="441" w:type="pct"/>
                  <w:vMerge w:val="continue"/>
                  <w:vAlign w:val="center"/>
                </w:tcPr>
                <w:p w14:paraId="27E96D11">
                  <w:pPr>
                    <w:pStyle w:val="29"/>
                    <w:rPr>
                      <w:bCs/>
                    </w:rPr>
                  </w:pPr>
                </w:p>
              </w:tc>
              <w:tc>
                <w:tcPr>
                  <w:tcW w:w="630" w:type="pct"/>
                  <w:vAlign w:val="center"/>
                </w:tcPr>
                <w:p w14:paraId="4109E4B7">
                  <w:pPr>
                    <w:pStyle w:val="29"/>
                    <w:rPr>
                      <w:bCs/>
                    </w:rPr>
                  </w:pPr>
                  <w:r>
                    <w:rPr>
                      <w:bCs/>
                    </w:rPr>
                    <w:t>甲苯</w:t>
                  </w:r>
                </w:p>
              </w:tc>
              <w:tc>
                <w:tcPr>
                  <w:tcW w:w="549" w:type="pct"/>
                  <w:vMerge w:val="continue"/>
                  <w:vAlign w:val="center"/>
                </w:tcPr>
                <w:p w14:paraId="33981B85">
                  <w:pPr>
                    <w:pStyle w:val="29"/>
                    <w:rPr>
                      <w:bCs/>
                    </w:rPr>
                  </w:pPr>
                </w:p>
              </w:tc>
              <w:tc>
                <w:tcPr>
                  <w:tcW w:w="553" w:type="pct"/>
                  <w:vMerge w:val="continue"/>
                  <w:vAlign w:val="center"/>
                </w:tcPr>
                <w:p w14:paraId="6D648B64">
                  <w:pPr>
                    <w:pStyle w:val="29"/>
                    <w:rPr>
                      <w:bCs/>
                    </w:rPr>
                  </w:pPr>
                </w:p>
              </w:tc>
              <w:tc>
                <w:tcPr>
                  <w:tcW w:w="2827" w:type="pct"/>
                  <w:vMerge w:val="continue"/>
                  <w:vAlign w:val="center"/>
                </w:tcPr>
                <w:p w14:paraId="45445F82">
                  <w:pPr>
                    <w:pStyle w:val="29"/>
                    <w:rPr>
                      <w:bCs/>
                    </w:rPr>
                  </w:pPr>
                </w:p>
              </w:tc>
            </w:tr>
            <w:tr w14:paraId="6E5204FD">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283" w:hRule="atLeast"/>
              </w:trPr>
              <w:tc>
                <w:tcPr>
                  <w:tcW w:w="441" w:type="pct"/>
                  <w:vMerge w:val="continue"/>
                  <w:vAlign w:val="center"/>
                </w:tcPr>
                <w:p w14:paraId="37C6DC87">
                  <w:pPr>
                    <w:pStyle w:val="29"/>
                    <w:rPr>
                      <w:bCs/>
                    </w:rPr>
                  </w:pPr>
                </w:p>
              </w:tc>
              <w:tc>
                <w:tcPr>
                  <w:tcW w:w="630" w:type="pct"/>
                  <w:vAlign w:val="center"/>
                </w:tcPr>
                <w:p w14:paraId="6306F677">
                  <w:pPr>
                    <w:pStyle w:val="29"/>
                    <w:rPr>
                      <w:bCs/>
                    </w:rPr>
                  </w:pPr>
                  <w:r>
                    <w:rPr>
                      <w:bCs/>
                    </w:rPr>
                    <w:t>乙苯</w:t>
                  </w:r>
                </w:p>
              </w:tc>
              <w:tc>
                <w:tcPr>
                  <w:tcW w:w="549" w:type="pct"/>
                  <w:vMerge w:val="continue"/>
                  <w:vAlign w:val="center"/>
                </w:tcPr>
                <w:p w14:paraId="1D2A21C1">
                  <w:pPr>
                    <w:pStyle w:val="29"/>
                    <w:rPr>
                      <w:bCs/>
                    </w:rPr>
                  </w:pPr>
                </w:p>
              </w:tc>
              <w:tc>
                <w:tcPr>
                  <w:tcW w:w="553" w:type="pct"/>
                  <w:vMerge w:val="continue"/>
                  <w:vAlign w:val="center"/>
                </w:tcPr>
                <w:p w14:paraId="745D9984">
                  <w:pPr>
                    <w:pStyle w:val="29"/>
                    <w:rPr>
                      <w:bCs/>
                    </w:rPr>
                  </w:pPr>
                </w:p>
              </w:tc>
              <w:tc>
                <w:tcPr>
                  <w:tcW w:w="2827" w:type="pct"/>
                  <w:vMerge w:val="continue"/>
                  <w:vAlign w:val="center"/>
                </w:tcPr>
                <w:p w14:paraId="45D743D4">
                  <w:pPr>
                    <w:pStyle w:val="29"/>
                    <w:rPr>
                      <w:bCs/>
                    </w:rPr>
                  </w:pPr>
                </w:p>
              </w:tc>
            </w:tr>
            <w:tr w14:paraId="18956B4E">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283" w:hRule="atLeast"/>
              </w:trPr>
              <w:tc>
                <w:tcPr>
                  <w:tcW w:w="441" w:type="pct"/>
                  <w:vMerge w:val="continue"/>
                  <w:vAlign w:val="center"/>
                </w:tcPr>
                <w:p w14:paraId="3823C038">
                  <w:pPr>
                    <w:pStyle w:val="29"/>
                    <w:rPr>
                      <w:bCs/>
                    </w:rPr>
                  </w:pPr>
                </w:p>
              </w:tc>
              <w:tc>
                <w:tcPr>
                  <w:tcW w:w="630" w:type="pct"/>
                  <w:vAlign w:val="center"/>
                </w:tcPr>
                <w:p w14:paraId="4E9207C6">
                  <w:pPr>
                    <w:pStyle w:val="29"/>
                    <w:rPr>
                      <w:bCs/>
                    </w:rPr>
                  </w:pPr>
                  <w:r>
                    <w:rPr>
                      <w:bCs/>
                    </w:rPr>
                    <w:t>臭气浓度</w:t>
                  </w:r>
                </w:p>
              </w:tc>
              <w:tc>
                <w:tcPr>
                  <w:tcW w:w="549" w:type="pct"/>
                  <w:vMerge w:val="continue"/>
                  <w:vAlign w:val="center"/>
                </w:tcPr>
                <w:p w14:paraId="53411231">
                  <w:pPr>
                    <w:pStyle w:val="29"/>
                    <w:rPr>
                      <w:bCs/>
                    </w:rPr>
                  </w:pPr>
                </w:p>
              </w:tc>
              <w:tc>
                <w:tcPr>
                  <w:tcW w:w="553" w:type="pct"/>
                  <w:vAlign w:val="center"/>
                </w:tcPr>
                <w:p w14:paraId="0263C4C9">
                  <w:pPr>
                    <w:pStyle w:val="29"/>
                    <w:rPr>
                      <w:bCs/>
                    </w:rPr>
                  </w:pPr>
                  <w:r>
                    <w:rPr>
                      <w:bCs/>
                    </w:rPr>
                    <w:t>1次/年</w:t>
                  </w:r>
                </w:p>
              </w:tc>
              <w:tc>
                <w:tcPr>
                  <w:tcW w:w="2827" w:type="pct"/>
                  <w:vAlign w:val="center"/>
                </w:tcPr>
                <w:p w14:paraId="48810479">
                  <w:pPr>
                    <w:pStyle w:val="29"/>
                    <w:rPr>
                      <w:bCs/>
                    </w:rPr>
                  </w:pPr>
                  <w:r>
                    <w:rPr>
                      <w:bCs/>
                    </w:rPr>
                    <w:t>《恶臭污染物排放标准》（GB14554-93）表2恶臭污染物排放标准限值</w:t>
                  </w:r>
                </w:p>
              </w:tc>
            </w:tr>
            <w:tr w14:paraId="1C01E62E">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283" w:hRule="atLeast"/>
              </w:trPr>
              <w:tc>
                <w:tcPr>
                  <w:tcW w:w="441" w:type="pct"/>
                  <w:vMerge w:val="restart"/>
                  <w:vAlign w:val="center"/>
                </w:tcPr>
                <w:p w14:paraId="3742558B">
                  <w:pPr>
                    <w:pStyle w:val="29"/>
                    <w:rPr>
                      <w:bCs/>
                    </w:rPr>
                  </w:pPr>
                  <w:r>
                    <w:rPr>
                      <w:bCs/>
                    </w:rPr>
                    <w:t>厂界</w:t>
                  </w:r>
                </w:p>
              </w:tc>
              <w:tc>
                <w:tcPr>
                  <w:tcW w:w="630" w:type="pct"/>
                  <w:vAlign w:val="center"/>
                </w:tcPr>
                <w:p w14:paraId="06D896E8">
                  <w:pPr>
                    <w:pStyle w:val="29"/>
                    <w:rPr>
                      <w:bCs/>
                    </w:rPr>
                  </w:pPr>
                  <w:r>
                    <w:rPr>
                      <w:bCs/>
                    </w:rPr>
                    <w:t>非甲烷总烃</w:t>
                  </w:r>
                </w:p>
              </w:tc>
              <w:tc>
                <w:tcPr>
                  <w:tcW w:w="549" w:type="pct"/>
                  <w:vMerge w:val="restart"/>
                  <w:vAlign w:val="center"/>
                </w:tcPr>
                <w:p w14:paraId="3E21FADA">
                  <w:pPr>
                    <w:pStyle w:val="29"/>
                    <w:rPr>
                      <w:bCs/>
                    </w:rPr>
                  </w:pPr>
                  <w:r>
                    <w:rPr>
                      <w:bCs/>
                    </w:rPr>
                    <w:t>上下风向</w:t>
                  </w:r>
                </w:p>
              </w:tc>
              <w:tc>
                <w:tcPr>
                  <w:tcW w:w="553" w:type="pct"/>
                  <w:vMerge w:val="restart"/>
                  <w:vAlign w:val="center"/>
                </w:tcPr>
                <w:p w14:paraId="38A15C5B">
                  <w:pPr>
                    <w:pStyle w:val="29"/>
                    <w:rPr>
                      <w:bCs/>
                    </w:rPr>
                  </w:pPr>
                  <w:r>
                    <w:rPr>
                      <w:bCs/>
                    </w:rPr>
                    <w:t>1次/年</w:t>
                  </w:r>
                </w:p>
              </w:tc>
              <w:tc>
                <w:tcPr>
                  <w:tcW w:w="2827" w:type="pct"/>
                  <w:vMerge w:val="restart"/>
                  <w:vAlign w:val="center"/>
                </w:tcPr>
                <w:p w14:paraId="2160DCC3">
                  <w:pPr>
                    <w:pStyle w:val="29"/>
                    <w:rPr>
                      <w:bCs/>
                    </w:rPr>
                  </w:pPr>
                  <w:r>
                    <w:rPr>
                      <w:bCs/>
                    </w:rPr>
                    <w:t>《合成树脂工业污染物排放标准》</w:t>
                  </w:r>
                  <w:r>
                    <w:rPr>
                      <w:rFonts w:hint="eastAsia"/>
                      <w:bCs/>
                      <w:color w:val="EE0000"/>
                    </w:rPr>
                    <w:t xml:space="preserve"> (GB31572-2015，含2024年修改单)</w:t>
                  </w:r>
                  <w:r>
                    <w:rPr>
                      <w:bCs/>
                    </w:rPr>
                    <w:t>表9企业边界大气污染物浓度限值</w:t>
                  </w:r>
                </w:p>
              </w:tc>
            </w:tr>
            <w:tr w14:paraId="63B221DD">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283" w:hRule="atLeast"/>
              </w:trPr>
              <w:tc>
                <w:tcPr>
                  <w:tcW w:w="441" w:type="pct"/>
                  <w:vMerge w:val="continue"/>
                  <w:vAlign w:val="center"/>
                </w:tcPr>
                <w:p w14:paraId="3621AB30">
                  <w:pPr>
                    <w:pStyle w:val="29"/>
                    <w:rPr>
                      <w:bCs/>
                    </w:rPr>
                  </w:pPr>
                </w:p>
              </w:tc>
              <w:tc>
                <w:tcPr>
                  <w:tcW w:w="630" w:type="pct"/>
                  <w:vAlign w:val="center"/>
                </w:tcPr>
                <w:p w14:paraId="44B11B4A">
                  <w:pPr>
                    <w:pStyle w:val="29"/>
                    <w:rPr>
                      <w:bCs/>
                    </w:rPr>
                  </w:pPr>
                  <w:r>
                    <w:rPr>
                      <w:bCs/>
                    </w:rPr>
                    <w:t>甲苯</w:t>
                  </w:r>
                </w:p>
              </w:tc>
              <w:tc>
                <w:tcPr>
                  <w:tcW w:w="549" w:type="pct"/>
                  <w:vMerge w:val="continue"/>
                  <w:vAlign w:val="center"/>
                </w:tcPr>
                <w:p w14:paraId="5970D154">
                  <w:pPr>
                    <w:pStyle w:val="29"/>
                    <w:rPr>
                      <w:bCs/>
                    </w:rPr>
                  </w:pPr>
                </w:p>
              </w:tc>
              <w:tc>
                <w:tcPr>
                  <w:tcW w:w="553" w:type="pct"/>
                  <w:vMerge w:val="continue"/>
                  <w:vAlign w:val="center"/>
                </w:tcPr>
                <w:p w14:paraId="581B6F7C">
                  <w:pPr>
                    <w:pStyle w:val="29"/>
                    <w:rPr>
                      <w:bCs/>
                    </w:rPr>
                  </w:pPr>
                </w:p>
              </w:tc>
              <w:tc>
                <w:tcPr>
                  <w:tcW w:w="2827" w:type="pct"/>
                  <w:vMerge w:val="continue"/>
                  <w:vAlign w:val="center"/>
                </w:tcPr>
                <w:p w14:paraId="2F90DE6F">
                  <w:pPr>
                    <w:pStyle w:val="29"/>
                    <w:rPr>
                      <w:bCs/>
                    </w:rPr>
                  </w:pPr>
                </w:p>
              </w:tc>
            </w:tr>
            <w:tr w14:paraId="79FD45DD">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283" w:hRule="atLeast"/>
              </w:trPr>
              <w:tc>
                <w:tcPr>
                  <w:tcW w:w="441" w:type="pct"/>
                  <w:vMerge w:val="continue"/>
                  <w:vAlign w:val="center"/>
                </w:tcPr>
                <w:p w14:paraId="261D4102">
                  <w:pPr>
                    <w:pStyle w:val="29"/>
                    <w:rPr>
                      <w:bCs/>
                    </w:rPr>
                  </w:pPr>
                </w:p>
              </w:tc>
              <w:tc>
                <w:tcPr>
                  <w:tcW w:w="630" w:type="pct"/>
                  <w:vAlign w:val="center"/>
                </w:tcPr>
                <w:p w14:paraId="4B53AECF">
                  <w:pPr>
                    <w:pStyle w:val="29"/>
                    <w:rPr>
                      <w:bCs/>
                    </w:rPr>
                  </w:pPr>
                  <w:r>
                    <w:rPr>
                      <w:bCs/>
                    </w:rPr>
                    <w:t>总VOCs</w:t>
                  </w:r>
                </w:p>
              </w:tc>
              <w:tc>
                <w:tcPr>
                  <w:tcW w:w="549" w:type="pct"/>
                  <w:vMerge w:val="continue"/>
                  <w:vAlign w:val="center"/>
                </w:tcPr>
                <w:p w14:paraId="6466272B">
                  <w:pPr>
                    <w:pStyle w:val="29"/>
                    <w:rPr>
                      <w:bCs/>
                    </w:rPr>
                  </w:pPr>
                </w:p>
              </w:tc>
              <w:tc>
                <w:tcPr>
                  <w:tcW w:w="553" w:type="pct"/>
                  <w:vMerge w:val="continue"/>
                  <w:vAlign w:val="center"/>
                </w:tcPr>
                <w:p w14:paraId="3DF99302">
                  <w:pPr>
                    <w:pStyle w:val="29"/>
                    <w:rPr>
                      <w:bCs/>
                    </w:rPr>
                  </w:pPr>
                </w:p>
              </w:tc>
              <w:tc>
                <w:tcPr>
                  <w:tcW w:w="2827" w:type="pct"/>
                  <w:vAlign w:val="center"/>
                </w:tcPr>
                <w:p w14:paraId="2A898D44">
                  <w:pPr>
                    <w:pStyle w:val="29"/>
                    <w:rPr>
                      <w:bCs/>
                    </w:rPr>
                  </w:pPr>
                  <w:r>
                    <w:rPr>
                      <w:bCs/>
                    </w:rPr>
                    <w:t>广东省《印刷行业挥发性有机化合物排放标准》（DB44/815-2010）表3的无组织排放监控点浓度限值</w:t>
                  </w:r>
                </w:p>
              </w:tc>
            </w:tr>
            <w:tr w14:paraId="023571FB">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283" w:hRule="atLeast"/>
              </w:trPr>
              <w:tc>
                <w:tcPr>
                  <w:tcW w:w="441" w:type="pct"/>
                  <w:vMerge w:val="continue"/>
                  <w:vAlign w:val="center"/>
                </w:tcPr>
                <w:p w14:paraId="48D0E46B">
                  <w:pPr>
                    <w:pStyle w:val="29"/>
                    <w:rPr>
                      <w:bCs/>
                    </w:rPr>
                  </w:pPr>
                </w:p>
              </w:tc>
              <w:tc>
                <w:tcPr>
                  <w:tcW w:w="630" w:type="pct"/>
                  <w:vAlign w:val="center"/>
                </w:tcPr>
                <w:p w14:paraId="10D7B12B">
                  <w:pPr>
                    <w:pStyle w:val="29"/>
                    <w:rPr>
                      <w:bCs/>
                    </w:rPr>
                  </w:pPr>
                  <w:r>
                    <w:rPr>
                      <w:bCs/>
                    </w:rPr>
                    <w:t>颗粒物</w:t>
                  </w:r>
                </w:p>
              </w:tc>
              <w:tc>
                <w:tcPr>
                  <w:tcW w:w="549" w:type="pct"/>
                  <w:vMerge w:val="continue"/>
                  <w:vAlign w:val="center"/>
                </w:tcPr>
                <w:p w14:paraId="3DB47F5C">
                  <w:pPr>
                    <w:pStyle w:val="29"/>
                    <w:rPr>
                      <w:bCs/>
                    </w:rPr>
                  </w:pPr>
                </w:p>
              </w:tc>
              <w:tc>
                <w:tcPr>
                  <w:tcW w:w="553" w:type="pct"/>
                  <w:vMerge w:val="continue"/>
                  <w:vAlign w:val="center"/>
                </w:tcPr>
                <w:p w14:paraId="5086C3DD">
                  <w:pPr>
                    <w:pStyle w:val="29"/>
                    <w:rPr>
                      <w:bCs/>
                    </w:rPr>
                  </w:pPr>
                </w:p>
              </w:tc>
              <w:tc>
                <w:tcPr>
                  <w:tcW w:w="2827" w:type="pct"/>
                  <w:vAlign w:val="center"/>
                </w:tcPr>
                <w:p w14:paraId="5D14CE26">
                  <w:pPr>
                    <w:pStyle w:val="29"/>
                    <w:rPr>
                      <w:bCs/>
                    </w:rPr>
                  </w:pPr>
                  <w:r>
                    <w:rPr>
                      <w:bCs/>
                    </w:rPr>
                    <w:t>广东省《大气污染物排放限值》（DB44/27-2001）中表2第二时段无组织排放监控浓度限值</w:t>
                  </w:r>
                  <w:r>
                    <w:rPr>
                      <w:rFonts w:hint="eastAsia"/>
                      <w:bCs/>
                      <w:color w:val="EE0000"/>
                    </w:rPr>
                    <w:t>及</w:t>
                  </w:r>
                  <w:r>
                    <w:rPr>
                      <w:bCs/>
                      <w:color w:val="EE0000"/>
                    </w:rPr>
                    <w:t>《合成树脂工业污染物排放标准》</w:t>
                  </w:r>
                  <w:r>
                    <w:rPr>
                      <w:rFonts w:hint="eastAsia"/>
                      <w:bCs/>
                      <w:color w:val="EE0000"/>
                    </w:rPr>
                    <w:t xml:space="preserve"> (GB31572-2015，含2024年修改单)</w:t>
                  </w:r>
                  <w:r>
                    <w:rPr>
                      <w:bCs/>
                      <w:color w:val="EE0000"/>
                    </w:rPr>
                    <w:t>表9企业边界大气污染物浓度限值</w:t>
                  </w:r>
                </w:p>
              </w:tc>
            </w:tr>
            <w:tr w14:paraId="3EFA2F7C">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283" w:hRule="atLeast"/>
              </w:trPr>
              <w:tc>
                <w:tcPr>
                  <w:tcW w:w="441" w:type="pct"/>
                  <w:vMerge w:val="continue"/>
                  <w:vAlign w:val="center"/>
                </w:tcPr>
                <w:p w14:paraId="17ABE1D4">
                  <w:pPr>
                    <w:pStyle w:val="29"/>
                    <w:rPr>
                      <w:bCs/>
                    </w:rPr>
                  </w:pPr>
                </w:p>
              </w:tc>
              <w:tc>
                <w:tcPr>
                  <w:tcW w:w="630" w:type="pct"/>
                  <w:vAlign w:val="center"/>
                </w:tcPr>
                <w:p w14:paraId="380337F7">
                  <w:pPr>
                    <w:pStyle w:val="29"/>
                    <w:rPr>
                      <w:bCs/>
                    </w:rPr>
                  </w:pPr>
                  <w:r>
                    <w:rPr>
                      <w:bCs/>
                    </w:rPr>
                    <w:t>臭气浓度</w:t>
                  </w:r>
                </w:p>
              </w:tc>
              <w:tc>
                <w:tcPr>
                  <w:tcW w:w="549" w:type="pct"/>
                  <w:vMerge w:val="continue"/>
                  <w:vAlign w:val="center"/>
                </w:tcPr>
                <w:p w14:paraId="6E86D02D">
                  <w:pPr>
                    <w:pStyle w:val="29"/>
                    <w:rPr>
                      <w:bCs/>
                    </w:rPr>
                  </w:pPr>
                </w:p>
              </w:tc>
              <w:tc>
                <w:tcPr>
                  <w:tcW w:w="553" w:type="pct"/>
                  <w:vMerge w:val="continue"/>
                  <w:vAlign w:val="center"/>
                </w:tcPr>
                <w:p w14:paraId="44ED3932">
                  <w:pPr>
                    <w:pStyle w:val="29"/>
                    <w:rPr>
                      <w:bCs/>
                    </w:rPr>
                  </w:pPr>
                </w:p>
              </w:tc>
              <w:tc>
                <w:tcPr>
                  <w:tcW w:w="2827" w:type="pct"/>
                  <w:vAlign w:val="center"/>
                </w:tcPr>
                <w:p w14:paraId="5BB80DE7">
                  <w:pPr>
                    <w:pStyle w:val="29"/>
                    <w:rPr>
                      <w:bCs/>
                    </w:rPr>
                  </w:pPr>
                  <w:r>
                    <w:rPr>
                      <w:bCs/>
                    </w:rPr>
                    <w:t>《恶臭污染物排放标准》（GB14554-93）中表1恶臭污染物厂界标准值二级新扩改建标准值</w:t>
                  </w:r>
                </w:p>
              </w:tc>
            </w:tr>
            <w:tr w14:paraId="5A48A8A4">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283" w:hRule="atLeast"/>
              </w:trPr>
              <w:tc>
                <w:tcPr>
                  <w:tcW w:w="441" w:type="pct"/>
                  <w:vAlign w:val="center"/>
                </w:tcPr>
                <w:p w14:paraId="53492D12">
                  <w:pPr>
                    <w:pStyle w:val="29"/>
                    <w:rPr>
                      <w:bCs/>
                    </w:rPr>
                  </w:pPr>
                  <w:r>
                    <w:rPr>
                      <w:bCs/>
                    </w:rPr>
                    <w:t>厂区内</w:t>
                  </w:r>
                </w:p>
                <w:p w14:paraId="1EFC7659">
                  <w:pPr>
                    <w:pStyle w:val="29"/>
                    <w:rPr>
                      <w:bCs/>
                    </w:rPr>
                  </w:pPr>
                  <w:r>
                    <w:rPr>
                      <w:rFonts w:hint="eastAsia"/>
                      <w:bCs/>
                      <w:color w:val="EE0000"/>
                    </w:rPr>
                    <w:t>厂房</w:t>
                  </w:r>
                  <w:r>
                    <w:rPr>
                      <w:bCs/>
                      <w:color w:val="EE0000"/>
                    </w:rPr>
                    <w:t>外</w:t>
                  </w:r>
                </w:p>
              </w:tc>
              <w:tc>
                <w:tcPr>
                  <w:tcW w:w="630" w:type="pct"/>
                  <w:vAlign w:val="center"/>
                </w:tcPr>
                <w:p w14:paraId="5655070D">
                  <w:pPr>
                    <w:pStyle w:val="29"/>
                    <w:rPr>
                      <w:bCs/>
                    </w:rPr>
                  </w:pPr>
                  <w:r>
                    <w:rPr>
                      <w:bCs/>
                    </w:rPr>
                    <w:t>NMHC</w:t>
                  </w:r>
                </w:p>
              </w:tc>
              <w:tc>
                <w:tcPr>
                  <w:tcW w:w="549" w:type="pct"/>
                  <w:vAlign w:val="center"/>
                </w:tcPr>
                <w:p w14:paraId="16FC6BF2">
                  <w:pPr>
                    <w:pStyle w:val="29"/>
                    <w:rPr>
                      <w:bCs/>
                    </w:rPr>
                  </w:pPr>
                  <w:r>
                    <w:rPr>
                      <w:bCs/>
                    </w:rPr>
                    <w:t>厂房外</w:t>
                  </w:r>
                </w:p>
              </w:tc>
              <w:tc>
                <w:tcPr>
                  <w:tcW w:w="553" w:type="pct"/>
                  <w:vAlign w:val="center"/>
                </w:tcPr>
                <w:p w14:paraId="6CC5DDCE">
                  <w:pPr>
                    <w:pStyle w:val="29"/>
                    <w:rPr>
                      <w:bCs/>
                    </w:rPr>
                  </w:pPr>
                  <w:r>
                    <w:rPr>
                      <w:bCs/>
                    </w:rPr>
                    <w:t>1次/年</w:t>
                  </w:r>
                </w:p>
              </w:tc>
              <w:tc>
                <w:tcPr>
                  <w:tcW w:w="2827" w:type="pct"/>
                  <w:vAlign w:val="center"/>
                </w:tcPr>
                <w:p w14:paraId="7DDB1F31">
                  <w:pPr>
                    <w:pStyle w:val="29"/>
                    <w:rPr>
                      <w:bCs/>
                    </w:rPr>
                  </w:pPr>
                  <w:r>
                    <w:rPr>
                      <w:bCs/>
                    </w:rPr>
                    <w:t>广东省《固定污染源挥发性有机物综合排放标准》（DB44/2367-2022）表3排放限值和《印刷工业大气污染物排放标准》（GB41616-2022）附录A排放限值间较严者</w:t>
                  </w:r>
                </w:p>
              </w:tc>
            </w:tr>
          </w:tbl>
          <w:p w14:paraId="46C5A7F6">
            <w:pPr>
              <w:ind w:firstLine="480"/>
              <w:rPr>
                <w:bCs/>
                <w:szCs w:val="25"/>
              </w:rPr>
            </w:pPr>
            <w:r>
              <w:rPr>
                <w:bCs/>
                <w:szCs w:val="25"/>
              </w:rPr>
              <w:t>6.</w:t>
            </w:r>
            <w:r>
              <w:rPr>
                <w:bCs/>
              </w:rPr>
              <w:t>非正常工况</w:t>
            </w:r>
          </w:p>
          <w:p w14:paraId="27C958FE">
            <w:pPr>
              <w:ind w:firstLine="480"/>
              <w:rPr>
                <w:bCs/>
              </w:rPr>
            </w:pPr>
            <w:r>
              <w:rPr>
                <w:bCs/>
              </w:rPr>
              <w:t>非正常排放是指生产过程中生产设备开停、设备检修、工艺设备运转异常等非正常工况下的污染物排放，以及污染物排放控制措施达不到应有效率等情况下的排放。项目废气非正常工况排放主要为</w:t>
            </w:r>
            <w:r>
              <w:rPr>
                <w:rFonts w:hint="eastAsia"/>
                <w:bCs/>
              </w:rPr>
              <w:t>单个</w:t>
            </w:r>
            <w:r>
              <w:rPr>
                <w:bCs/>
              </w:rPr>
              <w:t>废气治理设施故障失效状态，处理效率为0%的状态进行计算，但废气收集系统可以正常运行，废气通过排气筒排放等情况，废气处理设施出现故障不能正常运行时，应立即停产进行维修，避免对周围环境造成污染。</w:t>
            </w:r>
          </w:p>
          <w:p w14:paraId="06D5074B">
            <w:pPr>
              <w:pStyle w:val="11"/>
              <w:numPr>
                <w:ilvl w:val="0"/>
                <w:numId w:val="4"/>
              </w:numPr>
              <w:rPr>
                <w:bCs w:val="0"/>
              </w:rPr>
            </w:pPr>
            <w:r>
              <w:rPr>
                <w:bCs w:val="0"/>
              </w:rPr>
              <w:t>废气监测计划一览表</w:t>
            </w:r>
          </w:p>
          <w:tbl>
            <w:tblPr>
              <w:tblStyle w:val="21"/>
              <w:tblW w:w="9101"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313"/>
              <w:gridCol w:w="567"/>
              <w:gridCol w:w="1134"/>
              <w:gridCol w:w="709"/>
              <w:gridCol w:w="597"/>
              <w:gridCol w:w="850"/>
              <w:gridCol w:w="850"/>
              <w:gridCol w:w="850"/>
              <w:gridCol w:w="680"/>
              <w:gridCol w:w="567"/>
              <w:gridCol w:w="1984"/>
            </w:tblGrid>
            <w:tr w14:paraId="2AF9321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0" w:hRule="atLeast"/>
                <w:tblHeader/>
              </w:trPr>
              <w:tc>
                <w:tcPr>
                  <w:tcW w:w="313" w:type="dxa"/>
                  <w:tcBorders>
                    <w:top w:val="single" w:color="auto" w:sz="12" w:space="0"/>
                    <w:left w:val="nil"/>
                  </w:tcBorders>
                  <w:vAlign w:val="center"/>
                </w:tcPr>
                <w:p w14:paraId="3F234806">
                  <w:pPr>
                    <w:pStyle w:val="29"/>
                    <w:rPr>
                      <w:b/>
                      <w:bCs/>
                    </w:rPr>
                  </w:pPr>
                  <w:r>
                    <w:rPr>
                      <w:b/>
                      <w:bCs/>
                    </w:rPr>
                    <w:t>序号</w:t>
                  </w:r>
                </w:p>
              </w:tc>
              <w:tc>
                <w:tcPr>
                  <w:tcW w:w="567" w:type="dxa"/>
                  <w:tcBorders>
                    <w:top w:val="single" w:color="auto" w:sz="12" w:space="0"/>
                  </w:tcBorders>
                  <w:vAlign w:val="center"/>
                </w:tcPr>
                <w:p w14:paraId="478EDCEE">
                  <w:pPr>
                    <w:pStyle w:val="29"/>
                    <w:rPr>
                      <w:b/>
                      <w:bCs/>
                    </w:rPr>
                  </w:pPr>
                  <w:r>
                    <w:rPr>
                      <w:b/>
                      <w:bCs/>
                    </w:rPr>
                    <w:t>污染源</w:t>
                  </w:r>
                </w:p>
              </w:tc>
              <w:tc>
                <w:tcPr>
                  <w:tcW w:w="1134" w:type="dxa"/>
                  <w:tcBorders>
                    <w:top w:val="single" w:color="auto" w:sz="12" w:space="0"/>
                  </w:tcBorders>
                  <w:vAlign w:val="center"/>
                </w:tcPr>
                <w:p w14:paraId="4EBE6CA1">
                  <w:pPr>
                    <w:pStyle w:val="29"/>
                    <w:rPr>
                      <w:b/>
                      <w:bCs/>
                    </w:rPr>
                  </w:pPr>
                  <w:r>
                    <w:rPr>
                      <w:b/>
                      <w:bCs/>
                    </w:rPr>
                    <w:t>非正常排放原因</w:t>
                  </w:r>
                </w:p>
              </w:tc>
              <w:tc>
                <w:tcPr>
                  <w:tcW w:w="709" w:type="dxa"/>
                  <w:tcBorders>
                    <w:top w:val="single" w:color="auto" w:sz="12" w:space="0"/>
                  </w:tcBorders>
                  <w:vAlign w:val="center"/>
                </w:tcPr>
                <w:p w14:paraId="7A5A31FA">
                  <w:pPr>
                    <w:pStyle w:val="29"/>
                    <w:rPr>
                      <w:b/>
                      <w:bCs/>
                    </w:rPr>
                  </w:pPr>
                  <w:r>
                    <w:rPr>
                      <w:b/>
                      <w:bCs/>
                    </w:rPr>
                    <w:t>污染物</w:t>
                  </w:r>
                </w:p>
              </w:tc>
              <w:tc>
                <w:tcPr>
                  <w:tcW w:w="597" w:type="dxa"/>
                  <w:tcBorders>
                    <w:top w:val="single" w:color="auto" w:sz="12" w:space="0"/>
                  </w:tcBorders>
                  <w:vAlign w:val="center"/>
                </w:tcPr>
                <w:p w14:paraId="713C4DB0">
                  <w:pPr>
                    <w:pStyle w:val="29"/>
                    <w:rPr>
                      <w:b/>
                      <w:bCs/>
                    </w:rPr>
                  </w:pPr>
                  <w:r>
                    <w:rPr>
                      <w:rFonts w:hint="eastAsia"/>
                      <w:b/>
                      <w:bCs/>
                    </w:rPr>
                    <w:t>原处理效率(%)</w:t>
                  </w:r>
                </w:p>
              </w:tc>
              <w:tc>
                <w:tcPr>
                  <w:tcW w:w="850" w:type="dxa"/>
                  <w:tcBorders>
                    <w:top w:val="single" w:color="auto" w:sz="12" w:space="0"/>
                  </w:tcBorders>
                  <w:vAlign w:val="center"/>
                </w:tcPr>
                <w:p w14:paraId="317D3B2B">
                  <w:pPr>
                    <w:pStyle w:val="29"/>
                    <w:rPr>
                      <w:b/>
                      <w:bCs/>
                    </w:rPr>
                  </w:pPr>
                  <w:r>
                    <w:rPr>
                      <w:rFonts w:hint="eastAsia"/>
                      <w:b/>
                      <w:bCs/>
                    </w:rPr>
                    <w:t>失效后处理效率(%)</w:t>
                  </w:r>
                </w:p>
              </w:tc>
              <w:tc>
                <w:tcPr>
                  <w:tcW w:w="850" w:type="dxa"/>
                  <w:tcBorders>
                    <w:top w:val="single" w:color="auto" w:sz="12" w:space="0"/>
                    <w:bottom w:val="single" w:color="auto" w:sz="4" w:space="0"/>
                  </w:tcBorders>
                  <w:vAlign w:val="center"/>
                </w:tcPr>
                <w:p w14:paraId="2C53BF8F">
                  <w:pPr>
                    <w:pStyle w:val="29"/>
                    <w:rPr>
                      <w:b/>
                      <w:bCs/>
                    </w:rPr>
                  </w:pPr>
                  <w:r>
                    <w:rPr>
                      <w:b/>
                      <w:bCs/>
                    </w:rPr>
                    <w:t>非正常排放浓度(mg/m³)</w:t>
                  </w:r>
                </w:p>
              </w:tc>
              <w:tc>
                <w:tcPr>
                  <w:tcW w:w="850" w:type="dxa"/>
                  <w:tcBorders>
                    <w:top w:val="single" w:color="auto" w:sz="12" w:space="0"/>
                    <w:bottom w:val="single" w:color="auto" w:sz="4" w:space="0"/>
                  </w:tcBorders>
                  <w:vAlign w:val="center"/>
                </w:tcPr>
                <w:p w14:paraId="23E889BF">
                  <w:pPr>
                    <w:pStyle w:val="29"/>
                    <w:rPr>
                      <w:b/>
                      <w:bCs/>
                    </w:rPr>
                  </w:pPr>
                  <w:r>
                    <w:rPr>
                      <w:b/>
                      <w:bCs/>
                    </w:rPr>
                    <w:t>非正常排放速率</w:t>
                  </w:r>
                  <w:r>
                    <w:rPr>
                      <w:rFonts w:hint="eastAsia"/>
                      <w:b/>
                      <w:bCs/>
                    </w:rPr>
                    <w:t>(</w:t>
                  </w:r>
                  <w:r>
                    <w:rPr>
                      <w:b/>
                      <w:bCs/>
                    </w:rPr>
                    <w:t>kg/h</w:t>
                  </w:r>
                  <w:r>
                    <w:rPr>
                      <w:rFonts w:hint="eastAsia"/>
                      <w:b/>
                      <w:bCs/>
                    </w:rPr>
                    <w:t>)</w:t>
                  </w:r>
                </w:p>
              </w:tc>
              <w:tc>
                <w:tcPr>
                  <w:tcW w:w="680" w:type="dxa"/>
                  <w:tcBorders>
                    <w:top w:val="single" w:color="auto" w:sz="12" w:space="0"/>
                  </w:tcBorders>
                  <w:vAlign w:val="center"/>
                </w:tcPr>
                <w:p w14:paraId="7E3253AA">
                  <w:pPr>
                    <w:pStyle w:val="29"/>
                    <w:rPr>
                      <w:b/>
                      <w:bCs/>
                    </w:rPr>
                  </w:pPr>
                  <w:r>
                    <w:rPr>
                      <w:b/>
                      <w:bCs/>
                    </w:rPr>
                    <w:t>单次持续时间</w:t>
                  </w:r>
                  <w:r>
                    <w:rPr>
                      <w:rFonts w:hint="eastAsia"/>
                      <w:b/>
                      <w:bCs/>
                    </w:rPr>
                    <w:t>(</w:t>
                  </w:r>
                  <w:r>
                    <w:rPr>
                      <w:b/>
                      <w:bCs/>
                    </w:rPr>
                    <w:t>h</w:t>
                  </w:r>
                  <w:r>
                    <w:rPr>
                      <w:rFonts w:hint="eastAsia"/>
                      <w:b/>
                      <w:bCs/>
                    </w:rPr>
                    <w:t>)</w:t>
                  </w:r>
                </w:p>
              </w:tc>
              <w:tc>
                <w:tcPr>
                  <w:tcW w:w="567" w:type="dxa"/>
                  <w:tcBorders>
                    <w:top w:val="single" w:color="auto" w:sz="12" w:space="0"/>
                  </w:tcBorders>
                  <w:vAlign w:val="center"/>
                </w:tcPr>
                <w:p w14:paraId="61C20BF1">
                  <w:pPr>
                    <w:pStyle w:val="29"/>
                    <w:rPr>
                      <w:b/>
                      <w:bCs/>
                    </w:rPr>
                  </w:pPr>
                  <w:r>
                    <w:rPr>
                      <w:b/>
                      <w:bCs/>
                    </w:rPr>
                    <w:t>年发生频次</w:t>
                  </w:r>
                </w:p>
              </w:tc>
              <w:tc>
                <w:tcPr>
                  <w:tcW w:w="1984" w:type="dxa"/>
                  <w:tcBorders>
                    <w:top w:val="single" w:color="auto" w:sz="12" w:space="0"/>
                    <w:right w:val="nil"/>
                  </w:tcBorders>
                  <w:vAlign w:val="center"/>
                </w:tcPr>
                <w:p w14:paraId="2A65429C">
                  <w:pPr>
                    <w:pStyle w:val="29"/>
                    <w:rPr>
                      <w:b/>
                      <w:bCs/>
                    </w:rPr>
                  </w:pPr>
                  <w:r>
                    <w:rPr>
                      <w:b/>
                      <w:bCs/>
                    </w:rPr>
                    <w:t>应对措施</w:t>
                  </w:r>
                </w:p>
              </w:tc>
            </w:tr>
            <w:tr w14:paraId="37AAC1F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0" w:hRule="atLeast"/>
              </w:trPr>
              <w:tc>
                <w:tcPr>
                  <w:tcW w:w="313" w:type="dxa"/>
                  <w:tcBorders>
                    <w:left w:val="nil"/>
                  </w:tcBorders>
                  <w:vAlign w:val="center"/>
                </w:tcPr>
                <w:p w14:paraId="35035DB2">
                  <w:pPr>
                    <w:pStyle w:val="29"/>
                  </w:pPr>
                  <w:r>
                    <w:rPr>
                      <w:rFonts w:hint="eastAsia"/>
                    </w:rPr>
                    <w:t>1</w:t>
                  </w:r>
                </w:p>
              </w:tc>
              <w:tc>
                <w:tcPr>
                  <w:tcW w:w="567" w:type="dxa"/>
                  <w:vMerge w:val="restart"/>
                  <w:tcBorders>
                    <w:top w:val="single" w:color="auto" w:sz="4" w:space="0"/>
                    <w:left w:val="single" w:color="auto" w:sz="4" w:space="0"/>
                    <w:right w:val="single" w:color="auto" w:sz="4" w:space="0"/>
                  </w:tcBorders>
                  <w:shd w:val="clear" w:color="auto" w:fill="auto"/>
                  <w:vAlign w:val="center"/>
                </w:tcPr>
                <w:p w14:paraId="5D2E3820">
                  <w:pPr>
                    <w:pStyle w:val="29"/>
                  </w:pPr>
                  <w:r>
                    <w:rPr>
                      <w:rFonts w:hint="eastAsia"/>
                    </w:rPr>
                    <w:t>DA001</w:t>
                  </w:r>
                </w:p>
              </w:tc>
              <w:tc>
                <w:tcPr>
                  <w:tcW w:w="1134" w:type="dxa"/>
                  <w:vAlign w:val="center"/>
                </w:tcPr>
                <w:p w14:paraId="512C01E2">
                  <w:pPr>
                    <w:pStyle w:val="29"/>
                  </w:pPr>
                  <w:r>
                    <w:rPr>
                      <w:rFonts w:hint="eastAsia"/>
                    </w:rPr>
                    <w:t>活性炭失效</w:t>
                  </w:r>
                </w:p>
              </w:tc>
              <w:tc>
                <w:tcPr>
                  <w:tcW w:w="709" w:type="dxa"/>
                  <w:vAlign w:val="center"/>
                </w:tcPr>
                <w:p w14:paraId="20512846">
                  <w:pPr>
                    <w:pStyle w:val="29"/>
                  </w:pPr>
                  <w:r>
                    <w:t>非甲烷总烃</w:t>
                  </w:r>
                </w:p>
              </w:tc>
              <w:tc>
                <w:tcPr>
                  <w:tcW w:w="597" w:type="dxa"/>
                  <w:shd w:val="clear" w:color="auto" w:fill="auto"/>
                  <w:vAlign w:val="center"/>
                </w:tcPr>
                <w:p w14:paraId="6482D1DB">
                  <w:pPr>
                    <w:pStyle w:val="29"/>
                    <w:rPr>
                      <w:color w:val="EE0000"/>
                    </w:rPr>
                  </w:pPr>
                  <w:r>
                    <w:rPr>
                      <w:rFonts w:hint="eastAsia"/>
                      <w:color w:val="EE0000"/>
                    </w:rPr>
                    <w:t>80</w:t>
                  </w:r>
                </w:p>
              </w:tc>
              <w:tc>
                <w:tcPr>
                  <w:tcW w:w="850" w:type="dxa"/>
                  <w:shd w:val="clear" w:color="auto" w:fill="auto"/>
                  <w:vAlign w:val="center"/>
                </w:tcPr>
                <w:p w14:paraId="09B9A2E4">
                  <w:pPr>
                    <w:pStyle w:val="29"/>
                    <w:rPr>
                      <w:color w:val="EE0000"/>
                    </w:rPr>
                  </w:pPr>
                  <w:r>
                    <w:rPr>
                      <w:rFonts w:hint="eastAsia"/>
                      <w:color w:val="EE0000"/>
                    </w:rPr>
                    <w:t>0</w:t>
                  </w:r>
                </w:p>
              </w:tc>
              <w:tc>
                <w:tcPr>
                  <w:tcW w:w="850" w:type="dxa"/>
                  <w:tcBorders>
                    <w:top w:val="single" w:color="auto" w:sz="4" w:space="0"/>
                    <w:left w:val="nil"/>
                    <w:bottom w:val="single" w:color="auto" w:sz="4" w:space="0"/>
                    <w:right w:val="single" w:color="auto" w:sz="4" w:space="0"/>
                  </w:tcBorders>
                  <w:shd w:val="clear" w:color="auto" w:fill="auto"/>
                  <w:vAlign w:val="center"/>
                </w:tcPr>
                <w:p w14:paraId="31AAC09F">
                  <w:pPr>
                    <w:pStyle w:val="29"/>
                    <w:rPr>
                      <w:color w:val="EE0000"/>
                    </w:rPr>
                  </w:pPr>
                  <w:r>
                    <w:rPr>
                      <w:rFonts w:hint="eastAsia"/>
                      <w:color w:val="EE0000"/>
                    </w:rPr>
                    <w:t>11</w:t>
                  </w:r>
                  <w:r>
                    <w:rPr>
                      <w:color w:val="EE0000"/>
                    </w:rPr>
                    <w:t>3.</w:t>
                  </w:r>
                  <w:r>
                    <w:rPr>
                      <w:rFonts w:hint="eastAsia"/>
                      <w:color w:val="EE0000"/>
                    </w:rPr>
                    <w:t>7946</w:t>
                  </w:r>
                  <w:r>
                    <w:rPr>
                      <w:color w:val="EE0000"/>
                    </w:rPr>
                    <w:t xml:space="preserve"> </w:t>
                  </w:r>
                </w:p>
              </w:tc>
              <w:tc>
                <w:tcPr>
                  <w:tcW w:w="850" w:type="dxa"/>
                  <w:tcBorders>
                    <w:top w:val="single" w:color="auto" w:sz="4" w:space="0"/>
                    <w:left w:val="nil"/>
                    <w:bottom w:val="single" w:color="auto" w:sz="4" w:space="0"/>
                    <w:right w:val="single" w:color="auto" w:sz="4" w:space="0"/>
                  </w:tcBorders>
                  <w:shd w:val="clear" w:color="auto" w:fill="auto"/>
                  <w:vAlign w:val="center"/>
                </w:tcPr>
                <w:p w14:paraId="7EAC6BA6">
                  <w:pPr>
                    <w:pStyle w:val="29"/>
                    <w:rPr>
                      <w:color w:val="EE0000"/>
                    </w:rPr>
                  </w:pPr>
                  <w:r>
                    <w:rPr>
                      <w:color w:val="EE0000"/>
                    </w:rPr>
                    <w:t xml:space="preserve">0.0512 </w:t>
                  </w:r>
                </w:p>
              </w:tc>
              <w:tc>
                <w:tcPr>
                  <w:tcW w:w="680" w:type="dxa"/>
                  <w:tcBorders>
                    <w:top w:val="single" w:color="auto" w:sz="8" w:space="0"/>
                    <w:left w:val="single" w:color="auto" w:sz="4" w:space="0"/>
                    <w:bottom w:val="single" w:color="auto" w:sz="8" w:space="0"/>
                    <w:right w:val="single" w:color="auto" w:sz="8" w:space="0"/>
                  </w:tcBorders>
                  <w:vAlign w:val="center"/>
                </w:tcPr>
                <w:p w14:paraId="59CEB963">
                  <w:pPr>
                    <w:pStyle w:val="29"/>
                    <w:rPr>
                      <w:rFonts w:eastAsia="等线"/>
                      <w:szCs w:val="20"/>
                    </w:rPr>
                  </w:pPr>
                  <w:r>
                    <w:rPr>
                      <w:rFonts w:hint="eastAsia" w:eastAsia="等线"/>
                      <w:szCs w:val="20"/>
                    </w:rPr>
                    <w:t>1h</w:t>
                  </w:r>
                </w:p>
              </w:tc>
              <w:tc>
                <w:tcPr>
                  <w:tcW w:w="567" w:type="dxa"/>
                  <w:vMerge w:val="restart"/>
                  <w:tcBorders>
                    <w:top w:val="single" w:color="auto" w:sz="8" w:space="0"/>
                    <w:left w:val="nil"/>
                    <w:right w:val="single" w:color="auto" w:sz="8" w:space="0"/>
                  </w:tcBorders>
                  <w:vAlign w:val="center"/>
                </w:tcPr>
                <w:p w14:paraId="7C114914">
                  <w:pPr>
                    <w:pStyle w:val="29"/>
                  </w:pPr>
                  <w:r>
                    <w:rPr>
                      <w:rFonts w:hint="eastAsia"/>
                    </w:rPr>
                    <w:t>1次</w:t>
                  </w:r>
                </w:p>
              </w:tc>
              <w:tc>
                <w:tcPr>
                  <w:tcW w:w="1984" w:type="dxa"/>
                  <w:vMerge w:val="restart"/>
                  <w:tcBorders>
                    <w:top w:val="single" w:color="auto" w:sz="8" w:space="0"/>
                    <w:left w:val="nil"/>
                    <w:right w:val="nil"/>
                  </w:tcBorders>
                  <w:vAlign w:val="center"/>
                </w:tcPr>
                <w:p w14:paraId="1D0FC615">
                  <w:pPr>
                    <w:pStyle w:val="29"/>
                    <w:rPr>
                      <w:rFonts w:eastAsia="等线"/>
                      <w:szCs w:val="20"/>
                    </w:rPr>
                  </w:pPr>
                  <w:r>
                    <w:rPr>
                      <w:szCs w:val="22"/>
                    </w:rPr>
                    <w:t>若出现废气治理设施失效则立即停止生产，减少大气污染物的产生，待废气治理设施正常运行后再恢复生产</w:t>
                  </w:r>
                </w:p>
              </w:tc>
            </w:tr>
            <w:tr w14:paraId="3F276E0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0" w:hRule="atLeast"/>
              </w:trPr>
              <w:tc>
                <w:tcPr>
                  <w:tcW w:w="313" w:type="dxa"/>
                  <w:tcBorders>
                    <w:left w:val="nil"/>
                    <w:right w:val="single" w:color="auto" w:sz="4" w:space="0"/>
                  </w:tcBorders>
                  <w:vAlign w:val="center"/>
                </w:tcPr>
                <w:p w14:paraId="5E9E9F18">
                  <w:pPr>
                    <w:pStyle w:val="29"/>
                  </w:pPr>
                  <w:r>
                    <w:rPr>
                      <w:rFonts w:hint="eastAsia"/>
                    </w:rPr>
                    <w:t>2</w:t>
                  </w:r>
                </w:p>
              </w:tc>
              <w:tc>
                <w:tcPr>
                  <w:tcW w:w="567" w:type="dxa"/>
                  <w:vMerge w:val="continue"/>
                  <w:tcBorders>
                    <w:left w:val="single" w:color="auto" w:sz="4" w:space="0"/>
                    <w:right w:val="single" w:color="auto" w:sz="4" w:space="0"/>
                  </w:tcBorders>
                  <w:vAlign w:val="center"/>
                </w:tcPr>
                <w:p w14:paraId="064A4200">
                  <w:pPr>
                    <w:pStyle w:val="29"/>
                  </w:pPr>
                </w:p>
              </w:tc>
              <w:tc>
                <w:tcPr>
                  <w:tcW w:w="1134" w:type="dxa"/>
                  <w:tcBorders>
                    <w:left w:val="single" w:color="auto" w:sz="4" w:space="0"/>
                  </w:tcBorders>
                  <w:vAlign w:val="center"/>
                </w:tcPr>
                <w:p w14:paraId="69D2AB27">
                  <w:pPr>
                    <w:pStyle w:val="29"/>
                  </w:pPr>
                  <w:r>
                    <w:rPr>
                      <w:rFonts w:hint="eastAsia"/>
                    </w:rPr>
                    <w:t>水帘柜失效</w:t>
                  </w:r>
                </w:p>
              </w:tc>
              <w:tc>
                <w:tcPr>
                  <w:tcW w:w="709" w:type="dxa"/>
                  <w:vMerge w:val="restart"/>
                  <w:vAlign w:val="center"/>
                </w:tcPr>
                <w:p w14:paraId="51FCD700">
                  <w:pPr>
                    <w:pStyle w:val="29"/>
                  </w:pPr>
                  <w:r>
                    <w:rPr>
                      <w:rFonts w:hint="eastAsia"/>
                    </w:rPr>
                    <w:t>颗粒物</w:t>
                  </w:r>
                </w:p>
              </w:tc>
              <w:tc>
                <w:tcPr>
                  <w:tcW w:w="597" w:type="dxa"/>
                  <w:shd w:val="clear" w:color="auto" w:fill="auto"/>
                  <w:vAlign w:val="center"/>
                </w:tcPr>
                <w:p w14:paraId="6BD1010D">
                  <w:pPr>
                    <w:pStyle w:val="29"/>
                    <w:rPr>
                      <w:color w:val="EE0000"/>
                    </w:rPr>
                  </w:pPr>
                  <w:r>
                    <w:rPr>
                      <w:rFonts w:hint="eastAsia"/>
                      <w:color w:val="0000FF"/>
                    </w:rPr>
                    <w:t>95.5</w:t>
                  </w:r>
                </w:p>
              </w:tc>
              <w:tc>
                <w:tcPr>
                  <w:tcW w:w="850" w:type="dxa"/>
                  <w:shd w:val="clear" w:color="auto" w:fill="auto"/>
                  <w:vAlign w:val="center"/>
                </w:tcPr>
                <w:p w14:paraId="4C2238B2">
                  <w:pPr>
                    <w:pStyle w:val="29"/>
                    <w:rPr>
                      <w:color w:val="EE0000"/>
                    </w:rPr>
                  </w:pPr>
                  <w:r>
                    <w:rPr>
                      <w:rFonts w:hint="eastAsia"/>
                      <w:color w:val="EE0000"/>
                    </w:rPr>
                    <w:t>85</w:t>
                  </w:r>
                </w:p>
              </w:tc>
              <w:tc>
                <w:tcPr>
                  <w:tcW w:w="850" w:type="dxa"/>
                  <w:tcBorders>
                    <w:top w:val="single" w:color="auto" w:sz="4" w:space="0"/>
                    <w:left w:val="nil"/>
                    <w:bottom w:val="single" w:color="auto" w:sz="4" w:space="0"/>
                    <w:right w:val="single" w:color="auto" w:sz="4" w:space="0"/>
                  </w:tcBorders>
                  <w:shd w:val="clear" w:color="auto" w:fill="auto"/>
                  <w:vAlign w:val="center"/>
                </w:tcPr>
                <w:p w14:paraId="57E5F0EF">
                  <w:pPr>
                    <w:pStyle w:val="29"/>
                    <w:rPr>
                      <w:color w:val="EE0000"/>
                      <w:szCs w:val="20"/>
                    </w:rPr>
                  </w:pPr>
                  <w:r>
                    <w:rPr>
                      <w:rFonts w:eastAsia="等线"/>
                      <w:color w:val="EE0000"/>
                    </w:rPr>
                    <w:t xml:space="preserve">14.6160 </w:t>
                  </w:r>
                </w:p>
              </w:tc>
              <w:tc>
                <w:tcPr>
                  <w:tcW w:w="850" w:type="dxa"/>
                  <w:tcBorders>
                    <w:top w:val="single" w:color="auto" w:sz="4" w:space="0"/>
                    <w:left w:val="nil"/>
                    <w:bottom w:val="single" w:color="auto" w:sz="4" w:space="0"/>
                    <w:right w:val="single" w:color="auto" w:sz="4" w:space="0"/>
                  </w:tcBorders>
                  <w:shd w:val="clear" w:color="auto" w:fill="auto"/>
                  <w:vAlign w:val="center"/>
                </w:tcPr>
                <w:p w14:paraId="2B58ECB9">
                  <w:pPr>
                    <w:pStyle w:val="29"/>
                    <w:rPr>
                      <w:color w:val="EE0000"/>
                      <w:szCs w:val="20"/>
                    </w:rPr>
                  </w:pPr>
                  <w:r>
                    <w:rPr>
                      <w:rFonts w:eastAsia="等线"/>
                      <w:color w:val="EE0000"/>
                    </w:rPr>
                    <w:t xml:space="preserve">0.0950 </w:t>
                  </w:r>
                </w:p>
              </w:tc>
              <w:tc>
                <w:tcPr>
                  <w:tcW w:w="680" w:type="dxa"/>
                  <w:tcBorders>
                    <w:top w:val="single" w:color="auto" w:sz="4" w:space="0"/>
                    <w:left w:val="nil"/>
                    <w:bottom w:val="single" w:color="auto" w:sz="4" w:space="0"/>
                    <w:right w:val="single" w:color="auto" w:sz="4" w:space="0"/>
                  </w:tcBorders>
                  <w:shd w:val="clear" w:color="auto" w:fill="auto"/>
                </w:tcPr>
                <w:p w14:paraId="0D7E3E44">
                  <w:pPr>
                    <w:pStyle w:val="29"/>
                    <w:rPr>
                      <w:rFonts w:eastAsia="等线"/>
                      <w:szCs w:val="20"/>
                    </w:rPr>
                  </w:pPr>
                  <w:r>
                    <w:rPr>
                      <w:rFonts w:hint="eastAsia" w:eastAsia="等线"/>
                      <w:szCs w:val="20"/>
                    </w:rPr>
                    <w:t>1h</w:t>
                  </w:r>
                </w:p>
              </w:tc>
              <w:tc>
                <w:tcPr>
                  <w:tcW w:w="567" w:type="dxa"/>
                  <w:vMerge w:val="continue"/>
                  <w:tcBorders>
                    <w:left w:val="single" w:color="auto" w:sz="4" w:space="0"/>
                    <w:right w:val="single" w:color="auto" w:sz="8" w:space="0"/>
                  </w:tcBorders>
                  <w:shd w:val="clear" w:color="auto" w:fill="auto"/>
                  <w:vAlign w:val="center"/>
                </w:tcPr>
                <w:p w14:paraId="7A7BF25E">
                  <w:pPr>
                    <w:pStyle w:val="29"/>
                    <w:rPr>
                      <w:rFonts w:eastAsia="等线"/>
                      <w:szCs w:val="20"/>
                    </w:rPr>
                  </w:pPr>
                </w:p>
              </w:tc>
              <w:tc>
                <w:tcPr>
                  <w:tcW w:w="1984" w:type="dxa"/>
                  <w:vMerge w:val="continue"/>
                  <w:tcBorders>
                    <w:left w:val="single" w:color="auto" w:sz="8" w:space="0"/>
                    <w:right w:val="nil"/>
                  </w:tcBorders>
                  <w:vAlign w:val="center"/>
                </w:tcPr>
                <w:p w14:paraId="09785CFC">
                  <w:pPr>
                    <w:pStyle w:val="29"/>
                    <w:rPr>
                      <w:rFonts w:eastAsia="等线"/>
                      <w:szCs w:val="20"/>
                    </w:rPr>
                  </w:pPr>
                </w:p>
              </w:tc>
            </w:tr>
            <w:tr w14:paraId="23D97FF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0" w:hRule="atLeast"/>
              </w:trPr>
              <w:tc>
                <w:tcPr>
                  <w:tcW w:w="313" w:type="dxa"/>
                  <w:tcBorders>
                    <w:left w:val="nil"/>
                    <w:bottom w:val="single" w:color="auto" w:sz="12" w:space="0"/>
                    <w:right w:val="single" w:color="auto" w:sz="4" w:space="0"/>
                  </w:tcBorders>
                  <w:vAlign w:val="center"/>
                </w:tcPr>
                <w:p w14:paraId="6A223D04">
                  <w:pPr>
                    <w:pStyle w:val="29"/>
                  </w:pPr>
                  <w:r>
                    <w:rPr>
                      <w:rFonts w:hint="eastAsia"/>
                    </w:rPr>
                    <w:t>3</w:t>
                  </w:r>
                </w:p>
              </w:tc>
              <w:tc>
                <w:tcPr>
                  <w:tcW w:w="567" w:type="dxa"/>
                  <w:vMerge w:val="continue"/>
                  <w:tcBorders>
                    <w:left w:val="single" w:color="auto" w:sz="4" w:space="0"/>
                    <w:bottom w:val="single" w:color="auto" w:sz="12" w:space="0"/>
                    <w:right w:val="single" w:color="auto" w:sz="4" w:space="0"/>
                  </w:tcBorders>
                  <w:vAlign w:val="center"/>
                </w:tcPr>
                <w:p w14:paraId="3E8BA92E">
                  <w:pPr>
                    <w:pStyle w:val="29"/>
                  </w:pPr>
                </w:p>
              </w:tc>
              <w:tc>
                <w:tcPr>
                  <w:tcW w:w="1134" w:type="dxa"/>
                  <w:tcBorders>
                    <w:left w:val="single" w:color="auto" w:sz="4" w:space="0"/>
                    <w:bottom w:val="single" w:color="auto" w:sz="12" w:space="0"/>
                  </w:tcBorders>
                  <w:vAlign w:val="center"/>
                </w:tcPr>
                <w:p w14:paraId="0EE63024">
                  <w:pPr>
                    <w:pStyle w:val="29"/>
                  </w:pPr>
                  <w:r>
                    <w:rPr>
                      <w:rFonts w:hint="eastAsia"/>
                    </w:rPr>
                    <w:t>水喷淋失效</w:t>
                  </w:r>
                </w:p>
              </w:tc>
              <w:tc>
                <w:tcPr>
                  <w:tcW w:w="709" w:type="dxa"/>
                  <w:vMerge w:val="continue"/>
                  <w:tcBorders>
                    <w:bottom w:val="single" w:color="auto" w:sz="12" w:space="0"/>
                  </w:tcBorders>
                  <w:vAlign w:val="center"/>
                </w:tcPr>
                <w:p w14:paraId="2FD1942B">
                  <w:pPr>
                    <w:pStyle w:val="29"/>
                  </w:pPr>
                </w:p>
              </w:tc>
              <w:tc>
                <w:tcPr>
                  <w:tcW w:w="597" w:type="dxa"/>
                  <w:tcBorders>
                    <w:bottom w:val="single" w:color="auto" w:sz="12" w:space="0"/>
                  </w:tcBorders>
                  <w:shd w:val="clear" w:color="auto" w:fill="auto"/>
                  <w:vAlign w:val="center"/>
                </w:tcPr>
                <w:p w14:paraId="162E0D37">
                  <w:pPr>
                    <w:pStyle w:val="29"/>
                    <w:rPr>
                      <w:color w:val="EE0000"/>
                    </w:rPr>
                  </w:pPr>
                  <w:r>
                    <w:rPr>
                      <w:rFonts w:hint="eastAsia"/>
                      <w:color w:val="0000FF"/>
                    </w:rPr>
                    <w:t>95.5</w:t>
                  </w:r>
                </w:p>
              </w:tc>
              <w:tc>
                <w:tcPr>
                  <w:tcW w:w="850" w:type="dxa"/>
                  <w:tcBorders>
                    <w:bottom w:val="single" w:color="auto" w:sz="12" w:space="0"/>
                  </w:tcBorders>
                  <w:shd w:val="clear" w:color="auto" w:fill="auto"/>
                  <w:vAlign w:val="center"/>
                </w:tcPr>
                <w:p w14:paraId="7FBDB76A">
                  <w:pPr>
                    <w:pStyle w:val="29"/>
                    <w:rPr>
                      <w:color w:val="EE0000"/>
                    </w:rPr>
                  </w:pPr>
                  <w:r>
                    <w:rPr>
                      <w:rFonts w:hint="eastAsia"/>
                      <w:color w:val="EE0000"/>
                    </w:rPr>
                    <w:t>70</w:t>
                  </w:r>
                </w:p>
              </w:tc>
              <w:tc>
                <w:tcPr>
                  <w:tcW w:w="850" w:type="dxa"/>
                  <w:tcBorders>
                    <w:top w:val="single" w:color="auto" w:sz="4" w:space="0"/>
                    <w:left w:val="nil"/>
                    <w:bottom w:val="single" w:color="auto" w:sz="12" w:space="0"/>
                    <w:right w:val="single" w:color="auto" w:sz="8" w:space="0"/>
                  </w:tcBorders>
                  <w:shd w:val="clear" w:color="auto" w:fill="auto"/>
                  <w:vAlign w:val="center"/>
                </w:tcPr>
                <w:p w14:paraId="2C3265CE">
                  <w:pPr>
                    <w:pStyle w:val="29"/>
                    <w:rPr>
                      <w:rFonts w:eastAsia="等线"/>
                      <w:color w:val="EE0000"/>
                      <w:szCs w:val="20"/>
                    </w:rPr>
                  </w:pPr>
                  <w:r>
                    <w:rPr>
                      <w:rFonts w:eastAsia="等线"/>
                      <w:color w:val="EE0000"/>
                    </w:rPr>
                    <w:t xml:space="preserve">29.2320 </w:t>
                  </w:r>
                </w:p>
              </w:tc>
              <w:tc>
                <w:tcPr>
                  <w:tcW w:w="850" w:type="dxa"/>
                  <w:tcBorders>
                    <w:top w:val="single" w:color="auto" w:sz="4" w:space="0"/>
                    <w:left w:val="nil"/>
                    <w:bottom w:val="single" w:color="auto" w:sz="12" w:space="0"/>
                    <w:right w:val="single" w:color="auto" w:sz="8" w:space="0"/>
                  </w:tcBorders>
                  <w:shd w:val="clear" w:color="auto" w:fill="auto"/>
                  <w:vAlign w:val="center"/>
                </w:tcPr>
                <w:p w14:paraId="247852E6">
                  <w:pPr>
                    <w:pStyle w:val="29"/>
                    <w:rPr>
                      <w:rFonts w:eastAsia="等线"/>
                      <w:color w:val="EE0000"/>
                      <w:szCs w:val="20"/>
                    </w:rPr>
                  </w:pPr>
                  <w:r>
                    <w:rPr>
                      <w:rFonts w:eastAsia="等线"/>
                      <w:color w:val="EE0000"/>
                    </w:rPr>
                    <w:t xml:space="preserve">0.1900 </w:t>
                  </w:r>
                </w:p>
              </w:tc>
              <w:tc>
                <w:tcPr>
                  <w:tcW w:w="680" w:type="dxa"/>
                  <w:tcBorders>
                    <w:top w:val="single" w:color="auto" w:sz="4" w:space="0"/>
                    <w:left w:val="nil"/>
                    <w:bottom w:val="single" w:color="auto" w:sz="12" w:space="0"/>
                    <w:right w:val="single" w:color="auto" w:sz="8" w:space="0"/>
                  </w:tcBorders>
                </w:tcPr>
                <w:p w14:paraId="37110AD6">
                  <w:pPr>
                    <w:pStyle w:val="29"/>
                    <w:rPr>
                      <w:rFonts w:eastAsia="等线"/>
                      <w:szCs w:val="20"/>
                    </w:rPr>
                  </w:pPr>
                  <w:r>
                    <w:rPr>
                      <w:rFonts w:hint="eastAsia" w:eastAsia="等线"/>
                      <w:szCs w:val="20"/>
                    </w:rPr>
                    <w:t>1h</w:t>
                  </w:r>
                </w:p>
              </w:tc>
              <w:tc>
                <w:tcPr>
                  <w:tcW w:w="567" w:type="dxa"/>
                  <w:vMerge w:val="continue"/>
                  <w:tcBorders>
                    <w:left w:val="nil"/>
                    <w:bottom w:val="single" w:color="auto" w:sz="12" w:space="0"/>
                    <w:right w:val="single" w:color="auto" w:sz="8" w:space="0"/>
                  </w:tcBorders>
                  <w:vAlign w:val="center"/>
                </w:tcPr>
                <w:p w14:paraId="32BD7F34">
                  <w:pPr>
                    <w:pStyle w:val="29"/>
                    <w:rPr>
                      <w:rFonts w:eastAsia="等线"/>
                      <w:szCs w:val="20"/>
                    </w:rPr>
                  </w:pPr>
                </w:p>
              </w:tc>
              <w:tc>
                <w:tcPr>
                  <w:tcW w:w="1984" w:type="dxa"/>
                  <w:vMerge w:val="continue"/>
                  <w:tcBorders>
                    <w:left w:val="nil"/>
                    <w:bottom w:val="single" w:color="auto" w:sz="12" w:space="0"/>
                    <w:right w:val="nil"/>
                  </w:tcBorders>
                  <w:vAlign w:val="center"/>
                </w:tcPr>
                <w:p w14:paraId="6CA98A1F">
                  <w:pPr>
                    <w:pStyle w:val="29"/>
                    <w:rPr>
                      <w:rFonts w:eastAsia="等线"/>
                      <w:szCs w:val="20"/>
                    </w:rPr>
                  </w:pPr>
                </w:p>
              </w:tc>
            </w:tr>
          </w:tbl>
          <w:p w14:paraId="66A800A2">
            <w:pPr>
              <w:ind w:firstLine="480"/>
              <w:rPr>
                <w:bCs/>
              </w:rPr>
            </w:pPr>
          </w:p>
          <w:p w14:paraId="3B439883">
            <w:pPr>
              <w:ind w:firstLine="480"/>
              <w:rPr>
                <w:bCs/>
              </w:rPr>
            </w:pPr>
            <w:r>
              <w:rPr>
                <w:bCs/>
              </w:rPr>
              <w:t>7.废气污染防治技术可行性分析</w:t>
            </w:r>
          </w:p>
          <w:p w14:paraId="2B3EB9CD">
            <w:pPr>
              <w:ind w:firstLine="480"/>
              <w:rPr>
                <w:bCs/>
              </w:rPr>
            </w:pPr>
            <w:r>
              <w:rPr>
                <w:bCs/>
              </w:rPr>
              <w:t>根据《排污许可证申请与核发技术规范 橡胶和塑料制品工业》（HJ1122—2020），本项目有机废气、颗粒物处理采用</w:t>
            </w:r>
            <w:r>
              <w:rPr>
                <w:rFonts w:ascii="宋体" w:hAnsi="宋体"/>
                <w:bCs/>
              </w:rPr>
              <w:t>“</w:t>
            </w:r>
            <w:r>
              <w:rPr>
                <w:bCs/>
              </w:rPr>
              <w:t>水喷淋+干式过滤+二级活性炭吸附</w:t>
            </w:r>
            <w:r>
              <w:rPr>
                <w:rFonts w:ascii="宋体" w:hAnsi="宋体"/>
                <w:bCs/>
              </w:rPr>
              <w:t>”</w:t>
            </w:r>
            <w:r>
              <w:rPr>
                <w:bCs/>
                <w:lang w:val="zh-CN"/>
              </w:rPr>
              <w:t>的废气处理措施均</w:t>
            </w:r>
            <w:r>
              <w:rPr>
                <w:bCs/>
              </w:rPr>
              <w:t>为污染防治可行性技术。</w:t>
            </w:r>
          </w:p>
          <w:p w14:paraId="206AA9A4">
            <w:pPr>
              <w:ind w:firstLine="480"/>
              <w:rPr>
                <w:bCs/>
              </w:rPr>
            </w:pPr>
            <w:r>
              <w:rPr>
                <w:bCs/>
              </w:rPr>
              <w:t>8.废气达标排放情况</w:t>
            </w:r>
          </w:p>
          <w:p w14:paraId="36FACCF3">
            <w:pPr>
              <w:ind w:firstLine="488"/>
              <w:rPr>
                <w:bCs/>
              </w:rPr>
            </w:pPr>
            <w:r>
              <w:rPr>
                <w:bCs/>
                <w:spacing w:val="4"/>
              </w:rPr>
              <w:t>项目有机废气及颗粒物</w:t>
            </w:r>
            <w:r>
              <w:rPr>
                <w:bCs/>
              </w:rPr>
              <w:t>收集至</w:t>
            </w:r>
            <w:r>
              <w:rPr>
                <w:rFonts w:ascii="宋体" w:hAnsi="宋体"/>
                <w:bCs/>
              </w:rPr>
              <w:t>“</w:t>
            </w:r>
            <w:r>
              <w:rPr>
                <w:bCs/>
              </w:rPr>
              <w:t>水喷淋+干式过滤+二级活性炭吸附</w:t>
            </w:r>
            <w:r>
              <w:rPr>
                <w:rFonts w:ascii="宋体" w:hAnsi="宋体"/>
                <w:bCs/>
              </w:rPr>
              <w:t>”</w:t>
            </w:r>
            <w:r>
              <w:rPr>
                <w:bCs/>
              </w:rPr>
              <w:t>装置处理后由一根65米高的排气筒（DA001）高空排放。</w:t>
            </w:r>
          </w:p>
          <w:p w14:paraId="4E954DFC">
            <w:pPr>
              <w:ind w:firstLine="480"/>
              <w:rPr>
                <w:bCs/>
              </w:rPr>
            </w:pPr>
            <w:r>
              <w:rPr>
                <w:bCs/>
              </w:rPr>
              <w:t>非甲烷总烃有组织排放符合《合成树脂工业污染物排放标准》(GB31572-2015，含2024年修改单)中表5排放限值、《固定污染源挥发性有机物综合排放标准》（DB44/2367-2022）表1限值及《印刷工业大气污染物排放标准》(GB41616-2022)中的表1大气污染物排放限值的较严者的要求，总VOCs有组织排放符合广州省地方标准《印刷行业挥发性有机化合物排放标准》（DB44/815-2010）中凹版印刷、凸版印刷、丝网印刷、平版印刷（以金属、陶瓷、玻璃为承印物的平版印刷）Ⅱ时段排放浓度限值的要求</w:t>
            </w:r>
            <w:r>
              <w:rPr>
                <w:rFonts w:hint="eastAsia"/>
                <w:bCs/>
                <w:color w:val="EE0000"/>
              </w:rPr>
              <w:t>（排放速率按照标准限值50%执行）</w:t>
            </w:r>
            <w:r>
              <w:rPr>
                <w:bCs/>
              </w:rPr>
              <w:t>，颗粒物符合广东省《大气污染物排放限值》（DB44/27-2001）中表2第二时段二级标准排放限值的要求</w:t>
            </w:r>
            <w:r>
              <w:rPr>
                <w:rFonts w:hint="eastAsia"/>
                <w:bCs/>
                <w:color w:val="EE0000"/>
              </w:rPr>
              <w:t>（排放速率按照标准限值50%执行）</w:t>
            </w:r>
            <w:r>
              <w:rPr>
                <w:bCs/>
              </w:rPr>
              <w:t>，臭气浓度有组织符合执行《恶臭污染物排放标准》（GB14554-93）表2中恶臭污染物排放标准限值的要求。</w:t>
            </w:r>
          </w:p>
          <w:p w14:paraId="50DD8FDE">
            <w:pPr>
              <w:ind w:firstLine="480"/>
              <w:rPr>
                <w:bCs/>
              </w:rPr>
            </w:pPr>
            <w:r>
              <w:rPr>
                <w:bCs/>
              </w:rPr>
              <w:t>9.卫生防护距离</w:t>
            </w:r>
          </w:p>
          <w:p w14:paraId="5EE510E3">
            <w:pPr>
              <w:ind w:firstLine="480"/>
              <w:rPr>
                <w:bCs/>
              </w:rPr>
            </w:pPr>
            <w:r>
              <w:rPr>
                <w:bCs/>
              </w:rPr>
              <w:t>根据《大气有害物质无组织排放卫生防护距离推导技术导则》（GB/T39499-2020），为了防控通过无组织排放的大气污染物的健康危害，产生大气有害物质的生产单元（生产车间或作业场所）的边界至敏感区边界的最小距离。</w:t>
            </w:r>
          </w:p>
          <w:p w14:paraId="14C5BB1F">
            <w:pPr>
              <w:ind w:firstLine="480"/>
              <w:rPr>
                <w:bCs/>
              </w:rPr>
            </w:pPr>
            <w:r>
              <w:rPr>
                <w:bCs/>
              </w:rPr>
              <w:t>项目全厂无组织排放的大气污染物主要有颗粒物和非甲烷总烃。根据上述工程分析，计算等标排放量为Pi=Qc/Cm*10</w:t>
            </w:r>
            <w:r>
              <w:rPr>
                <w:bCs/>
                <w:vertAlign w:val="superscript"/>
              </w:rPr>
              <w:t>6</w:t>
            </w:r>
            <w:r>
              <w:rPr>
                <w:bCs/>
              </w:rPr>
              <w:t>，如下表所示。</w:t>
            </w:r>
          </w:p>
          <w:p w14:paraId="6E2BBD29">
            <w:pPr>
              <w:pStyle w:val="11"/>
              <w:numPr>
                <w:ilvl w:val="0"/>
                <w:numId w:val="4"/>
              </w:numPr>
              <w:rPr>
                <w:bCs w:val="0"/>
              </w:rPr>
            </w:pPr>
            <w:r>
              <w:rPr>
                <w:bCs w:val="0"/>
              </w:rPr>
              <w:t>大气污染物等标排放量一览表</w:t>
            </w:r>
          </w:p>
          <w:tbl>
            <w:tblPr>
              <w:tblStyle w:val="21"/>
              <w:tblW w:w="0" w:type="auto"/>
              <w:tblInd w:w="0" w:type="dxa"/>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1612"/>
              <w:gridCol w:w="1612"/>
              <w:gridCol w:w="1613"/>
              <w:gridCol w:w="2268"/>
              <w:gridCol w:w="2109"/>
            </w:tblGrid>
            <w:tr w14:paraId="29B0BF6A">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612" w:type="dxa"/>
                  <w:vAlign w:val="center"/>
                </w:tcPr>
                <w:p w14:paraId="697F15E8">
                  <w:pPr>
                    <w:pStyle w:val="29"/>
                    <w:rPr>
                      <w:b/>
                    </w:rPr>
                  </w:pPr>
                  <w:r>
                    <w:rPr>
                      <w:b/>
                    </w:rPr>
                    <w:t>污染物</w:t>
                  </w:r>
                </w:p>
              </w:tc>
              <w:tc>
                <w:tcPr>
                  <w:tcW w:w="1612" w:type="dxa"/>
                  <w:vAlign w:val="center"/>
                </w:tcPr>
                <w:p w14:paraId="4B785F7D">
                  <w:pPr>
                    <w:pStyle w:val="29"/>
                    <w:rPr>
                      <w:b/>
                    </w:rPr>
                  </w:pPr>
                  <w:r>
                    <w:rPr>
                      <w:b/>
                    </w:rPr>
                    <w:t>Qc(kg/h)</w:t>
                  </w:r>
                </w:p>
              </w:tc>
              <w:tc>
                <w:tcPr>
                  <w:tcW w:w="1613" w:type="dxa"/>
                  <w:vAlign w:val="center"/>
                </w:tcPr>
                <w:p w14:paraId="63F42210">
                  <w:pPr>
                    <w:pStyle w:val="29"/>
                    <w:rPr>
                      <w:b/>
                    </w:rPr>
                  </w:pPr>
                  <w:r>
                    <w:rPr>
                      <w:b/>
                    </w:rPr>
                    <w:t>Cm(mg/m³)</w:t>
                  </w:r>
                </w:p>
              </w:tc>
              <w:tc>
                <w:tcPr>
                  <w:tcW w:w="2268" w:type="dxa"/>
                  <w:vAlign w:val="center"/>
                </w:tcPr>
                <w:p w14:paraId="27CBAFFB">
                  <w:pPr>
                    <w:pStyle w:val="29"/>
                    <w:rPr>
                      <w:b/>
                    </w:rPr>
                  </w:pPr>
                  <w:r>
                    <w:rPr>
                      <w:b/>
                    </w:rPr>
                    <w:t>等标排放量(Qc/Cm)</w:t>
                  </w:r>
                </w:p>
              </w:tc>
              <w:tc>
                <w:tcPr>
                  <w:tcW w:w="2109" w:type="dxa"/>
                  <w:vAlign w:val="center"/>
                </w:tcPr>
                <w:p w14:paraId="4C2B06CD">
                  <w:pPr>
                    <w:pStyle w:val="29"/>
                    <w:rPr>
                      <w:b/>
                    </w:rPr>
                  </w:pPr>
                  <w:r>
                    <w:rPr>
                      <w:b/>
                    </w:rPr>
                    <w:t>等标排放量相差(%)</w:t>
                  </w:r>
                </w:p>
              </w:tc>
            </w:tr>
            <w:tr w14:paraId="3080884D">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612" w:type="dxa"/>
                  <w:vAlign w:val="center"/>
                </w:tcPr>
                <w:p w14:paraId="7CAC1048">
                  <w:pPr>
                    <w:pStyle w:val="29"/>
                    <w:rPr>
                      <w:bCs/>
                    </w:rPr>
                  </w:pPr>
                  <w:r>
                    <w:rPr>
                      <w:bCs/>
                    </w:rPr>
                    <w:t>非甲烷总烃</w:t>
                  </w:r>
                </w:p>
              </w:tc>
              <w:tc>
                <w:tcPr>
                  <w:tcW w:w="1612" w:type="dxa"/>
                  <w:vAlign w:val="center"/>
                </w:tcPr>
                <w:p w14:paraId="6FF9A4FF">
                  <w:pPr>
                    <w:pStyle w:val="29"/>
                    <w:rPr>
                      <w:bCs/>
                    </w:rPr>
                  </w:pPr>
                  <w:r>
                    <w:rPr>
                      <w:bCs/>
                      <w:color w:val="0000FF"/>
                    </w:rPr>
                    <w:t>0.1504</w:t>
                  </w:r>
                </w:p>
              </w:tc>
              <w:tc>
                <w:tcPr>
                  <w:tcW w:w="1613" w:type="dxa"/>
                  <w:vAlign w:val="center"/>
                </w:tcPr>
                <w:p w14:paraId="573BBACE">
                  <w:pPr>
                    <w:pStyle w:val="29"/>
                    <w:rPr>
                      <w:bCs/>
                    </w:rPr>
                  </w:pPr>
                  <w:r>
                    <w:rPr>
                      <w:bCs/>
                    </w:rPr>
                    <w:t>4.0</w:t>
                  </w:r>
                </w:p>
              </w:tc>
              <w:tc>
                <w:tcPr>
                  <w:tcW w:w="2268" w:type="dxa"/>
                  <w:vAlign w:val="center"/>
                </w:tcPr>
                <w:p w14:paraId="297A4788">
                  <w:pPr>
                    <w:pStyle w:val="29"/>
                    <w:rPr>
                      <w:bCs/>
                      <w:color w:val="0000FF"/>
                    </w:rPr>
                  </w:pPr>
                  <w:r>
                    <w:rPr>
                      <w:bCs/>
                      <w:color w:val="0000FF"/>
                    </w:rPr>
                    <w:t>15</w:t>
                  </w:r>
                  <w:r>
                    <w:rPr>
                      <w:rFonts w:hint="eastAsia"/>
                      <w:bCs/>
                      <w:color w:val="0000FF"/>
                    </w:rPr>
                    <w:t>913</w:t>
                  </w:r>
                </w:p>
              </w:tc>
              <w:tc>
                <w:tcPr>
                  <w:tcW w:w="2109" w:type="dxa"/>
                  <w:vMerge w:val="restart"/>
                  <w:vAlign w:val="center"/>
                </w:tcPr>
                <w:p w14:paraId="5316E5F3">
                  <w:pPr>
                    <w:pStyle w:val="29"/>
                    <w:rPr>
                      <w:bCs/>
                    </w:rPr>
                  </w:pPr>
                  <w:r>
                    <w:rPr>
                      <w:rFonts w:hint="eastAsia"/>
                      <w:bCs/>
                    </w:rPr>
                    <w:t>192</w:t>
                  </w:r>
                  <w:r>
                    <w:rPr>
                      <w:bCs/>
                    </w:rPr>
                    <w:t>%</w:t>
                  </w:r>
                </w:p>
              </w:tc>
            </w:tr>
            <w:tr w14:paraId="60B0879C">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612" w:type="dxa"/>
                  <w:vAlign w:val="center"/>
                </w:tcPr>
                <w:p w14:paraId="654AF72E">
                  <w:pPr>
                    <w:pStyle w:val="29"/>
                    <w:rPr>
                      <w:bCs/>
                    </w:rPr>
                  </w:pPr>
                  <w:r>
                    <w:rPr>
                      <w:bCs/>
                    </w:rPr>
                    <w:t>颗粒物</w:t>
                  </w:r>
                </w:p>
              </w:tc>
              <w:tc>
                <w:tcPr>
                  <w:tcW w:w="1612" w:type="dxa"/>
                  <w:vAlign w:val="center"/>
                </w:tcPr>
                <w:p w14:paraId="07F9888A">
                  <w:pPr>
                    <w:pStyle w:val="29"/>
                    <w:rPr>
                      <w:bCs/>
                    </w:rPr>
                  </w:pPr>
                  <w:r>
                    <w:rPr>
                      <w:bCs/>
                      <w:color w:val="0000FF"/>
                    </w:rPr>
                    <w:t>0.1100</w:t>
                  </w:r>
                </w:p>
              </w:tc>
              <w:tc>
                <w:tcPr>
                  <w:tcW w:w="1613" w:type="dxa"/>
                  <w:vAlign w:val="center"/>
                </w:tcPr>
                <w:p w14:paraId="0AF7CE08">
                  <w:pPr>
                    <w:pStyle w:val="29"/>
                    <w:rPr>
                      <w:bCs/>
                    </w:rPr>
                  </w:pPr>
                  <w:r>
                    <w:rPr>
                      <w:rFonts w:hint="eastAsia"/>
                      <w:bCs/>
                    </w:rPr>
                    <w:t>1.0</w:t>
                  </w:r>
                </w:p>
              </w:tc>
              <w:tc>
                <w:tcPr>
                  <w:tcW w:w="2268" w:type="dxa"/>
                  <w:vAlign w:val="center"/>
                </w:tcPr>
                <w:p w14:paraId="5FA7CFB6">
                  <w:pPr>
                    <w:pStyle w:val="29"/>
                    <w:rPr>
                      <w:bCs/>
                      <w:color w:val="0000FF"/>
                    </w:rPr>
                  </w:pPr>
                  <w:r>
                    <w:rPr>
                      <w:bCs/>
                      <w:color w:val="0000FF"/>
                    </w:rPr>
                    <w:t>329950</w:t>
                  </w:r>
                </w:p>
              </w:tc>
              <w:tc>
                <w:tcPr>
                  <w:tcW w:w="2109" w:type="dxa"/>
                  <w:vMerge w:val="continue"/>
                  <w:vAlign w:val="center"/>
                </w:tcPr>
                <w:p w14:paraId="43D86BE8">
                  <w:pPr>
                    <w:pStyle w:val="29"/>
                    <w:rPr>
                      <w:bCs/>
                    </w:rPr>
                  </w:pPr>
                </w:p>
              </w:tc>
            </w:tr>
          </w:tbl>
          <w:p w14:paraId="00A841E6">
            <w:pPr>
              <w:ind w:firstLine="480"/>
              <w:rPr>
                <w:bCs/>
              </w:rPr>
            </w:pPr>
            <w:r>
              <w:rPr>
                <w:bCs/>
              </w:rPr>
              <w:t>经上述计算可知，各车间污染物的等标排放量相差不在10%以内，故选取的等标排放量最大的污染物颗粒物为主要特征大气有害物质计算卫生防护距离。</w:t>
            </w:r>
          </w:p>
          <w:p w14:paraId="51F4B96B">
            <w:pPr>
              <w:ind w:firstLine="480"/>
              <w:rPr>
                <w:rFonts w:asciiTheme="majorBidi" w:hAnsiTheme="majorBidi" w:eastAsiaTheme="minorEastAsia" w:cstheme="majorBidi"/>
                <w:bCs/>
                <w:color w:val="000000" w:themeColor="text1"/>
                <w14:textFill>
                  <w14:solidFill>
                    <w14:schemeClr w14:val="tx1"/>
                  </w14:solidFill>
                </w14:textFill>
              </w:rPr>
            </w:pPr>
            <w:r>
              <w:rPr>
                <w:rFonts w:asciiTheme="majorBidi" w:hAnsiTheme="majorBidi" w:eastAsiaTheme="minorEastAsia" w:cstheme="majorBidi"/>
                <w:bCs/>
                <w:color w:val="000000" w:themeColor="text1"/>
                <w14:textFill>
                  <w14:solidFill>
                    <w14:schemeClr w14:val="tx1"/>
                  </w14:solidFill>
                </w14:textFill>
              </w:rPr>
              <w:t>卫生防护距离初值计算：</w:t>
            </w:r>
          </w:p>
          <w:p w14:paraId="347A25CD">
            <w:pPr>
              <w:ind w:firstLine="420"/>
              <w:jc w:val="center"/>
              <w:rPr>
                <w:rFonts w:asciiTheme="majorBidi" w:hAnsiTheme="majorBidi" w:eastAsiaTheme="minorEastAsia" w:cstheme="majorBidi"/>
                <w:bCs/>
                <w:color w:val="000000" w:themeColor="text1"/>
                <w:kern w:val="2"/>
                <w:szCs w:val="25"/>
                <w14:textFill>
                  <w14:solidFill>
                    <w14:schemeClr w14:val="tx1"/>
                  </w14:solidFill>
                </w14:textFill>
              </w:rPr>
            </w:pPr>
            <w:r>
              <w:rPr>
                <w:rFonts w:asciiTheme="majorBidi" w:hAnsiTheme="majorBidi" w:eastAsiaTheme="minorEastAsia" w:cstheme="majorBidi"/>
                <w:bCs/>
                <w:color w:val="000000" w:themeColor="text1"/>
                <w:kern w:val="2"/>
                <w:sz w:val="21"/>
                <w:szCs w:val="21"/>
                <w14:textFill>
                  <w14:solidFill>
                    <w14:schemeClr w14:val="tx1"/>
                  </w14:solidFill>
                </w14:textFill>
              </w:rPr>
              <w:drawing>
                <wp:inline distT="0" distB="0" distL="114300" distR="114300">
                  <wp:extent cx="1866900" cy="466725"/>
                  <wp:effectExtent l="0" t="0" r="0" b="8890"/>
                  <wp:docPr id="23" name="图片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图片 23"/>
                          <pic:cNvPicPr>
                            <a:picLocks noChangeAspect="1"/>
                          </pic:cNvPicPr>
                        </pic:nvPicPr>
                        <pic:blipFill>
                          <a:blip r:embed="rId32"/>
                          <a:stretch>
                            <a:fillRect/>
                          </a:stretch>
                        </pic:blipFill>
                        <pic:spPr>
                          <a:xfrm>
                            <a:off x="0" y="0"/>
                            <a:ext cx="1866900" cy="466725"/>
                          </a:xfrm>
                          <a:prstGeom prst="rect">
                            <a:avLst/>
                          </a:prstGeom>
                          <a:noFill/>
                          <a:ln>
                            <a:noFill/>
                          </a:ln>
                        </pic:spPr>
                      </pic:pic>
                    </a:graphicData>
                  </a:graphic>
                </wp:inline>
              </w:drawing>
            </w:r>
          </w:p>
          <w:p w14:paraId="4D08E5F0">
            <w:pPr>
              <w:ind w:firstLine="480"/>
              <w:rPr>
                <w:bCs/>
              </w:rPr>
            </w:pPr>
            <w:r>
              <w:rPr>
                <w:bCs/>
              </w:rPr>
              <w:t>式中：</w:t>
            </w:r>
          </w:p>
          <w:p w14:paraId="696A186E">
            <w:pPr>
              <w:ind w:firstLine="480"/>
              <w:rPr>
                <w:bCs/>
              </w:rPr>
            </w:pPr>
            <w:r>
              <w:rPr>
                <w:bCs/>
              </w:rPr>
              <w:t>Cm</w:t>
            </w:r>
            <w:r>
              <w:rPr>
                <w:bCs/>
              </w:rPr>
              <w:sym w:font="Symbol" w:char="F0BE"/>
            </w:r>
            <w:r>
              <w:rPr>
                <w:bCs/>
              </w:rPr>
              <w:sym w:font="Symbol" w:char="F0BE"/>
            </w:r>
            <w:r>
              <w:rPr>
                <w:bCs/>
              </w:rPr>
              <w:t>大气有害物质环境空气质量的标准限值，单位为毫克每立方米（mg/m³）；</w:t>
            </w:r>
          </w:p>
          <w:p w14:paraId="2638118C">
            <w:pPr>
              <w:ind w:firstLine="480"/>
              <w:rPr>
                <w:bCs/>
              </w:rPr>
            </w:pPr>
            <w:r>
              <w:rPr>
                <w:bCs/>
              </w:rPr>
              <w:t>Qc</w:t>
            </w:r>
            <w:r>
              <w:rPr>
                <w:bCs/>
              </w:rPr>
              <w:sym w:font="Symbol" w:char="F0BE"/>
            </w:r>
            <w:r>
              <w:rPr>
                <w:bCs/>
              </w:rPr>
              <w:sym w:font="Symbol" w:char="F0BE"/>
            </w:r>
            <w:r>
              <w:rPr>
                <w:bCs/>
              </w:rPr>
              <w:t>大气有害物质的无组织排放量，单位为千克每小时（kg/h）；</w:t>
            </w:r>
          </w:p>
          <w:p w14:paraId="5005FCAD">
            <w:pPr>
              <w:ind w:firstLine="480"/>
              <w:rPr>
                <w:bCs/>
              </w:rPr>
            </w:pPr>
            <w:r>
              <w:rPr>
                <w:bCs/>
              </w:rPr>
              <w:t>L</w:t>
            </w:r>
            <w:r>
              <w:rPr>
                <w:bCs/>
              </w:rPr>
              <w:sym w:font="Symbol" w:char="F0BE"/>
            </w:r>
            <w:r>
              <w:rPr>
                <w:bCs/>
              </w:rPr>
              <w:sym w:font="Symbol" w:char="F0BE"/>
            </w:r>
            <w:r>
              <w:rPr>
                <w:bCs/>
              </w:rPr>
              <w:t>大气有害物质卫生防护距离初值，单位为米（m）；</w:t>
            </w:r>
          </w:p>
          <w:p w14:paraId="10BB6A5E">
            <w:pPr>
              <w:ind w:firstLine="480"/>
              <w:rPr>
                <w:bCs/>
              </w:rPr>
            </w:pPr>
            <w:r>
              <w:rPr>
                <w:bCs/>
              </w:rPr>
              <w:t>r</w:t>
            </w:r>
            <w:r>
              <w:rPr>
                <w:bCs/>
              </w:rPr>
              <w:sym w:font="Symbol" w:char="F0BE"/>
            </w:r>
            <w:r>
              <w:rPr>
                <w:bCs/>
              </w:rPr>
              <w:sym w:font="Symbol" w:char="F0BE"/>
            </w:r>
            <w:r>
              <w:rPr>
                <w:bCs/>
              </w:rPr>
              <w:t>大气有害物质无组织排放源所在生产单元的等效半径，单位为米（m）；</w:t>
            </w:r>
          </w:p>
          <w:p w14:paraId="00EC52BF">
            <w:pPr>
              <w:ind w:firstLine="480"/>
              <w:rPr>
                <w:bCs/>
                <w:sz w:val="21"/>
                <w:szCs w:val="21"/>
              </w:rPr>
            </w:pPr>
            <w:r>
              <w:rPr>
                <w:bCs/>
              </w:rPr>
              <w:t>A、B、C、D</w:t>
            </w:r>
            <w:r>
              <w:rPr>
                <w:bCs/>
              </w:rPr>
              <w:sym w:font="Symbol" w:char="F0BE"/>
            </w:r>
            <w:r>
              <w:rPr>
                <w:bCs/>
              </w:rPr>
              <w:sym w:font="Symbol" w:char="F0BE"/>
            </w:r>
            <w:r>
              <w:rPr>
                <w:bCs/>
              </w:rPr>
              <w:t>卫生防护距离初值计算系数，无因次，根据工业企业所在地区近5年平均风速及大气污染源构成类别从下表查取。</w:t>
            </w:r>
          </w:p>
          <w:p w14:paraId="052F1E84">
            <w:pPr>
              <w:pStyle w:val="11"/>
              <w:numPr>
                <w:ilvl w:val="0"/>
                <w:numId w:val="4"/>
              </w:numPr>
              <w:rPr>
                <w:bCs w:val="0"/>
              </w:rPr>
            </w:pPr>
            <w:r>
              <w:rPr>
                <w:bCs w:val="0"/>
              </w:rPr>
              <w:t>表4-7 卫生防护距离初值计算系数</w:t>
            </w:r>
          </w:p>
          <w:tbl>
            <w:tblPr>
              <w:tblStyle w:val="21"/>
              <w:tblW w:w="4998" w:type="pct"/>
              <w:tblInd w:w="0" w:type="dxa"/>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1230"/>
              <w:gridCol w:w="1520"/>
              <w:gridCol w:w="930"/>
              <w:gridCol w:w="781"/>
              <w:gridCol w:w="842"/>
              <w:gridCol w:w="710"/>
              <w:gridCol w:w="635"/>
              <w:gridCol w:w="721"/>
              <w:gridCol w:w="682"/>
              <w:gridCol w:w="585"/>
              <w:gridCol w:w="604"/>
            </w:tblGrid>
            <w:tr w14:paraId="19F576A4">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665" w:type="pct"/>
                  <w:vMerge w:val="restart"/>
                  <w:vAlign w:val="center"/>
                </w:tcPr>
                <w:p w14:paraId="7BB2591C">
                  <w:pPr>
                    <w:pStyle w:val="29"/>
                    <w:rPr>
                      <w:bCs/>
                    </w:rPr>
                  </w:pPr>
                  <w:r>
                    <w:rPr>
                      <w:bCs/>
                    </w:rPr>
                    <w:t>卫生防护距离初值计算系数</w:t>
                  </w:r>
                </w:p>
              </w:tc>
              <w:tc>
                <w:tcPr>
                  <w:tcW w:w="822" w:type="pct"/>
                  <w:vMerge w:val="restart"/>
                  <w:vAlign w:val="center"/>
                </w:tcPr>
                <w:p w14:paraId="0411847D">
                  <w:pPr>
                    <w:pStyle w:val="29"/>
                    <w:rPr>
                      <w:bCs/>
                    </w:rPr>
                  </w:pPr>
                  <w:r>
                    <w:rPr>
                      <w:bCs/>
                    </w:rPr>
                    <w:t>工业企业所在地区近5年平均</w:t>
                  </w:r>
                </w:p>
                <w:p w14:paraId="2F1466A2">
                  <w:pPr>
                    <w:pStyle w:val="29"/>
                    <w:rPr>
                      <w:bCs/>
                    </w:rPr>
                  </w:pPr>
                  <w:r>
                    <w:rPr>
                      <w:bCs/>
                    </w:rPr>
                    <w:t>风速/（m/s）</w:t>
                  </w:r>
                </w:p>
              </w:tc>
              <w:tc>
                <w:tcPr>
                  <w:tcW w:w="3511" w:type="pct"/>
                  <w:gridSpan w:val="9"/>
                  <w:vAlign w:val="center"/>
                </w:tcPr>
                <w:p w14:paraId="3CB229AC">
                  <w:pPr>
                    <w:pStyle w:val="29"/>
                    <w:rPr>
                      <w:bCs/>
                    </w:rPr>
                  </w:pPr>
                  <w:r>
                    <w:rPr>
                      <w:bCs/>
                    </w:rPr>
                    <w:t>卫生防护距离L/m</w:t>
                  </w:r>
                </w:p>
              </w:tc>
            </w:tr>
            <w:tr w14:paraId="60A8AF47">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665" w:type="pct"/>
                  <w:vMerge w:val="continue"/>
                  <w:vAlign w:val="center"/>
                </w:tcPr>
                <w:p w14:paraId="78D52C2B">
                  <w:pPr>
                    <w:pStyle w:val="29"/>
                    <w:rPr>
                      <w:bCs/>
                    </w:rPr>
                  </w:pPr>
                </w:p>
              </w:tc>
              <w:tc>
                <w:tcPr>
                  <w:tcW w:w="822" w:type="pct"/>
                  <w:vMerge w:val="continue"/>
                  <w:vAlign w:val="center"/>
                </w:tcPr>
                <w:p w14:paraId="250C6F79">
                  <w:pPr>
                    <w:pStyle w:val="29"/>
                    <w:rPr>
                      <w:bCs/>
                    </w:rPr>
                  </w:pPr>
                </w:p>
              </w:tc>
              <w:tc>
                <w:tcPr>
                  <w:tcW w:w="1380" w:type="pct"/>
                  <w:gridSpan w:val="3"/>
                  <w:vAlign w:val="center"/>
                </w:tcPr>
                <w:p w14:paraId="691D468D">
                  <w:pPr>
                    <w:pStyle w:val="29"/>
                    <w:rPr>
                      <w:bCs/>
                    </w:rPr>
                  </w:pPr>
                  <w:r>
                    <w:rPr>
                      <w:bCs/>
                    </w:rPr>
                    <w:t>L≤1000</w:t>
                  </w:r>
                </w:p>
              </w:tc>
              <w:tc>
                <w:tcPr>
                  <w:tcW w:w="1118" w:type="pct"/>
                  <w:gridSpan w:val="3"/>
                  <w:vAlign w:val="center"/>
                </w:tcPr>
                <w:p w14:paraId="23288802">
                  <w:pPr>
                    <w:pStyle w:val="29"/>
                    <w:rPr>
                      <w:bCs/>
                    </w:rPr>
                  </w:pPr>
                  <w:r>
                    <w:rPr>
                      <w:bCs/>
                    </w:rPr>
                    <w:t>1000＜L≤2000</w:t>
                  </w:r>
                </w:p>
              </w:tc>
              <w:tc>
                <w:tcPr>
                  <w:tcW w:w="1012" w:type="pct"/>
                  <w:gridSpan w:val="3"/>
                  <w:vAlign w:val="center"/>
                </w:tcPr>
                <w:p w14:paraId="64F68712">
                  <w:pPr>
                    <w:pStyle w:val="29"/>
                    <w:rPr>
                      <w:bCs/>
                    </w:rPr>
                  </w:pPr>
                  <w:r>
                    <w:rPr>
                      <w:bCs/>
                    </w:rPr>
                    <w:t>L＞2000</w:t>
                  </w:r>
                </w:p>
              </w:tc>
            </w:tr>
            <w:tr w14:paraId="55EC4AAC">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665" w:type="pct"/>
                  <w:vMerge w:val="continue"/>
                  <w:vAlign w:val="center"/>
                </w:tcPr>
                <w:p w14:paraId="42592CA8">
                  <w:pPr>
                    <w:pStyle w:val="29"/>
                    <w:rPr>
                      <w:bCs/>
                    </w:rPr>
                  </w:pPr>
                </w:p>
              </w:tc>
              <w:tc>
                <w:tcPr>
                  <w:tcW w:w="822" w:type="pct"/>
                  <w:vMerge w:val="continue"/>
                  <w:vAlign w:val="center"/>
                </w:tcPr>
                <w:p w14:paraId="7212F827">
                  <w:pPr>
                    <w:pStyle w:val="29"/>
                    <w:rPr>
                      <w:bCs/>
                    </w:rPr>
                  </w:pPr>
                </w:p>
              </w:tc>
              <w:tc>
                <w:tcPr>
                  <w:tcW w:w="3511" w:type="pct"/>
                  <w:gridSpan w:val="9"/>
                  <w:vAlign w:val="center"/>
                </w:tcPr>
                <w:p w14:paraId="5CC6E92D">
                  <w:pPr>
                    <w:pStyle w:val="29"/>
                    <w:rPr>
                      <w:bCs/>
                    </w:rPr>
                  </w:pPr>
                  <w:r>
                    <w:rPr>
                      <w:bCs/>
                    </w:rPr>
                    <w:t>工业企业大气污染源构成类型</w:t>
                  </w:r>
                </w:p>
              </w:tc>
            </w:tr>
            <w:tr w14:paraId="51015002">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665" w:type="pct"/>
                  <w:vMerge w:val="continue"/>
                  <w:vAlign w:val="center"/>
                </w:tcPr>
                <w:p w14:paraId="64F994D4">
                  <w:pPr>
                    <w:pStyle w:val="29"/>
                    <w:rPr>
                      <w:bCs/>
                    </w:rPr>
                  </w:pPr>
                </w:p>
              </w:tc>
              <w:tc>
                <w:tcPr>
                  <w:tcW w:w="822" w:type="pct"/>
                  <w:vMerge w:val="continue"/>
                  <w:vAlign w:val="center"/>
                </w:tcPr>
                <w:p w14:paraId="55CF7BE1">
                  <w:pPr>
                    <w:pStyle w:val="29"/>
                    <w:rPr>
                      <w:bCs/>
                    </w:rPr>
                  </w:pPr>
                </w:p>
              </w:tc>
              <w:tc>
                <w:tcPr>
                  <w:tcW w:w="503" w:type="pct"/>
                  <w:vAlign w:val="center"/>
                </w:tcPr>
                <w:p w14:paraId="13D0520A">
                  <w:pPr>
                    <w:pStyle w:val="29"/>
                    <w:rPr>
                      <w:bCs/>
                    </w:rPr>
                  </w:pPr>
                  <w:r>
                    <w:rPr>
                      <w:bCs/>
                    </w:rPr>
                    <w:t>Ⅰ</w:t>
                  </w:r>
                </w:p>
              </w:tc>
              <w:tc>
                <w:tcPr>
                  <w:tcW w:w="422" w:type="pct"/>
                  <w:vAlign w:val="center"/>
                </w:tcPr>
                <w:p w14:paraId="39E8014E">
                  <w:pPr>
                    <w:pStyle w:val="29"/>
                    <w:rPr>
                      <w:bCs/>
                    </w:rPr>
                  </w:pPr>
                  <w:r>
                    <w:rPr>
                      <w:bCs/>
                    </w:rPr>
                    <w:t>Ⅱ</w:t>
                  </w:r>
                </w:p>
              </w:tc>
              <w:tc>
                <w:tcPr>
                  <w:tcW w:w="454" w:type="pct"/>
                  <w:vAlign w:val="center"/>
                </w:tcPr>
                <w:p w14:paraId="1486E59B">
                  <w:pPr>
                    <w:pStyle w:val="29"/>
                    <w:rPr>
                      <w:bCs/>
                    </w:rPr>
                  </w:pPr>
                  <w:r>
                    <w:rPr>
                      <w:bCs/>
                    </w:rPr>
                    <w:t>Ⅲ</w:t>
                  </w:r>
                </w:p>
              </w:tc>
              <w:tc>
                <w:tcPr>
                  <w:tcW w:w="384" w:type="pct"/>
                  <w:vAlign w:val="center"/>
                </w:tcPr>
                <w:p w14:paraId="16231DBD">
                  <w:pPr>
                    <w:pStyle w:val="29"/>
                    <w:rPr>
                      <w:bCs/>
                    </w:rPr>
                  </w:pPr>
                  <w:r>
                    <w:rPr>
                      <w:bCs/>
                    </w:rPr>
                    <w:t>Ⅰ</w:t>
                  </w:r>
                </w:p>
              </w:tc>
              <w:tc>
                <w:tcPr>
                  <w:tcW w:w="344" w:type="pct"/>
                  <w:vAlign w:val="center"/>
                </w:tcPr>
                <w:p w14:paraId="5C389880">
                  <w:pPr>
                    <w:pStyle w:val="29"/>
                    <w:rPr>
                      <w:bCs/>
                    </w:rPr>
                  </w:pPr>
                  <w:r>
                    <w:rPr>
                      <w:bCs/>
                    </w:rPr>
                    <w:t>Ⅱ</w:t>
                  </w:r>
                </w:p>
              </w:tc>
              <w:tc>
                <w:tcPr>
                  <w:tcW w:w="389" w:type="pct"/>
                  <w:vAlign w:val="center"/>
                </w:tcPr>
                <w:p w14:paraId="023F533A">
                  <w:pPr>
                    <w:pStyle w:val="29"/>
                    <w:rPr>
                      <w:bCs/>
                    </w:rPr>
                  </w:pPr>
                  <w:r>
                    <w:rPr>
                      <w:bCs/>
                    </w:rPr>
                    <w:t>Ⅲ</w:t>
                  </w:r>
                </w:p>
              </w:tc>
              <w:tc>
                <w:tcPr>
                  <w:tcW w:w="369" w:type="pct"/>
                  <w:vAlign w:val="center"/>
                </w:tcPr>
                <w:p w14:paraId="52687AB0">
                  <w:pPr>
                    <w:pStyle w:val="29"/>
                    <w:rPr>
                      <w:bCs/>
                    </w:rPr>
                  </w:pPr>
                  <w:r>
                    <w:rPr>
                      <w:bCs/>
                    </w:rPr>
                    <w:t>Ⅰ</w:t>
                  </w:r>
                </w:p>
              </w:tc>
              <w:tc>
                <w:tcPr>
                  <w:tcW w:w="317" w:type="pct"/>
                  <w:vAlign w:val="center"/>
                </w:tcPr>
                <w:p w14:paraId="0D3788A3">
                  <w:pPr>
                    <w:pStyle w:val="29"/>
                    <w:rPr>
                      <w:bCs/>
                    </w:rPr>
                  </w:pPr>
                  <w:r>
                    <w:rPr>
                      <w:bCs/>
                    </w:rPr>
                    <w:t>Ⅱ</w:t>
                  </w:r>
                </w:p>
              </w:tc>
              <w:tc>
                <w:tcPr>
                  <w:tcW w:w="325" w:type="pct"/>
                  <w:vAlign w:val="center"/>
                </w:tcPr>
                <w:p w14:paraId="26817F67">
                  <w:pPr>
                    <w:pStyle w:val="29"/>
                    <w:rPr>
                      <w:bCs/>
                    </w:rPr>
                  </w:pPr>
                  <w:r>
                    <w:rPr>
                      <w:bCs/>
                    </w:rPr>
                    <w:t>Ⅲ</w:t>
                  </w:r>
                </w:p>
              </w:tc>
            </w:tr>
            <w:tr w14:paraId="421B83A4">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665" w:type="pct"/>
                  <w:vMerge w:val="restart"/>
                  <w:vAlign w:val="center"/>
                </w:tcPr>
                <w:p w14:paraId="3A674268">
                  <w:pPr>
                    <w:pStyle w:val="29"/>
                    <w:rPr>
                      <w:bCs/>
                    </w:rPr>
                  </w:pPr>
                  <w:r>
                    <w:rPr>
                      <w:bCs/>
                    </w:rPr>
                    <w:t>A</w:t>
                  </w:r>
                </w:p>
              </w:tc>
              <w:tc>
                <w:tcPr>
                  <w:tcW w:w="822" w:type="pct"/>
                  <w:vAlign w:val="center"/>
                </w:tcPr>
                <w:p w14:paraId="266B55EB">
                  <w:pPr>
                    <w:pStyle w:val="29"/>
                    <w:rPr>
                      <w:bCs/>
                    </w:rPr>
                  </w:pPr>
                  <w:r>
                    <w:rPr>
                      <w:bCs/>
                    </w:rPr>
                    <w:t>&lt;2</w:t>
                  </w:r>
                </w:p>
              </w:tc>
              <w:tc>
                <w:tcPr>
                  <w:tcW w:w="503" w:type="pct"/>
                  <w:vAlign w:val="center"/>
                </w:tcPr>
                <w:p w14:paraId="7ECBCC71">
                  <w:pPr>
                    <w:pStyle w:val="29"/>
                    <w:rPr>
                      <w:bCs/>
                    </w:rPr>
                  </w:pPr>
                  <w:r>
                    <w:rPr>
                      <w:bCs/>
                    </w:rPr>
                    <w:t>400</w:t>
                  </w:r>
                </w:p>
              </w:tc>
              <w:tc>
                <w:tcPr>
                  <w:tcW w:w="422" w:type="pct"/>
                  <w:vAlign w:val="center"/>
                </w:tcPr>
                <w:p w14:paraId="6B6F1478">
                  <w:pPr>
                    <w:pStyle w:val="29"/>
                    <w:rPr>
                      <w:bCs/>
                    </w:rPr>
                  </w:pPr>
                  <w:r>
                    <w:rPr>
                      <w:bCs/>
                    </w:rPr>
                    <w:t>400</w:t>
                  </w:r>
                </w:p>
              </w:tc>
              <w:tc>
                <w:tcPr>
                  <w:tcW w:w="454" w:type="pct"/>
                  <w:vAlign w:val="center"/>
                </w:tcPr>
                <w:p w14:paraId="1F711E88">
                  <w:pPr>
                    <w:pStyle w:val="29"/>
                    <w:rPr>
                      <w:bCs/>
                    </w:rPr>
                  </w:pPr>
                  <w:r>
                    <w:rPr>
                      <w:bCs/>
                    </w:rPr>
                    <w:t>400</w:t>
                  </w:r>
                </w:p>
              </w:tc>
              <w:tc>
                <w:tcPr>
                  <w:tcW w:w="384" w:type="pct"/>
                  <w:vAlign w:val="center"/>
                </w:tcPr>
                <w:p w14:paraId="51AD0047">
                  <w:pPr>
                    <w:pStyle w:val="29"/>
                    <w:rPr>
                      <w:bCs/>
                    </w:rPr>
                  </w:pPr>
                  <w:r>
                    <w:rPr>
                      <w:bCs/>
                    </w:rPr>
                    <w:t>400</w:t>
                  </w:r>
                </w:p>
              </w:tc>
              <w:tc>
                <w:tcPr>
                  <w:tcW w:w="344" w:type="pct"/>
                  <w:vAlign w:val="center"/>
                </w:tcPr>
                <w:p w14:paraId="74F07876">
                  <w:pPr>
                    <w:pStyle w:val="29"/>
                    <w:rPr>
                      <w:bCs/>
                    </w:rPr>
                  </w:pPr>
                  <w:r>
                    <w:rPr>
                      <w:bCs/>
                    </w:rPr>
                    <w:t>400</w:t>
                  </w:r>
                </w:p>
              </w:tc>
              <w:tc>
                <w:tcPr>
                  <w:tcW w:w="389" w:type="pct"/>
                  <w:vAlign w:val="center"/>
                </w:tcPr>
                <w:p w14:paraId="484A2A72">
                  <w:pPr>
                    <w:pStyle w:val="29"/>
                    <w:rPr>
                      <w:bCs/>
                    </w:rPr>
                  </w:pPr>
                  <w:r>
                    <w:rPr>
                      <w:bCs/>
                    </w:rPr>
                    <w:t>400</w:t>
                  </w:r>
                </w:p>
              </w:tc>
              <w:tc>
                <w:tcPr>
                  <w:tcW w:w="369" w:type="pct"/>
                  <w:vAlign w:val="center"/>
                </w:tcPr>
                <w:p w14:paraId="604B40B0">
                  <w:pPr>
                    <w:pStyle w:val="29"/>
                    <w:rPr>
                      <w:bCs/>
                    </w:rPr>
                  </w:pPr>
                  <w:r>
                    <w:rPr>
                      <w:bCs/>
                    </w:rPr>
                    <w:t>80</w:t>
                  </w:r>
                </w:p>
              </w:tc>
              <w:tc>
                <w:tcPr>
                  <w:tcW w:w="317" w:type="pct"/>
                  <w:vAlign w:val="center"/>
                </w:tcPr>
                <w:p w14:paraId="41FD81A5">
                  <w:pPr>
                    <w:pStyle w:val="29"/>
                    <w:rPr>
                      <w:bCs/>
                    </w:rPr>
                  </w:pPr>
                  <w:r>
                    <w:rPr>
                      <w:bCs/>
                    </w:rPr>
                    <w:t>80</w:t>
                  </w:r>
                </w:p>
              </w:tc>
              <w:tc>
                <w:tcPr>
                  <w:tcW w:w="325" w:type="pct"/>
                  <w:vAlign w:val="center"/>
                </w:tcPr>
                <w:p w14:paraId="35636B63">
                  <w:pPr>
                    <w:pStyle w:val="29"/>
                    <w:rPr>
                      <w:bCs/>
                    </w:rPr>
                  </w:pPr>
                  <w:r>
                    <w:rPr>
                      <w:bCs/>
                    </w:rPr>
                    <w:t>80</w:t>
                  </w:r>
                </w:p>
              </w:tc>
            </w:tr>
            <w:tr w14:paraId="285F52C4">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665" w:type="pct"/>
                  <w:vMerge w:val="continue"/>
                  <w:vAlign w:val="center"/>
                </w:tcPr>
                <w:p w14:paraId="3495F9C7">
                  <w:pPr>
                    <w:pStyle w:val="29"/>
                    <w:rPr>
                      <w:bCs/>
                    </w:rPr>
                  </w:pPr>
                </w:p>
              </w:tc>
              <w:tc>
                <w:tcPr>
                  <w:tcW w:w="822" w:type="pct"/>
                  <w:vAlign w:val="center"/>
                </w:tcPr>
                <w:p w14:paraId="789C20E7">
                  <w:pPr>
                    <w:pStyle w:val="29"/>
                    <w:rPr>
                      <w:bCs/>
                    </w:rPr>
                  </w:pPr>
                  <w:r>
                    <w:rPr>
                      <w:bCs/>
                    </w:rPr>
                    <w:t>2～4</w:t>
                  </w:r>
                </w:p>
              </w:tc>
              <w:tc>
                <w:tcPr>
                  <w:tcW w:w="503" w:type="pct"/>
                  <w:vAlign w:val="center"/>
                </w:tcPr>
                <w:p w14:paraId="18A7476A">
                  <w:pPr>
                    <w:pStyle w:val="29"/>
                    <w:rPr>
                      <w:bCs/>
                    </w:rPr>
                  </w:pPr>
                  <w:r>
                    <w:rPr>
                      <w:bCs/>
                    </w:rPr>
                    <w:t>700</w:t>
                  </w:r>
                </w:p>
              </w:tc>
              <w:tc>
                <w:tcPr>
                  <w:tcW w:w="422" w:type="pct"/>
                  <w:vAlign w:val="center"/>
                </w:tcPr>
                <w:p w14:paraId="646B6CF8">
                  <w:pPr>
                    <w:pStyle w:val="29"/>
                    <w:rPr>
                      <w:bCs/>
                    </w:rPr>
                  </w:pPr>
                  <w:r>
                    <w:rPr>
                      <w:bCs/>
                    </w:rPr>
                    <w:t>470</w:t>
                  </w:r>
                </w:p>
              </w:tc>
              <w:tc>
                <w:tcPr>
                  <w:tcW w:w="454" w:type="pct"/>
                  <w:vAlign w:val="center"/>
                </w:tcPr>
                <w:p w14:paraId="08406088">
                  <w:pPr>
                    <w:pStyle w:val="29"/>
                    <w:rPr>
                      <w:bCs/>
                    </w:rPr>
                  </w:pPr>
                  <w:r>
                    <w:rPr>
                      <w:bCs/>
                    </w:rPr>
                    <w:t>350</w:t>
                  </w:r>
                </w:p>
              </w:tc>
              <w:tc>
                <w:tcPr>
                  <w:tcW w:w="384" w:type="pct"/>
                  <w:vAlign w:val="center"/>
                </w:tcPr>
                <w:p w14:paraId="28C3ED3E">
                  <w:pPr>
                    <w:pStyle w:val="29"/>
                    <w:rPr>
                      <w:bCs/>
                    </w:rPr>
                  </w:pPr>
                  <w:r>
                    <w:rPr>
                      <w:bCs/>
                    </w:rPr>
                    <w:t>700</w:t>
                  </w:r>
                </w:p>
              </w:tc>
              <w:tc>
                <w:tcPr>
                  <w:tcW w:w="344" w:type="pct"/>
                  <w:vAlign w:val="center"/>
                </w:tcPr>
                <w:p w14:paraId="7F7120F6">
                  <w:pPr>
                    <w:pStyle w:val="29"/>
                    <w:rPr>
                      <w:bCs/>
                    </w:rPr>
                  </w:pPr>
                  <w:r>
                    <w:rPr>
                      <w:bCs/>
                    </w:rPr>
                    <w:t>470</w:t>
                  </w:r>
                </w:p>
              </w:tc>
              <w:tc>
                <w:tcPr>
                  <w:tcW w:w="389" w:type="pct"/>
                  <w:vAlign w:val="center"/>
                </w:tcPr>
                <w:p w14:paraId="320A7B79">
                  <w:pPr>
                    <w:pStyle w:val="29"/>
                    <w:rPr>
                      <w:bCs/>
                    </w:rPr>
                  </w:pPr>
                  <w:r>
                    <w:rPr>
                      <w:bCs/>
                    </w:rPr>
                    <w:t>350</w:t>
                  </w:r>
                </w:p>
              </w:tc>
              <w:tc>
                <w:tcPr>
                  <w:tcW w:w="369" w:type="pct"/>
                  <w:vAlign w:val="center"/>
                </w:tcPr>
                <w:p w14:paraId="572F9F68">
                  <w:pPr>
                    <w:pStyle w:val="29"/>
                    <w:rPr>
                      <w:bCs/>
                    </w:rPr>
                  </w:pPr>
                  <w:r>
                    <w:rPr>
                      <w:bCs/>
                    </w:rPr>
                    <w:t>380</w:t>
                  </w:r>
                </w:p>
              </w:tc>
              <w:tc>
                <w:tcPr>
                  <w:tcW w:w="317" w:type="pct"/>
                  <w:vAlign w:val="center"/>
                </w:tcPr>
                <w:p w14:paraId="59033970">
                  <w:pPr>
                    <w:pStyle w:val="29"/>
                    <w:rPr>
                      <w:bCs/>
                    </w:rPr>
                  </w:pPr>
                  <w:r>
                    <w:rPr>
                      <w:bCs/>
                    </w:rPr>
                    <w:t>250</w:t>
                  </w:r>
                </w:p>
              </w:tc>
              <w:tc>
                <w:tcPr>
                  <w:tcW w:w="325" w:type="pct"/>
                  <w:vAlign w:val="center"/>
                </w:tcPr>
                <w:p w14:paraId="6BBF63AA">
                  <w:pPr>
                    <w:pStyle w:val="29"/>
                    <w:rPr>
                      <w:bCs/>
                    </w:rPr>
                  </w:pPr>
                  <w:r>
                    <w:rPr>
                      <w:bCs/>
                    </w:rPr>
                    <w:t>190</w:t>
                  </w:r>
                </w:p>
              </w:tc>
            </w:tr>
            <w:tr w14:paraId="3FDBCF5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665" w:type="pct"/>
                  <w:vMerge w:val="continue"/>
                  <w:vAlign w:val="center"/>
                </w:tcPr>
                <w:p w14:paraId="6BF6F328">
                  <w:pPr>
                    <w:pStyle w:val="29"/>
                    <w:rPr>
                      <w:bCs/>
                    </w:rPr>
                  </w:pPr>
                </w:p>
              </w:tc>
              <w:tc>
                <w:tcPr>
                  <w:tcW w:w="822" w:type="pct"/>
                  <w:vAlign w:val="center"/>
                </w:tcPr>
                <w:p w14:paraId="7BDB2A15">
                  <w:pPr>
                    <w:pStyle w:val="29"/>
                    <w:rPr>
                      <w:bCs/>
                    </w:rPr>
                  </w:pPr>
                  <w:r>
                    <w:rPr>
                      <w:bCs/>
                    </w:rPr>
                    <w:t>&gt;4</w:t>
                  </w:r>
                </w:p>
              </w:tc>
              <w:tc>
                <w:tcPr>
                  <w:tcW w:w="503" w:type="pct"/>
                  <w:vAlign w:val="center"/>
                </w:tcPr>
                <w:p w14:paraId="21EA5ED8">
                  <w:pPr>
                    <w:pStyle w:val="29"/>
                    <w:rPr>
                      <w:bCs/>
                    </w:rPr>
                  </w:pPr>
                  <w:r>
                    <w:rPr>
                      <w:bCs/>
                    </w:rPr>
                    <w:t>530</w:t>
                  </w:r>
                </w:p>
              </w:tc>
              <w:tc>
                <w:tcPr>
                  <w:tcW w:w="422" w:type="pct"/>
                  <w:vAlign w:val="center"/>
                </w:tcPr>
                <w:p w14:paraId="374537A5">
                  <w:pPr>
                    <w:pStyle w:val="29"/>
                    <w:rPr>
                      <w:bCs/>
                    </w:rPr>
                  </w:pPr>
                  <w:r>
                    <w:rPr>
                      <w:bCs/>
                    </w:rPr>
                    <w:t>350</w:t>
                  </w:r>
                </w:p>
              </w:tc>
              <w:tc>
                <w:tcPr>
                  <w:tcW w:w="454" w:type="pct"/>
                  <w:vAlign w:val="center"/>
                </w:tcPr>
                <w:p w14:paraId="7574911A">
                  <w:pPr>
                    <w:pStyle w:val="29"/>
                    <w:rPr>
                      <w:bCs/>
                    </w:rPr>
                  </w:pPr>
                  <w:r>
                    <w:rPr>
                      <w:bCs/>
                    </w:rPr>
                    <w:t>260</w:t>
                  </w:r>
                </w:p>
              </w:tc>
              <w:tc>
                <w:tcPr>
                  <w:tcW w:w="384" w:type="pct"/>
                  <w:vAlign w:val="center"/>
                </w:tcPr>
                <w:p w14:paraId="13EF7C52">
                  <w:pPr>
                    <w:pStyle w:val="29"/>
                    <w:rPr>
                      <w:bCs/>
                    </w:rPr>
                  </w:pPr>
                  <w:r>
                    <w:rPr>
                      <w:bCs/>
                    </w:rPr>
                    <w:t>530</w:t>
                  </w:r>
                </w:p>
              </w:tc>
              <w:tc>
                <w:tcPr>
                  <w:tcW w:w="344" w:type="pct"/>
                  <w:vAlign w:val="center"/>
                </w:tcPr>
                <w:p w14:paraId="65812297">
                  <w:pPr>
                    <w:pStyle w:val="29"/>
                    <w:rPr>
                      <w:bCs/>
                    </w:rPr>
                  </w:pPr>
                  <w:r>
                    <w:rPr>
                      <w:bCs/>
                    </w:rPr>
                    <w:t>350</w:t>
                  </w:r>
                </w:p>
              </w:tc>
              <w:tc>
                <w:tcPr>
                  <w:tcW w:w="389" w:type="pct"/>
                  <w:vAlign w:val="center"/>
                </w:tcPr>
                <w:p w14:paraId="2618DBAA">
                  <w:pPr>
                    <w:pStyle w:val="29"/>
                    <w:rPr>
                      <w:bCs/>
                    </w:rPr>
                  </w:pPr>
                  <w:r>
                    <w:rPr>
                      <w:bCs/>
                    </w:rPr>
                    <w:t>260</w:t>
                  </w:r>
                </w:p>
              </w:tc>
              <w:tc>
                <w:tcPr>
                  <w:tcW w:w="369" w:type="pct"/>
                  <w:vAlign w:val="center"/>
                </w:tcPr>
                <w:p w14:paraId="22AFD650">
                  <w:pPr>
                    <w:pStyle w:val="29"/>
                    <w:rPr>
                      <w:bCs/>
                    </w:rPr>
                  </w:pPr>
                  <w:r>
                    <w:rPr>
                      <w:bCs/>
                    </w:rPr>
                    <w:t>290</w:t>
                  </w:r>
                </w:p>
              </w:tc>
              <w:tc>
                <w:tcPr>
                  <w:tcW w:w="317" w:type="pct"/>
                  <w:vAlign w:val="center"/>
                </w:tcPr>
                <w:p w14:paraId="4EBD6E76">
                  <w:pPr>
                    <w:pStyle w:val="29"/>
                    <w:rPr>
                      <w:bCs/>
                    </w:rPr>
                  </w:pPr>
                  <w:r>
                    <w:rPr>
                      <w:bCs/>
                    </w:rPr>
                    <w:t>190</w:t>
                  </w:r>
                </w:p>
              </w:tc>
              <w:tc>
                <w:tcPr>
                  <w:tcW w:w="325" w:type="pct"/>
                  <w:vAlign w:val="center"/>
                </w:tcPr>
                <w:p w14:paraId="544395EF">
                  <w:pPr>
                    <w:pStyle w:val="29"/>
                    <w:rPr>
                      <w:bCs/>
                    </w:rPr>
                  </w:pPr>
                  <w:r>
                    <w:rPr>
                      <w:bCs/>
                    </w:rPr>
                    <w:t>140</w:t>
                  </w:r>
                </w:p>
              </w:tc>
            </w:tr>
            <w:tr w14:paraId="5AA773D2">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665" w:type="pct"/>
                  <w:vMerge w:val="restart"/>
                  <w:vAlign w:val="center"/>
                </w:tcPr>
                <w:p w14:paraId="6EADE417">
                  <w:pPr>
                    <w:pStyle w:val="29"/>
                    <w:rPr>
                      <w:bCs/>
                    </w:rPr>
                  </w:pPr>
                  <w:r>
                    <w:rPr>
                      <w:bCs/>
                    </w:rPr>
                    <w:t>B</w:t>
                  </w:r>
                </w:p>
              </w:tc>
              <w:tc>
                <w:tcPr>
                  <w:tcW w:w="822" w:type="pct"/>
                  <w:vAlign w:val="center"/>
                </w:tcPr>
                <w:p w14:paraId="20143BFF">
                  <w:pPr>
                    <w:pStyle w:val="29"/>
                    <w:rPr>
                      <w:bCs/>
                    </w:rPr>
                  </w:pPr>
                  <w:r>
                    <w:rPr>
                      <w:bCs/>
                    </w:rPr>
                    <w:t>&lt;2</w:t>
                  </w:r>
                </w:p>
              </w:tc>
              <w:tc>
                <w:tcPr>
                  <w:tcW w:w="1380" w:type="pct"/>
                  <w:gridSpan w:val="3"/>
                  <w:vAlign w:val="center"/>
                </w:tcPr>
                <w:p w14:paraId="434E6002">
                  <w:pPr>
                    <w:pStyle w:val="29"/>
                    <w:rPr>
                      <w:bCs/>
                    </w:rPr>
                  </w:pPr>
                  <w:r>
                    <w:rPr>
                      <w:bCs/>
                    </w:rPr>
                    <w:t>0.01</w:t>
                  </w:r>
                </w:p>
              </w:tc>
              <w:tc>
                <w:tcPr>
                  <w:tcW w:w="1118" w:type="pct"/>
                  <w:gridSpan w:val="3"/>
                  <w:vAlign w:val="center"/>
                </w:tcPr>
                <w:p w14:paraId="30C5F34F">
                  <w:pPr>
                    <w:pStyle w:val="29"/>
                    <w:rPr>
                      <w:bCs/>
                    </w:rPr>
                  </w:pPr>
                  <w:r>
                    <w:rPr>
                      <w:bCs/>
                    </w:rPr>
                    <w:t>0.015</w:t>
                  </w:r>
                </w:p>
              </w:tc>
              <w:tc>
                <w:tcPr>
                  <w:tcW w:w="1012" w:type="pct"/>
                  <w:gridSpan w:val="3"/>
                  <w:vAlign w:val="center"/>
                </w:tcPr>
                <w:p w14:paraId="3513FB96">
                  <w:pPr>
                    <w:pStyle w:val="29"/>
                    <w:rPr>
                      <w:bCs/>
                    </w:rPr>
                  </w:pPr>
                  <w:r>
                    <w:rPr>
                      <w:bCs/>
                    </w:rPr>
                    <w:t>0.015</w:t>
                  </w:r>
                </w:p>
              </w:tc>
            </w:tr>
            <w:tr w14:paraId="12458B94">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665" w:type="pct"/>
                  <w:vMerge w:val="continue"/>
                  <w:vAlign w:val="center"/>
                </w:tcPr>
                <w:p w14:paraId="65132052">
                  <w:pPr>
                    <w:pStyle w:val="29"/>
                    <w:rPr>
                      <w:bCs/>
                    </w:rPr>
                  </w:pPr>
                </w:p>
              </w:tc>
              <w:tc>
                <w:tcPr>
                  <w:tcW w:w="822" w:type="pct"/>
                  <w:vAlign w:val="center"/>
                </w:tcPr>
                <w:p w14:paraId="29CBCC3F">
                  <w:pPr>
                    <w:pStyle w:val="29"/>
                    <w:rPr>
                      <w:bCs/>
                    </w:rPr>
                  </w:pPr>
                  <w:r>
                    <w:rPr>
                      <w:bCs/>
                    </w:rPr>
                    <w:t>&gt;2</w:t>
                  </w:r>
                </w:p>
              </w:tc>
              <w:tc>
                <w:tcPr>
                  <w:tcW w:w="1380" w:type="pct"/>
                  <w:gridSpan w:val="3"/>
                  <w:vAlign w:val="center"/>
                </w:tcPr>
                <w:p w14:paraId="0A675A4B">
                  <w:pPr>
                    <w:pStyle w:val="29"/>
                    <w:rPr>
                      <w:bCs/>
                    </w:rPr>
                  </w:pPr>
                  <w:r>
                    <w:rPr>
                      <w:bCs/>
                    </w:rPr>
                    <w:t>0.021</w:t>
                  </w:r>
                </w:p>
              </w:tc>
              <w:tc>
                <w:tcPr>
                  <w:tcW w:w="1118" w:type="pct"/>
                  <w:gridSpan w:val="3"/>
                  <w:vAlign w:val="center"/>
                </w:tcPr>
                <w:p w14:paraId="39FF94B6">
                  <w:pPr>
                    <w:pStyle w:val="29"/>
                    <w:rPr>
                      <w:bCs/>
                    </w:rPr>
                  </w:pPr>
                  <w:r>
                    <w:rPr>
                      <w:bCs/>
                    </w:rPr>
                    <w:t>0.036</w:t>
                  </w:r>
                </w:p>
              </w:tc>
              <w:tc>
                <w:tcPr>
                  <w:tcW w:w="1012" w:type="pct"/>
                  <w:gridSpan w:val="3"/>
                  <w:vAlign w:val="center"/>
                </w:tcPr>
                <w:p w14:paraId="1CF8DD11">
                  <w:pPr>
                    <w:pStyle w:val="29"/>
                    <w:rPr>
                      <w:bCs/>
                    </w:rPr>
                  </w:pPr>
                  <w:r>
                    <w:rPr>
                      <w:bCs/>
                    </w:rPr>
                    <w:t>0.036</w:t>
                  </w:r>
                </w:p>
              </w:tc>
            </w:tr>
            <w:tr w14:paraId="46971652">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665" w:type="pct"/>
                  <w:vMerge w:val="restart"/>
                  <w:vAlign w:val="center"/>
                </w:tcPr>
                <w:p w14:paraId="11085B4D">
                  <w:pPr>
                    <w:pStyle w:val="29"/>
                    <w:rPr>
                      <w:bCs/>
                    </w:rPr>
                  </w:pPr>
                  <w:r>
                    <w:rPr>
                      <w:bCs/>
                    </w:rPr>
                    <w:t>C</w:t>
                  </w:r>
                </w:p>
              </w:tc>
              <w:tc>
                <w:tcPr>
                  <w:tcW w:w="822" w:type="pct"/>
                  <w:vAlign w:val="center"/>
                </w:tcPr>
                <w:p w14:paraId="08A344BC">
                  <w:pPr>
                    <w:pStyle w:val="29"/>
                    <w:rPr>
                      <w:bCs/>
                    </w:rPr>
                  </w:pPr>
                  <w:r>
                    <w:rPr>
                      <w:bCs/>
                    </w:rPr>
                    <w:t>&gt;2</w:t>
                  </w:r>
                </w:p>
              </w:tc>
              <w:tc>
                <w:tcPr>
                  <w:tcW w:w="1380" w:type="pct"/>
                  <w:gridSpan w:val="3"/>
                  <w:vAlign w:val="center"/>
                </w:tcPr>
                <w:p w14:paraId="7A9096C4">
                  <w:pPr>
                    <w:pStyle w:val="29"/>
                    <w:rPr>
                      <w:bCs/>
                    </w:rPr>
                  </w:pPr>
                  <w:r>
                    <w:rPr>
                      <w:bCs/>
                    </w:rPr>
                    <w:t>1.85</w:t>
                  </w:r>
                </w:p>
              </w:tc>
              <w:tc>
                <w:tcPr>
                  <w:tcW w:w="1118" w:type="pct"/>
                  <w:gridSpan w:val="3"/>
                  <w:vAlign w:val="center"/>
                </w:tcPr>
                <w:p w14:paraId="17F4DF6E">
                  <w:pPr>
                    <w:pStyle w:val="29"/>
                    <w:rPr>
                      <w:bCs/>
                    </w:rPr>
                  </w:pPr>
                  <w:r>
                    <w:rPr>
                      <w:bCs/>
                    </w:rPr>
                    <w:t>1.79</w:t>
                  </w:r>
                </w:p>
              </w:tc>
              <w:tc>
                <w:tcPr>
                  <w:tcW w:w="1012" w:type="pct"/>
                  <w:gridSpan w:val="3"/>
                  <w:vAlign w:val="center"/>
                </w:tcPr>
                <w:p w14:paraId="282C4D1D">
                  <w:pPr>
                    <w:pStyle w:val="29"/>
                    <w:rPr>
                      <w:bCs/>
                    </w:rPr>
                  </w:pPr>
                  <w:r>
                    <w:rPr>
                      <w:bCs/>
                    </w:rPr>
                    <w:t>1.79</w:t>
                  </w:r>
                </w:p>
              </w:tc>
            </w:tr>
            <w:tr w14:paraId="52F318F5">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665" w:type="pct"/>
                  <w:vMerge w:val="continue"/>
                  <w:vAlign w:val="center"/>
                </w:tcPr>
                <w:p w14:paraId="2D4017E4">
                  <w:pPr>
                    <w:pStyle w:val="29"/>
                    <w:rPr>
                      <w:bCs/>
                    </w:rPr>
                  </w:pPr>
                </w:p>
              </w:tc>
              <w:tc>
                <w:tcPr>
                  <w:tcW w:w="822" w:type="pct"/>
                  <w:vAlign w:val="center"/>
                </w:tcPr>
                <w:p w14:paraId="0EE13FFA">
                  <w:pPr>
                    <w:pStyle w:val="29"/>
                    <w:rPr>
                      <w:bCs/>
                    </w:rPr>
                  </w:pPr>
                  <w:r>
                    <w:rPr>
                      <w:bCs/>
                    </w:rPr>
                    <w:t>&lt;2</w:t>
                  </w:r>
                </w:p>
              </w:tc>
              <w:tc>
                <w:tcPr>
                  <w:tcW w:w="1380" w:type="pct"/>
                  <w:gridSpan w:val="3"/>
                  <w:vAlign w:val="center"/>
                </w:tcPr>
                <w:p w14:paraId="72600B7F">
                  <w:pPr>
                    <w:pStyle w:val="29"/>
                    <w:rPr>
                      <w:bCs/>
                    </w:rPr>
                  </w:pPr>
                  <w:r>
                    <w:rPr>
                      <w:bCs/>
                    </w:rPr>
                    <w:t>1.85</w:t>
                  </w:r>
                  <w:r>
                    <w:rPr>
                      <w:rFonts w:hint="eastAsia"/>
                      <w:bCs/>
                    </w:rPr>
                    <w:t xml:space="preserve"> </w:t>
                  </w:r>
                </w:p>
              </w:tc>
              <w:tc>
                <w:tcPr>
                  <w:tcW w:w="1118" w:type="pct"/>
                  <w:gridSpan w:val="3"/>
                  <w:vAlign w:val="center"/>
                </w:tcPr>
                <w:p w14:paraId="69A5F162">
                  <w:pPr>
                    <w:pStyle w:val="29"/>
                    <w:rPr>
                      <w:bCs/>
                    </w:rPr>
                  </w:pPr>
                  <w:r>
                    <w:rPr>
                      <w:bCs/>
                    </w:rPr>
                    <w:t>1.77</w:t>
                  </w:r>
                </w:p>
              </w:tc>
              <w:tc>
                <w:tcPr>
                  <w:tcW w:w="1012" w:type="pct"/>
                  <w:gridSpan w:val="3"/>
                  <w:vAlign w:val="center"/>
                </w:tcPr>
                <w:p w14:paraId="1E2A2C52">
                  <w:pPr>
                    <w:pStyle w:val="29"/>
                    <w:rPr>
                      <w:bCs/>
                    </w:rPr>
                  </w:pPr>
                  <w:r>
                    <w:rPr>
                      <w:bCs/>
                    </w:rPr>
                    <w:t>1.77</w:t>
                  </w:r>
                </w:p>
              </w:tc>
            </w:tr>
            <w:tr w14:paraId="3FB22139">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665" w:type="pct"/>
                  <w:vMerge w:val="restart"/>
                  <w:vAlign w:val="center"/>
                </w:tcPr>
                <w:p w14:paraId="531160AB">
                  <w:pPr>
                    <w:pStyle w:val="29"/>
                    <w:rPr>
                      <w:bCs/>
                    </w:rPr>
                  </w:pPr>
                  <w:r>
                    <w:rPr>
                      <w:bCs/>
                    </w:rPr>
                    <w:t>D</w:t>
                  </w:r>
                </w:p>
              </w:tc>
              <w:tc>
                <w:tcPr>
                  <w:tcW w:w="822" w:type="pct"/>
                  <w:vAlign w:val="center"/>
                </w:tcPr>
                <w:p w14:paraId="5CB66F03">
                  <w:pPr>
                    <w:pStyle w:val="29"/>
                    <w:rPr>
                      <w:bCs/>
                    </w:rPr>
                  </w:pPr>
                  <w:r>
                    <w:rPr>
                      <w:bCs/>
                    </w:rPr>
                    <w:t>&lt;2</w:t>
                  </w:r>
                </w:p>
              </w:tc>
              <w:tc>
                <w:tcPr>
                  <w:tcW w:w="1380" w:type="pct"/>
                  <w:gridSpan w:val="3"/>
                  <w:vAlign w:val="center"/>
                </w:tcPr>
                <w:p w14:paraId="5DCDBFB2">
                  <w:pPr>
                    <w:pStyle w:val="29"/>
                    <w:rPr>
                      <w:bCs/>
                    </w:rPr>
                  </w:pPr>
                  <w:r>
                    <w:rPr>
                      <w:bCs/>
                    </w:rPr>
                    <w:t>0.78</w:t>
                  </w:r>
                </w:p>
              </w:tc>
              <w:tc>
                <w:tcPr>
                  <w:tcW w:w="1118" w:type="pct"/>
                  <w:gridSpan w:val="3"/>
                  <w:vAlign w:val="center"/>
                </w:tcPr>
                <w:p w14:paraId="3940084D">
                  <w:pPr>
                    <w:pStyle w:val="29"/>
                    <w:rPr>
                      <w:bCs/>
                    </w:rPr>
                  </w:pPr>
                  <w:r>
                    <w:rPr>
                      <w:bCs/>
                    </w:rPr>
                    <w:t>0.78</w:t>
                  </w:r>
                </w:p>
              </w:tc>
              <w:tc>
                <w:tcPr>
                  <w:tcW w:w="1012" w:type="pct"/>
                  <w:gridSpan w:val="3"/>
                  <w:vAlign w:val="center"/>
                </w:tcPr>
                <w:p w14:paraId="688B3661">
                  <w:pPr>
                    <w:pStyle w:val="29"/>
                    <w:rPr>
                      <w:bCs/>
                    </w:rPr>
                  </w:pPr>
                  <w:r>
                    <w:rPr>
                      <w:bCs/>
                    </w:rPr>
                    <w:t>0.57</w:t>
                  </w:r>
                </w:p>
              </w:tc>
            </w:tr>
            <w:tr w14:paraId="463F657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665" w:type="pct"/>
                  <w:vMerge w:val="continue"/>
                  <w:vAlign w:val="center"/>
                </w:tcPr>
                <w:p w14:paraId="2FB15675">
                  <w:pPr>
                    <w:pStyle w:val="29"/>
                    <w:rPr>
                      <w:bCs/>
                    </w:rPr>
                  </w:pPr>
                </w:p>
              </w:tc>
              <w:tc>
                <w:tcPr>
                  <w:tcW w:w="822" w:type="pct"/>
                  <w:vAlign w:val="center"/>
                </w:tcPr>
                <w:p w14:paraId="414E9CAC">
                  <w:pPr>
                    <w:pStyle w:val="29"/>
                    <w:rPr>
                      <w:bCs/>
                    </w:rPr>
                  </w:pPr>
                  <w:r>
                    <w:rPr>
                      <w:bCs/>
                    </w:rPr>
                    <w:t>&gt;2</w:t>
                  </w:r>
                </w:p>
              </w:tc>
              <w:tc>
                <w:tcPr>
                  <w:tcW w:w="1380" w:type="pct"/>
                  <w:gridSpan w:val="3"/>
                  <w:vAlign w:val="center"/>
                </w:tcPr>
                <w:p w14:paraId="7FDD47F9">
                  <w:pPr>
                    <w:pStyle w:val="29"/>
                    <w:rPr>
                      <w:bCs/>
                    </w:rPr>
                  </w:pPr>
                  <w:r>
                    <w:rPr>
                      <w:bCs/>
                    </w:rPr>
                    <w:t>0.84</w:t>
                  </w:r>
                </w:p>
              </w:tc>
              <w:tc>
                <w:tcPr>
                  <w:tcW w:w="1118" w:type="pct"/>
                  <w:gridSpan w:val="3"/>
                  <w:vAlign w:val="center"/>
                </w:tcPr>
                <w:p w14:paraId="671F2553">
                  <w:pPr>
                    <w:pStyle w:val="29"/>
                    <w:rPr>
                      <w:bCs/>
                    </w:rPr>
                  </w:pPr>
                  <w:r>
                    <w:rPr>
                      <w:bCs/>
                    </w:rPr>
                    <w:t>0.84</w:t>
                  </w:r>
                </w:p>
              </w:tc>
              <w:tc>
                <w:tcPr>
                  <w:tcW w:w="1012" w:type="pct"/>
                  <w:gridSpan w:val="3"/>
                  <w:vAlign w:val="center"/>
                </w:tcPr>
                <w:p w14:paraId="30E7C362">
                  <w:pPr>
                    <w:pStyle w:val="29"/>
                    <w:rPr>
                      <w:bCs/>
                    </w:rPr>
                  </w:pPr>
                  <w:r>
                    <w:rPr>
                      <w:bCs/>
                    </w:rPr>
                    <w:t>0.76</w:t>
                  </w:r>
                </w:p>
              </w:tc>
            </w:tr>
          </w:tbl>
          <w:p w14:paraId="09243810">
            <w:pPr>
              <w:spacing w:line="240" w:lineRule="auto"/>
              <w:ind w:firstLine="420"/>
              <w:rPr>
                <w:rStyle w:val="28"/>
              </w:rPr>
            </w:pPr>
            <w:r>
              <w:rPr>
                <w:rStyle w:val="28"/>
              </w:rPr>
              <w:t>注：</w:t>
            </w:r>
          </w:p>
          <w:p w14:paraId="4D876945">
            <w:pPr>
              <w:spacing w:line="240" w:lineRule="auto"/>
              <w:ind w:firstLine="420"/>
              <w:rPr>
                <w:rStyle w:val="28"/>
              </w:rPr>
            </w:pPr>
            <w:r>
              <w:rPr>
                <w:rStyle w:val="28"/>
              </w:rPr>
              <w:t>Ⅰ类：与无组织排放源共存的排放同种有害气体的排气筒的排放量，大于或等于标准规定的允许排放量的1/3者。</w:t>
            </w:r>
          </w:p>
          <w:p w14:paraId="5EDE6364">
            <w:pPr>
              <w:spacing w:line="240" w:lineRule="auto"/>
              <w:ind w:firstLine="420"/>
              <w:rPr>
                <w:rStyle w:val="28"/>
              </w:rPr>
            </w:pPr>
            <w:r>
              <w:rPr>
                <w:rStyle w:val="28"/>
              </w:rPr>
              <w:t>Ⅱ类：与无组织排放源共存的排放同种有害气体的排气筒的排放量，小于标准规定的允许排放量的1/3，或虽无排放同种大气污染物之排气筒共存，但无组织排放的有害物质的容许浓度指标是按急性反应指标确定者。</w:t>
            </w:r>
          </w:p>
          <w:p w14:paraId="1497DFAD">
            <w:pPr>
              <w:spacing w:line="240" w:lineRule="auto"/>
              <w:ind w:firstLine="420"/>
              <w:rPr>
                <w:rStyle w:val="28"/>
              </w:rPr>
            </w:pPr>
            <w:r>
              <w:rPr>
                <w:rStyle w:val="28"/>
              </w:rPr>
              <w:t>Ⅲ类：无排放同种有害物质的排气筒与无组织排放源共存，但无组织排放的有害物质的容许浓度是按慢性反应指标确定者。</w:t>
            </w:r>
          </w:p>
          <w:p w14:paraId="26D173C6">
            <w:pPr>
              <w:spacing w:line="240" w:lineRule="auto"/>
              <w:ind w:firstLine="420"/>
              <w:rPr>
                <w:rFonts w:asciiTheme="majorBidi" w:hAnsiTheme="majorBidi" w:eastAsiaTheme="minorEastAsia" w:cstheme="majorBidi"/>
                <w:bCs/>
                <w:color w:val="000000" w:themeColor="text1"/>
                <w:kern w:val="2"/>
                <w:sz w:val="21"/>
                <w:szCs w:val="21"/>
                <w14:textFill>
                  <w14:solidFill>
                    <w14:schemeClr w14:val="tx1"/>
                  </w14:solidFill>
                </w14:textFill>
              </w:rPr>
            </w:pPr>
          </w:p>
          <w:p w14:paraId="216CBC5A">
            <w:pPr>
              <w:ind w:firstLine="480"/>
              <w:rPr>
                <w:rFonts w:asciiTheme="majorBidi" w:hAnsiTheme="majorBidi" w:eastAsiaTheme="minorEastAsia" w:cstheme="majorBidi"/>
                <w:bCs/>
                <w:color w:val="000000" w:themeColor="text1"/>
                <w:kern w:val="2"/>
                <w14:textFill>
                  <w14:solidFill>
                    <w14:schemeClr w14:val="tx1"/>
                  </w14:solidFill>
                </w14:textFill>
              </w:rPr>
            </w:pPr>
            <w:r>
              <w:rPr>
                <w:rFonts w:asciiTheme="majorBidi" w:hAnsiTheme="majorBidi" w:eastAsiaTheme="minorEastAsia" w:cstheme="majorBidi"/>
                <w:bCs/>
                <w:color w:val="000000" w:themeColor="text1"/>
                <w:kern w:val="2"/>
                <w14:textFill>
                  <w14:solidFill>
                    <w14:schemeClr w14:val="tx1"/>
                  </w14:solidFill>
                </w14:textFill>
              </w:rPr>
              <w:t>等效半径根据下式计算。</w:t>
            </w:r>
          </w:p>
          <w:p w14:paraId="63828DA1">
            <w:pPr>
              <w:pStyle w:val="29"/>
              <w:rPr>
                <w:bCs/>
              </w:rPr>
            </w:pPr>
            <w:r>
              <w:rPr>
                <w:bCs/>
              </w:rPr>
              <w:drawing>
                <wp:inline distT="0" distB="0" distL="114300" distR="114300">
                  <wp:extent cx="1284605" cy="204470"/>
                  <wp:effectExtent l="0" t="0" r="0" b="5080"/>
                  <wp:docPr id="24" name="图片 24" descr="162044362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图片 24" descr="1620443620(1)"/>
                          <pic:cNvPicPr>
                            <a:picLocks noChangeAspect="1"/>
                          </pic:cNvPicPr>
                        </pic:nvPicPr>
                        <pic:blipFill>
                          <a:blip r:embed="rId33"/>
                          <a:srcRect t="20572" b="21724"/>
                          <a:stretch>
                            <a:fillRect/>
                          </a:stretch>
                        </pic:blipFill>
                        <pic:spPr>
                          <a:xfrm>
                            <a:off x="0" y="0"/>
                            <a:ext cx="1298043" cy="206965"/>
                          </a:xfrm>
                          <a:prstGeom prst="rect">
                            <a:avLst/>
                          </a:prstGeom>
                          <a:noFill/>
                          <a:ln>
                            <a:noFill/>
                          </a:ln>
                        </pic:spPr>
                      </pic:pic>
                    </a:graphicData>
                  </a:graphic>
                </wp:inline>
              </w:drawing>
            </w:r>
          </w:p>
          <w:p w14:paraId="22803787">
            <w:pPr>
              <w:ind w:firstLine="480"/>
              <w:rPr>
                <w:bCs/>
              </w:rPr>
            </w:pPr>
            <w:r>
              <w:rPr>
                <w:bCs/>
              </w:rPr>
              <w:t>本项目生产车间占地面积893.95m</w:t>
            </w:r>
            <w:r>
              <w:rPr>
                <w:bCs/>
                <w:vertAlign w:val="superscript"/>
              </w:rPr>
              <w:t>2</w:t>
            </w:r>
            <w:r>
              <w:rPr>
                <w:bCs/>
              </w:rPr>
              <w:t>，计算得出等效半径16.92m。</w:t>
            </w:r>
          </w:p>
          <w:p w14:paraId="2BDEE7F2">
            <w:pPr>
              <w:ind w:firstLine="480"/>
              <w:rPr>
                <w:bCs/>
              </w:rPr>
            </w:pPr>
            <w:r>
              <w:rPr>
                <w:bCs/>
              </w:rPr>
              <w:t>本项目所在地区近5年平均风速为</w:t>
            </w:r>
            <w:r>
              <w:rPr>
                <w:rFonts w:hint="eastAsia"/>
                <w:bCs/>
                <w:color w:val="0000FF"/>
              </w:rPr>
              <w:t>1.8</w:t>
            </w:r>
            <w:r>
              <w:rPr>
                <w:bCs/>
              </w:rPr>
              <w:t>m/s，且大气污染源属于Ⅱ类，项目卫生防护距离初值计算详见下表：</w:t>
            </w:r>
          </w:p>
          <w:p w14:paraId="217507B5">
            <w:pPr>
              <w:pStyle w:val="11"/>
              <w:numPr>
                <w:ilvl w:val="0"/>
                <w:numId w:val="4"/>
              </w:numPr>
              <w:rPr>
                <w:bCs w:val="0"/>
              </w:rPr>
            </w:pPr>
            <w:r>
              <w:rPr>
                <w:bCs w:val="0"/>
              </w:rPr>
              <w:t>卫生防护距离初值计算</w:t>
            </w:r>
          </w:p>
          <w:tbl>
            <w:tblPr>
              <w:tblStyle w:val="21"/>
              <w:tblW w:w="4998" w:type="pct"/>
              <w:tblInd w:w="0" w:type="dxa"/>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1587"/>
              <w:gridCol w:w="1377"/>
              <w:gridCol w:w="609"/>
              <w:gridCol w:w="717"/>
              <w:gridCol w:w="719"/>
              <w:gridCol w:w="691"/>
              <w:gridCol w:w="3540"/>
            </w:tblGrid>
            <w:tr w14:paraId="3521D5E8">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857" w:type="pct"/>
                  <w:vAlign w:val="center"/>
                </w:tcPr>
                <w:p w14:paraId="21B56799">
                  <w:pPr>
                    <w:pStyle w:val="29"/>
                    <w:rPr>
                      <w:bCs/>
                    </w:rPr>
                  </w:pPr>
                  <w:r>
                    <w:rPr>
                      <w:bCs/>
                    </w:rPr>
                    <w:t>污染物</w:t>
                  </w:r>
                </w:p>
              </w:tc>
              <w:tc>
                <w:tcPr>
                  <w:tcW w:w="745" w:type="pct"/>
                  <w:vAlign w:val="center"/>
                </w:tcPr>
                <w:p w14:paraId="47541EF1">
                  <w:pPr>
                    <w:pStyle w:val="29"/>
                    <w:rPr>
                      <w:bCs/>
                    </w:rPr>
                  </w:pPr>
                  <w:r>
                    <w:rPr>
                      <w:bCs/>
                    </w:rPr>
                    <w:t>等效半径r</w:t>
                  </w:r>
                </w:p>
              </w:tc>
              <w:tc>
                <w:tcPr>
                  <w:tcW w:w="329" w:type="pct"/>
                  <w:vAlign w:val="center"/>
                </w:tcPr>
                <w:p w14:paraId="0133CC89">
                  <w:pPr>
                    <w:pStyle w:val="29"/>
                    <w:rPr>
                      <w:bCs/>
                    </w:rPr>
                  </w:pPr>
                  <w:r>
                    <w:rPr>
                      <w:bCs/>
                    </w:rPr>
                    <w:t>A</w:t>
                  </w:r>
                </w:p>
              </w:tc>
              <w:tc>
                <w:tcPr>
                  <w:tcW w:w="388" w:type="pct"/>
                  <w:vAlign w:val="center"/>
                </w:tcPr>
                <w:p w14:paraId="3B3A5419">
                  <w:pPr>
                    <w:pStyle w:val="29"/>
                    <w:rPr>
                      <w:bCs/>
                    </w:rPr>
                  </w:pPr>
                  <w:r>
                    <w:rPr>
                      <w:bCs/>
                    </w:rPr>
                    <w:t>B</w:t>
                  </w:r>
                </w:p>
              </w:tc>
              <w:tc>
                <w:tcPr>
                  <w:tcW w:w="389" w:type="pct"/>
                  <w:vAlign w:val="center"/>
                </w:tcPr>
                <w:p w14:paraId="47B922FE">
                  <w:pPr>
                    <w:pStyle w:val="29"/>
                    <w:rPr>
                      <w:bCs/>
                    </w:rPr>
                  </w:pPr>
                  <w:r>
                    <w:rPr>
                      <w:bCs/>
                    </w:rPr>
                    <w:t>C</w:t>
                  </w:r>
                </w:p>
              </w:tc>
              <w:tc>
                <w:tcPr>
                  <w:tcW w:w="374" w:type="pct"/>
                  <w:vAlign w:val="center"/>
                </w:tcPr>
                <w:p w14:paraId="24803C66">
                  <w:pPr>
                    <w:pStyle w:val="29"/>
                    <w:rPr>
                      <w:bCs/>
                    </w:rPr>
                  </w:pPr>
                  <w:r>
                    <w:rPr>
                      <w:bCs/>
                    </w:rPr>
                    <w:t>D</w:t>
                  </w:r>
                </w:p>
              </w:tc>
              <w:tc>
                <w:tcPr>
                  <w:tcW w:w="1915" w:type="pct"/>
                  <w:vAlign w:val="center"/>
                </w:tcPr>
                <w:p w14:paraId="6699CB87">
                  <w:pPr>
                    <w:pStyle w:val="29"/>
                    <w:rPr>
                      <w:bCs/>
                    </w:rPr>
                  </w:pPr>
                  <w:r>
                    <w:rPr>
                      <w:bCs/>
                    </w:rPr>
                    <w:t>卫生防护距离初值计算值m</w:t>
                  </w:r>
                </w:p>
              </w:tc>
            </w:tr>
            <w:tr w14:paraId="6ABF3BEF">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857" w:type="pct"/>
                  <w:vAlign w:val="center"/>
                </w:tcPr>
                <w:p w14:paraId="6E17F347">
                  <w:pPr>
                    <w:pStyle w:val="29"/>
                    <w:rPr>
                      <w:bCs/>
                    </w:rPr>
                  </w:pPr>
                  <w:r>
                    <w:rPr>
                      <w:bCs/>
                    </w:rPr>
                    <w:t>颗粒物</w:t>
                  </w:r>
                </w:p>
              </w:tc>
              <w:tc>
                <w:tcPr>
                  <w:tcW w:w="745" w:type="pct"/>
                  <w:vAlign w:val="center"/>
                </w:tcPr>
                <w:p w14:paraId="27DCEE5E">
                  <w:pPr>
                    <w:pStyle w:val="29"/>
                    <w:rPr>
                      <w:bCs/>
                    </w:rPr>
                  </w:pPr>
                  <w:r>
                    <w:rPr>
                      <w:bCs/>
                    </w:rPr>
                    <w:t>16.92</w:t>
                  </w:r>
                </w:p>
              </w:tc>
              <w:tc>
                <w:tcPr>
                  <w:tcW w:w="329" w:type="pct"/>
                  <w:vAlign w:val="center"/>
                </w:tcPr>
                <w:p w14:paraId="61B1647D">
                  <w:pPr>
                    <w:pStyle w:val="29"/>
                    <w:rPr>
                      <w:bCs/>
                    </w:rPr>
                  </w:pPr>
                  <w:r>
                    <w:rPr>
                      <w:bCs/>
                      <w:color w:val="0000FF"/>
                    </w:rPr>
                    <w:t>4</w:t>
                  </w:r>
                  <w:r>
                    <w:rPr>
                      <w:rFonts w:hint="eastAsia"/>
                      <w:bCs/>
                      <w:color w:val="0000FF"/>
                    </w:rPr>
                    <w:t>0</w:t>
                  </w:r>
                  <w:r>
                    <w:rPr>
                      <w:bCs/>
                      <w:color w:val="0000FF"/>
                    </w:rPr>
                    <w:t>0</w:t>
                  </w:r>
                </w:p>
              </w:tc>
              <w:tc>
                <w:tcPr>
                  <w:tcW w:w="388" w:type="pct"/>
                  <w:vAlign w:val="center"/>
                </w:tcPr>
                <w:p w14:paraId="6D68EF2B">
                  <w:pPr>
                    <w:pStyle w:val="29"/>
                    <w:rPr>
                      <w:bCs/>
                    </w:rPr>
                  </w:pPr>
                  <w:r>
                    <w:rPr>
                      <w:bCs/>
                      <w:color w:val="0000FF"/>
                    </w:rPr>
                    <w:t>0.01</w:t>
                  </w:r>
                </w:p>
              </w:tc>
              <w:tc>
                <w:tcPr>
                  <w:tcW w:w="389" w:type="pct"/>
                  <w:vAlign w:val="center"/>
                </w:tcPr>
                <w:p w14:paraId="6DAC23B4">
                  <w:pPr>
                    <w:pStyle w:val="29"/>
                    <w:rPr>
                      <w:bCs/>
                    </w:rPr>
                  </w:pPr>
                  <w:r>
                    <w:rPr>
                      <w:bCs/>
                    </w:rPr>
                    <w:t>1.85</w:t>
                  </w:r>
                </w:p>
              </w:tc>
              <w:tc>
                <w:tcPr>
                  <w:tcW w:w="374" w:type="pct"/>
                  <w:vAlign w:val="center"/>
                </w:tcPr>
                <w:p w14:paraId="7FE29D8F">
                  <w:pPr>
                    <w:pStyle w:val="29"/>
                    <w:rPr>
                      <w:bCs/>
                    </w:rPr>
                  </w:pPr>
                  <w:r>
                    <w:rPr>
                      <w:bCs/>
                      <w:color w:val="0000FF"/>
                    </w:rPr>
                    <w:t>0.78</w:t>
                  </w:r>
                </w:p>
              </w:tc>
              <w:tc>
                <w:tcPr>
                  <w:tcW w:w="1915" w:type="pct"/>
                  <w:vAlign w:val="center"/>
                </w:tcPr>
                <w:p w14:paraId="33C369D1">
                  <w:pPr>
                    <w:pStyle w:val="29"/>
                    <w:rPr>
                      <w:bCs/>
                    </w:rPr>
                  </w:pPr>
                  <w:r>
                    <w:rPr>
                      <w:rFonts w:hint="eastAsia"/>
                      <w:bCs/>
                      <w:color w:val="0000FF"/>
                    </w:rPr>
                    <w:t>8</w:t>
                  </w:r>
                </w:p>
              </w:tc>
            </w:tr>
          </w:tbl>
          <w:p w14:paraId="456B24D4">
            <w:pPr>
              <w:ind w:firstLine="480"/>
              <w:rPr>
                <w:rFonts w:asciiTheme="majorBidi" w:hAnsiTheme="majorBidi" w:eastAsiaTheme="minorEastAsia" w:cstheme="majorBidi"/>
                <w:bCs/>
                <w:color w:val="000000" w:themeColor="text1"/>
                <w:kern w:val="2"/>
                <w14:textFill>
                  <w14:solidFill>
                    <w14:schemeClr w14:val="tx1"/>
                  </w14:solidFill>
                </w14:textFill>
              </w:rPr>
            </w:pPr>
            <w:r>
              <w:rPr>
                <w:rFonts w:asciiTheme="majorBidi" w:hAnsiTheme="majorBidi" w:eastAsiaTheme="minorEastAsia" w:cstheme="majorBidi"/>
                <w:bCs/>
                <w:color w:val="000000" w:themeColor="text1"/>
                <w:kern w:val="2"/>
                <w14:textFill>
                  <w14:solidFill>
                    <w14:schemeClr w14:val="tx1"/>
                  </w14:solidFill>
                </w14:textFill>
              </w:rPr>
              <w:t>卫生防护距离终值的确定：</w:t>
            </w:r>
          </w:p>
          <w:p w14:paraId="3A70AD29">
            <w:pPr>
              <w:pStyle w:val="11"/>
              <w:numPr>
                <w:ilvl w:val="0"/>
                <w:numId w:val="4"/>
              </w:numPr>
              <w:rPr>
                <w:bCs w:val="0"/>
              </w:rPr>
            </w:pPr>
            <w:r>
              <w:rPr>
                <w:bCs w:val="0"/>
              </w:rPr>
              <w:t>表4-9 卫生防护距离终值级差范围表</w:t>
            </w:r>
          </w:p>
          <w:tbl>
            <w:tblPr>
              <w:tblStyle w:val="21"/>
              <w:tblW w:w="4999" w:type="pct"/>
              <w:tblInd w:w="0" w:type="dxa"/>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4621"/>
              <w:gridCol w:w="4621"/>
            </w:tblGrid>
            <w:tr w14:paraId="39F50278">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2500" w:type="pct"/>
                  <w:vAlign w:val="center"/>
                </w:tcPr>
                <w:p w14:paraId="0FAFD710">
                  <w:pPr>
                    <w:pStyle w:val="29"/>
                    <w:rPr>
                      <w:bCs/>
                    </w:rPr>
                  </w:pPr>
                  <w:r>
                    <w:rPr>
                      <w:bCs/>
                    </w:rPr>
                    <w:t>卫生防护距离计算初值L/m</w:t>
                  </w:r>
                </w:p>
              </w:tc>
              <w:tc>
                <w:tcPr>
                  <w:tcW w:w="2500" w:type="pct"/>
                  <w:vAlign w:val="center"/>
                </w:tcPr>
                <w:p w14:paraId="67DA3A21">
                  <w:pPr>
                    <w:pStyle w:val="29"/>
                    <w:rPr>
                      <w:bCs/>
                    </w:rPr>
                  </w:pPr>
                  <w:r>
                    <w:rPr>
                      <w:bCs/>
                    </w:rPr>
                    <w:t>级差/m</w:t>
                  </w:r>
                </w:p>
              </w:tc>
            </w:tr>
            <w:tr w14:paraId="57C463E4">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2500" w:type="pct"/>
                  <w:vAlign w:val="center"/>
                </w:tcPr>
                <w:p w14:paraId="076C8073">
                  <w:pPr>
                    <w:pStyle w:val="29"/>
                    <w:rPr>
                      <w:bCs/>
                    </w:rPr>
                  </w:pPr>
                  <w:r>
                    <w:rPr>
                      <w:bCs/>
                    </w:rPr>
                    <w:t>0≤L&lt;50</w:t>
                  </w:r>
                </w:p>
              </w:tc>
              <w:tc>
                <w:tcPr>
                  <w:tcW w:w="2500" w:type="pct"/>
                  <w:vAlign w:val="center"/>
                </w:tcPr>
                <w:p w14:paraId="688880DC">
                  <w:pPr>
                    <w:pStyle w:val="29"/>
                    <w:rPr>
                      <w:bCs/>
                    </w:rPr>
                  </w:pPr>
                  <w:r>
                    <w:rPr>
                      <w:bCs/>
                    </w:rPr>
                    <w:t>50</w:t>
                  </w:r>
                </w:p>
              </w:tc>
            </w:tr>
            <w:tr w14:paraId="12BFFD7B">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2500" w:type="pct"/>
                  <w:vAlign w:val="center"/>
                </w:tcPr>
                <w:p w14:paraId="24391838">
                  <w:pPr>
                    <w:pStyle w:val="29"/>
                    <w:rPr>
                      <w:bCs/>
                    </w:rPr>
                  </w:pPr>
                  <w:r>
                    <w:rPr>
                      <w:bCs/>
                    </w:rPr>
                    <w:t>50≤L&lt;100</w:t>
                  </w:r>
                </w:p>
              </w:tc>
              <w:tc>
                <w:tcPr>
                  <w:tcW w:w="2500" w:type="pct"/>
                  <w:vAlign w:val="center"/>
                </w:tcPr>
                <w:p w14:paraId="3D62CF85">
                  <w:pPr>
                    <w:pStyle w:val="29"/>
                    <w:rPr>
                      <w:bCs/>
                    </w:rPr>
                  </w:pPr>
                  <w:r>
                    <w:rPr>
                      <w:bCs/>
                    </w:rPr>
                    <w:t>50</w:t>
                  </w:r>
                </w:p>
              </w:tc>
            </w:tr>
            <w:tr w14:paraId="785A19AA">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2500" w:type="pct"/>
                  <w:vAlign w:val="center"/>
                </w:tcPr>
                <w:p w14:paraId="6A6C1B31">
                  <w:pPr>
                    <w:pStyle w:val="29"/>
                    <w:rPr>
                      <w:bCs/>
                    </w:rPr>
                  </w:pPr>
                  <w:r>
                    <w:rPr>
                      <w:bCs/>
                    </w:rPr>
                    <w:t>100≤L&lt;1000</w:t>
                  </w:r>
                </w:p>
              </w:tc>
              <w:tc>
                <w:tcPr>
                  <w:tcW w:w="2500" w:type="pct"/>
                  <w:vAlign w:val="center"/>
                </w:tcPr>
                <w:p w14:paraId="505C19E4">
                  <w:pPr>
                    <w:pStyle w:val="29"/>
                    <w:rPr>
                      <w:bCs/>
                    </w:rPr>
                  </w:pPr>
                  <w:r>
                    <w:rPr>
                      <w:bCs/>
                    </w:rPr>
                    <w:t>100</w:t>
                  </w:r>
                </w:p>
              </w:tc>
            </w:tr>
            <w:tr w14:paraId="3FF413AF">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2500" w:type="pct"/>
                  <w:vAlign w:val="center"/>
                </w:tcPr>
                <w:p w14:paraId="339786CB">
                  <w:pPr>
                    <w:pStyle w:val="29"/>
                    <w:rPr>
                      <w:bCs/>
                    </w:rPr>
                  </w:pPr>
                  <w:r>
                    <w:rPr>
                      <w:bCs/>
                    </w:rPr>
                    <w:t>L&gt;1000</w:t>
                  </w:r>
                </w:p>
              </w:tc>
              <w:tc>
                <w:tcPr>
                  <w:tcW w:w="2500" w:type="pct"/>
                  <w:vAlign w:val="center"/>
                </w:tcPr>
                <w:p w14:paraId="571AF349">
                  <w:pPr>
                    <w:pStyle w:val="29"/>
                    <w:rPr>
                      <w:bCs/>
                    </w:rPr>
                  </w:pPr>
                  <w:r>
                    <w:rPr>
                      <w:bCs/>
                    </w:rPr>
                    <w:t>200</w:t>
                  </w:r>
                </w:p>
              </w:tc>
            </w:tr>
          </w:tbl>
          <w:p w14:paraId="11A3E416">
            <w:pPr>
              <w:ind w:firstLine="480"/>
              <w:rPr>
                <w:bCs/>
                <w:szCs w:val="25"/>
              </w:rPr>
            </w:pPr>
            <w:r>
              <w:rPr>
                <w:bCs/>
              </w:rPr>
              <w:t>因此，确定卫生防护距离终值为50米，项目以生产车间为源点，设置50米卫生防护距离。根据现场踏勘，本项目车间50米卫生防护距离内没有敏感点，符合卫生防护距离要求。同时建议属地主管部门不得批准在卫生防护距离范围内新建居民点、学校、医院以及食品加工企业等敏感点。</w:t>
            </w:r>
          </w:p>
          <w:p w14:paraId="5771ECB8">
            <w:pPr>
              <w:ind w:firstLine="480"/>
              <w:rPr>
                <w:bCs/>
              </w:rPr>
            </w:pPr>
            <w:r>
              <w:rPr>
                <w:bCs/>
              </w:rPr>
              <w:t>10.废气排放环境影响分析</w:t>
            </w:r>
          </w:p>
          <w:p w14:paraId="489328AF">
            <w:pPr>
              <w:ind w:firstLine="480"/>
              <w:rPr>
                <w:bCs/>
              </w:rPr>
            </w:pPr>
            <w:r>
              <w:rPr>
                <w:bCs/>
              </w:rPr>
              <w:t>根据《2023年惠州市生态环境状况公报》及引用的监测数据可知，项目所在区域大气环境质量现状均能达到所属功能区的标准要求，属于环境空气达标区，项目所在区域大气环境质量良好。</w:t>
            </w:r>
          </w:p>
          <w:p w14:paraId="508C933F">
            <w:pPr>
              <w:ind w:firstLine="480"/>
              <w:rPr>
                <w:bCs/>
              </w:rPr>
            </w:pPr>
            <w:r>
              <w:rPr>
                <w:bCs/>
              </w:rPr>
              <w:t>项目有机废气及漆雾废气收集至</w:t>
            </w:r>
            <w:r>
              <w:rPr>
                <w:rFonts w:ascii="宋体" w:hAnsi="宋体"/>
                <w:bCs/>
              </w:rPr>
              <w:t>“</w:t>
            </w:r>
            <w:r>
              <w:rPr>
                <w:bCs/>
              </w:rPr>
              <w:t>水喷淋+干式过滤+二级活性炭吸附</w:t>
            </w:r>
            <w:r>
              <w:rPr>
                <w:rFonts w:ascii="宋体" w:hAnsi="宋体"/>
                <w:bCs/>
              </w:rPr>
              <w:t>”</w:t>
            </w:r>
            <w:r>
              <w:rPr>
                <w:bCs/>
              </w:rPr>
              <w:t>装置处理后由一根65米高的排气筒（DA001）高空排放，</w:t>
            </w:r>
            <w:r>
              <w:rPr>
                <w:rFonts w:hint="eastAsia"/>
                <w:bCs/>
                <w:color w:val="0000FF"/>
              </w:rPr>
              <w:t>非甲烷总烃有组织排放应符合《合成树脂工业污染物排放标准》(GB31572-2015，含2024年修改单)中表5排放限值、《固定污染源挥发性有机物综合排放标准》（DB44/2367-2022）表1限值及《印刷工业大气污染物排放标准》(GB41616-2022)中的表1大气污染物排放限值的较严者，苯乙烯、丙烯腈、1，3-丁二烯、甲苯、乙苯有组织排放应符合《合成树脂工业污染物排放标准》(GB31572-2015，含2024年修改单)中表5排放限值，TVOC有组织排放应符合《固定污染源挥发性有机物综合排放标准》（DB44/2367-2022）表1限值，总VOCs有组织排放应符合广州省地方标准《印刷行业挥发性有机化合物排放标准》（DB44/815-2010）中凹版印刷、凸版印刷、丝网印刷、平版印刷（以金属、陶瓷、玻璃为承印物的平版印刷）Ⅱ时段排放浓度限值（排放速率按照标准限值50%应符合），颗粒物有组织排放应符合广东省《大气污染物排放限值》（DB44/27-2001）中表2第二时段二级标准排放限值（排放速率按照标准限值50%应符合），臭气浓度有组织排放应符合《恶臭污染物排放标准》（GB14554-93）表2中恶臭污染物排放标准限值；非甲烷总烃厂区内厂房外《印刷工业大气污染物排放标准》（GB41616-2022）附录A排放限值间较严者要求，总VOCs厂界无组织排放应符合广东省《印刷行业挥发性有机化合物排放标准》（DB44/815-2010）无组织排放监控点浓度限值，臭气浓度厂界无组织排放应符合《恶臭污染物排放标准》（GB14554-93）表1恶臭污染物厂界标准值（二级标准中新扩改建）。</w:t>
            </w:r>
            <w:r>
              <w:rPr>
                <w:bCs/>
              </w:rPr>
              <w:t>项目周边500m范围内无大气环境敏感点，项目废气排放对周边环境影响较小。</w:t>
            </w:r>
          </w:p>
          <w:p w14:paraId="3BF9B147">
            <w:pPr>
              <w:ind w:firstLine="480"/>
              <w:rPr>
                <w:bCs/>
              </w:rPr>
            </w:pPr>
            <w:r>
              <w:rPr>
                <w:bCs/>
              </w:rPr>
              <w:t>（二）废水</w:t>
            </w:r>
          </w:p>
          <w:p w14:paraId="062EDF7C">
            <w:pPr>
              <w:ind w:firstLine="480"/>
              <w:rPr>
                <w:bCs/>
              </w:rPr>
            </w:pPr>
            <w:r>
              <w:rPr>
                <w:rFonts w:hint="eastAsia"/>
                <w:bCs/>
              </w:rPr>
              <w:t>1.用水情况</w:t>
            </w:r>
          </w:p>
          <w:p w14:paraId="1814651F">
            <w:pPr>
              <w:ind w:firstLine="480"/>
              <w:rPr>
                <w:rFonts w:asciiTheme="majorBidi" w:hAnsiTheme="majorBidi" w:eastAsiaTheme="minorEastAsia" w:cstheme="majorBidi"/>
                <w:color w:val="EE0000"/>
                <w:kern w:val="2"/>
                <w:szCs w:val="21"/>
              </w:rPr>
            </w:pPr>
            <w:r>
              <w:rPr>
                <w:rFonts w:asciiTheme="majorBidi" w:hAnsiTheme="majorBidi" w:eastAsiaTheme="minorEastAsia" w:cstheme="majorBidi"/>
                <w:color w:val="EE0000"/>
                <w:kern w:val="2"/>
                <w:szCs w:val="21"/>
              </w:rPr>
              <w:t>（1）生活用水：项目员工60名，年工作300天，均不在厂区内食宿。员工生活用水量按广东省地方标准《用水定额·第3部分：生活》（DB44/T1461.3-2021）中办公楼-无浴室和食堂的先进值计算，用水定额取10m³/人·a；则项目员工用水量为600m³/a（2.00m³/d）。</w:t>
            </w:r>
          </w:p>
          <w:p w14:paraId="1F15EFF9">
            <w:pPr>
              <w:ind w:firstLine="480"/>
              <w:rPr>
                <w:rFonts w:asciiTheme="majorBidi" w:hAnsiTheme="majorBidi" w:eastAsiaTheme="minorEastAsia" w:cstheme="majorBidi"/>
                <w:color w:val="EE0000"/>
                <w:kern w:val="2"/>
                <w:szCs w:val="21"/>
              </w:rPr>
            </w:pPr>
            <w:r>
              <w:rPr>
                <w:rFonts w:asciiTheme="majorBidi" w:hAnsiTheme="majorBidi" w:eastAsiaTheme="minorEastAsia" w:cstheme="majorBidi"/>
                <w:color w:val="EE0000"/>
                <w:kern w:val="2"/>
                <w:szCs w:val="21"/>
              </w:rPr>
              <w:t>（2）生产用水</w:t>
            </w:r>
          </w:p>
          <w:p w14:paraId="27A3DECD">
            <w:pPr>
              <w:keepNext/>
              <w:ind w:firstLine="480"/>
              <w:rPr>
                <w:rFonts w:asciiTheme="majorBidi" w:hAnsiTheme="majorBidi" w:eastAsiaTheme="minorEastAsia" w:cstheme="majorBidi"/>
                <w:color w:val="EE0000"/>
                <w:kern w:val="2"/>
                <w:szCs w:val="21"/>
              </w:rPr>
            </w:pPr>
            <w:r>
              <w:rPr>
                <w:rFonts w:ascii="Cambria Math" w:hAnsi="Cambria Math" w:cs="Cambria Math" w:eastAsiaTheme="minorEastAsia"/>
                <w:color w:val="EE0000"/>
                <w:kern w:val="2"/>
                <w:szCs w:val="21"/>
              </w:rPr>
              <w:t>①</w:t>
            </w:r>
            <w:r>
              <w:rPr>
                <w:rFonts w:asciiTheme="majorBidi" w:hAnsiTheme="majorBidi" w:eastAsiaTheme="minorEastAsia" w:cstheme="majorBidi"/>
                <w:color w:val="EE0000"/>
                <w:kern w:val="2"/>
                <w:szCs w:val="21"/>
              </w:rPr>
              <w:t>冷却循环用水</w:t>
            </w:r>
          </w:p>
          <w:p w14:paraId="54A732EA">
            <w:pPr>
              <w:keepNext/>
              <w:ind w:firstLine="480"/>
              <w:rPr>
                <w:rFonts w:asciiTheme="majorBidi" w:hAnsiTheme="majorBidi" w:eastAsiaTheme="minorEastAsia" w:cstheme="majorBidi"/>
                <w:color w:val="EE0000"/>
                <w:kern w:val="2"/>
                <w:szCs w:val="21"/>
              </w:rPr>
            </w:pPr>
            <w:r>
              <w:rPr>
                <w:rFonts w:asciiTheme="majorBidi" w:hAnsiTheme="majorBidi" w:eastAsiaTheme="minorEastAsia" w:cstheme="majorBidi"/>
                <w:color w:val="EE0000"/>
                <w:kern w:val="2"/>
                <w:szCs w:val="21"/>
              </w:rPr>
              <w:t>项目设有1台冷却塔，冷却用水经冷凝器间接冷却后被重新泵入冷却塔中循环使用，冷却塔循环水量3m³/h。</w:t>
            </w:r>
            <w:r>
              <w:rPr>
                <w:rFonts w:asciiTheme="majorBidi" w:hAnsiTheme="majorBidi" w:eastAsiaTheme="minorEastAsia" w:cstheme="majorBidi"/>
                <w:color w:val="0000FF"/>
                <w:kern w:val="2"/>
                <w:szCs w:val="21"/>
              </w:rPr>
              <w:t>注塑机</w:t>
            </w:r>
            <w:r>
              <w:rPr>
                <w:rFonts w:asciiTheme="majorBidi" w:hAnsiTheme="majorBidi" w:eastAsiaTheme="minorEastAsia" w:cstheme="majorBidi"/>
                <w:color w:val="EE0000"/>
                <w:kern w:val="2"/>
                <w:szCs w:val="21"/>
              </w:rPr>
              <w:t>每天运行16h，当</w:t>
            </w:r>
            <w:r>
              <w:rPr>
                <w:rFonts w:asciiTheme="majorBidi" w:hAnsiTheme="majorBidi" w:eastAsiaTheme="minorEastAsia" w:cstheme="majorBidi"/>
                <w:color w:val="0000FF"/>
                <w:kern w:val="2"/>
                <w:szCs w:val="21"/>
              </w:rPr>
              <w:t>注塑机</w:t>
            </w:r>
            <w:r>
              <w:rPr>
                <w:rFonts w:asciiTheme="majorBidi" w:hAnsiTheme="majorBidi" w:eastAsiaTheme="minorEastAsia" w:cstheme="majorBidi"/>
                <w:color w:val="EE0000"/>
                <w:kern w:val="2"/>
                <w:szCs w:val="21"/>
              </w:rPr>
              <w:t>达到一定温度时，冷却水塔开始工作，按冷却水塔每天运行16h计，冷却塔循环水量合计为48.00m³/d（14400.00m³/a），根据《工业循环冷却水处理设计规范》（GB/T 50050-2017）闭式系统的补充水系统设计流量宜为循环水量的0.5%~1.0%，本项目的冷却塔的补充水损耗量按1%计算，即项目1台冷却塔的补充水用量约0.48m³/d（144.00m³/a）。</w:t>
            </w:r>
          </w:p>
          <w:p w14:paraId="2D59300C">
            <w:pPr>
              <w:ind w:firstLine="480"/>
              <w:rPr>
                <w:rFonts w:asciiTheme="majorBidi" w:hAnsiTheme="majorBidi" w:eastAsiaTheme="minorEastAsia" w:cstheme="majorBidi"/>
                <w:color w:val="EE0000"/>
                <w:kern w:val="2"/>
                <w:szCs w:val="21"/>
              </w:rPr>
            </w:pPr>
            <w:r>
              <w:rPr>
                <w:rFonts w:ascii="Cambria Math" w:hAnsi="Cambria Math" w:cs="Cambria Math" w:eastAsiaTheme="minorEastAsia"/>
                <w:color w:val="EE0000"/>
                <w:kern w:val="2"/>
                <w:szCs w:val="21"/>
              </w:rPr>
              <w:t>②</w:t>
            </w:r>
            <w:r>
              <w:rPr>
                <w:rFonts w:asciiTheme="majorBidi" w:hAnsiTheme="majorBidi" w:eastAsiaTheme="minorEastAsia" w:cstheme="majorBidi"/>
                <w:color w:val="EE0000"/>
                <w:kern w:val="2"/>
                <w:szCs w:val="21"/>
              </w:rPr>
              <w:t>水帘柜用水：项目设有4个水帘柜，尺寸均为4m*2m*1.8m，</w:t>
            </w:r>
            <w:r>
              <w:rPr>
                <w:rFonts w:hint="eastAsia" w:asciiTheme="majorBidi" w:hAnsiTheme="majorBidi" w:eastAsiaTheme="minorEastAsia" w:cstheme="majorBidi"/>
                <w:color w:val="EE0000"/>
                <w:kern w:val="2"/>
                <w:szCs w:val="21"/>
              </w:rPr>
              <w:t>每个</w:t>
            </w:r>
            <w:r>
              <w:rPr>
                <w:rFonts w:asciiTheme="majorBidi" w:hAnsiTheme="majorBidi" w:eastAsiaTheme="minorEastAsia" w:cstheme="majorBidi"/>
                <w:color w:val="EE0000"/>
                <w:kern w:val="2"/>
                <w:szCs w:val="21"/>
              </w:rPr>
              <w:t>水帘柜有效水深均为</w:t>
            </w:r>
            <w:r>
              <w:rPr>
                <w:rFonts w:hint="eastAsia" w:asciiTheme="majorBidi" w:hAnsiTheme="majorBidi" w:eastAsiaTheme="minorEastAsia" w:cstheme="majorBidi"/>
                <w:color w:val="EE0000"/>
                <w:kern w:val="2"/>
                <w:szCs w:val="21"/>
              </w:rPr>
              <w:t>0.</w:t>
            </w:r>
            <w:r>
              <w:rPr>
                <w:rFonts w:asciiTheme="majorBidi" w:hAnsiTheme="majorBidi" w:eastAsiaTheme="minorEastAsia" w:cstheme="majorBidi"/>
                <w:color w:val="EE0000"/>
                <w:kern w:val="2"/>
                <w:szCs w:val="21"/>
              </w:rPr>
              <w:t>25m，4个水帘柜有效容积共计4m*2m*</w:t>
            </w:r>
            <w:r>
              <w:rPr>
                <w:rFonts w:hint="eastAsia" w:asciiTheme="majorBidi" w:hAnsiTheme="majorBidi" w:eastAsiaTheme="minorEastAsia" w:cstheme="majorBidi"/>
                <w:color w:val="EE0000"/>
                <w:kern w:val="2"/>
                <w:szCs w:val="21"/>
              </w:rPr>
              <w:t>0.</w:t>
            </w:r>
            <w:r>
              <w:rPr>
                <w:rFonts w:asciiTheme="majorBidi" w:hAnsiTheme="majorBidi" w:eastAsiaTheme="minorEastAsia" w:cstheme="majorBidi"/>
                <w:color w:val="EE0000"/>
                <w:kern w:val="2"/>
                <w:szCs w:val="21"/>
              </w:rPr>
              <w:t>25m*</w:t>
            </w:r>
            <w:r>
              <w:rPr>
                <w:rFonts w:hint="eastAsia" w:asciiTheme="majorBidi" w:hAnsiTheme="majorBidi" w:eastAsiaTheme="minorEastAsia" w:cstheme="majorBidi"/>
                <w:color w:val="EE0000"/>
                <w:kern w:val="2"/>
                <w:szCs w:val="21"/>
              </w:rPr>
              <w:t>4=</w:t>
            </w:r>
            <w:r>
              <w:rPr>
                <w:rFonts w:asciiTheme="majorBidi" w:hAnsiTheme="majorBidi" w:eastAsiaTheme="minorEastAsia" w:cstheme="majorBidi"/>
                <w:color w:val="EE0000"/>
                <w:kern w:val="2"/>
                <w:szCs w:val="21"/>
              </w:rPr>
              <w:t>8m³。项目水帘柜的水定期打捞漆渣后循环使用，4个水帘柜总循环水量约为8m³/h，每天喷涂时间为3小时，合计循环量为24.00m³/d。根据《涂装车间设计手册》（化学工业出版社，2013年），水帘柜补充水量为循环水量的3%~5%，项目取5%，项目水帘柜补充水量为360.00m³/a（1.20m³/d）。水帘柜的水循环使用时间较长后需要更换，项目拟3个月更换一次，</w:t>
            </w:r>
            <w:r>
              <w:rPr>
                <w:rFonts w:hint="eastAsia" w:asciiTheme="majorBidi" w:hAnsiTheme="majorBidi" w:eastAsiaTheme="minorEastAsia" w:cstheme="majorBidi"/>
                <w:color w:val="EE0000"/>
                <w:kern w:val="2"/>
                <w:szCs w:val="21"/>
              </w:rPr>
              <w:t>即年更换4次，</w:t>
            </w:r>
            <w:r>
              <w:rPr>
                <w:rFonts w:asciiTheme="majorBidi" w:hAnsiTheme="majorBidi" w:eastAsiaTheme="minorEastAsia" w:cstheme="majorBidi"/>
                <w:color w:val="EE0000"/>
                <w:kern w:val="2"/>
                <w:szCs w:val="21"/>
              </w:rPr>
              <w:t>需要补充水量32m³/a（0.11m³/d）。水帘柜总用水量为392.00m³/a（1.31m³/d）。</w:t>
            </w:r>
          </w:p>
          <w:p w14:paraId="51950B8F">
            <w:pPr>
              <w:ind w:firstLine="480"/>
              <w:rPr>
                <w:rFonts w:asciiTheme="majorBidi" w:hAnsiTheme="majorBidi" w:eastAsiaTheme="minorEastAsia" w:cstheme="majorBidi"/>
                <w:color w:val="EE0000"/>
                <w:kern w:val="2"/>
                <w:szCs w:val="21"/>
              </w:rPr>
            </w:pPr>
            <w:r>
              <w:rPr>
                <w:rFonts w:ascii="Cambria Math" w:hAnsi="Cambria Math" w:cs="Cambria Math" w:eastAsiaTheme="minorEastAsia"/>
                <w:color w:val="EE0000"/>
                <w:kern w:val="2"/>
                <w:szCs w:val="21"/>
              </w:rPr>
              <w:t>③</w:t>
            </w:r>
            <w:r>
              <w:rPr>
                <w:rFonts w:asciiTheme="majorBidi" w:hAnsiTheme="majorBidi" w:eastAsiaTheme="minorEastAsia" w:cstheme="majorBidi"/>
                <w:color w:val="EE0000"/>
                <w:kern w:val="2"/>
                <w:szCs w:val="21"/>
              </w:rPr>
              <w:t>喷枪清洗水：项目8把喷枪头每天清洗1次，每次清洗水量2.0L/次，则喷枪清洗所需水量0</w:t>
            </w:r>
            <w:r>
              <w:rPr>
                <w:rFonts w:hint="eastAsia" w:asciiTheme="majorBidi" w:hAnsiTheme="majorBidi" w:eastAsiaTheme="minorEastAsia" w:cstheme="majorBidi"/>
                <w:color w:val="EE0000"/>
                <w:kern w:val="2"/>
                <w:szCs w:val="21"/>
              </w:rPr>
              <w:t>.6</w:t>
            </w:r>
            <w:r>
              <w:rPr>
                <w:rFonts w:asciiTheme="majorBidi" w:hAnsiTheme="majorBidi" w:eastAsiaTheme="minorEastAsia" w:cstheme="majorBidi"/>
                <w:color w:val="EE0000"/>
                <w:kern w:val="2"/>
                <w:szCs w:val="21"/>
              </w:rPr>
              <w:t>m³/a（</w:t>
            </w:r>
            <w:r>
              <w:rPr>
                <w:rFonts w:hint="eastAsia" w:asciiTheme="majorBidi" w:hAnsiTheme="majorBidi" w:eastAsiaTheme="minorEastAsia" w:cstheme="majorBidi"/>
                <w:color w:val="EE0000"/>
                <w:kern w:val="2"/>
                <w:szCs w:val="21"/>
              </w:rPr>
              <w:t>0.002</w:t>
            </w:r>
            <w:r>
              <w:rPr>
                <w:rFonts w:asciiTheme="majorBidi" w:hAnsiTheme="majorBidi" w:eastAsiaTheme="minorEastAsia" w:cstheme="majorBidi"/>
                <w:color w:val="EE0000"/>
                <w:kern w:val="2"/>
                <w:szCs w:val="21"/>
              </w:rPr>
              <w:t>m³/d）。</w:t>
            </w:r>
          </w:p>
          <w:p w14:paraId="5DE94690">
            <w:pPr>
              <w:ind w:firstLine="480"/>
              <w:rPr>
                <w:rFonts w:asciiTheme="majorBidi" w:hAnsiTheme="majorBidi" w:eastAsiaTheme="minorEastAsia" w:cstheme="majorBidi"/>
                <w:color w:val="EE0000"/>
                <w:kern w:val="2"/>
                <w:szCs w:val="21"/>
              </w:rPr>
            </w:pPr>
            <w:r>
              <w:rPr>
                <w:rFonts w:ascii="Cambria Math" w:hAnsi="Cambria Math" w:cs="Cambria Math" w:eastAsiaTheme="minorEastAsia"/>
                <w:color w:val="EE0000"/>
                <w:kern w:val="2"/>
                <w:szCs w:val="21"/>
              </w:rPr>
              <w:t>④</w:t>
            </w:r>
            <w:r>
              <w:rPr>
                <w:rFonts w:asciiTheme="majorBidi" w:hAnsiTheme="majorBidi" w:eastAsiaTheme="minorEastAsia" w:cstheme="majorBidi"/>
                <w:color w:val="EE0000"/>
                <w:kern w:val="2"/>
                <w:szCs w:val="21"/>
              </w:rPr>
              <w:t>喷淋塔用水：</w:t>
            </w:r>
            <w:r>
              <w:rPr>
                <w:rFonts w:hint="eastAsia" w:asciiTheme="majorBidi" w:hAnsiTheme="majorBidi" w:eastAsiaTheme="minorEastAsia" w:cstheme="majorBidi"/>
                <w:color w:val="EE0000"/>
                <w:kern w:val="2"/>
                <w:szCs w:val="21"/>
              </w:rPr>
              <w:t>项目废气处理设施设有1个水喷淋塔（自带除雾器）及配套循环水池，水喷淋塔循环水池规格为Φ1800×0.7m，有效储水量约1.5m³，循环水量为5m³/h。项目的喷淋塔循环水中吸附有漆雾及水溶性VOCs，喷涂工序平均每进行100个小时的生产需更换一次喷淋水，即平均一年更换3次喷淋水，未换水期间每天使用漆雾吸附剂混凝+过滤网过滤循环水，混凝沉淀。喷淋塔中的循环水污染物为COD及SS，更换循环水时，喷淋塔内设置排水管道将循环水用收集罐收集并委托有危险废物处置资质的公司处理。</w:t>
            </w:r>
            <w:r>
              <w:rPr>
                <w:rFonts w:hint="eastAsia" w:asciiTheme="majorBidi" w:hAnsiTheme="majorBidi" w:eastAsiaTheme="minorEastAsia" w:cstheme="majorBidi"/>
                <w:b/>
                <w:bCs/>
                <w:color w:val="EE0000"/>
                <w:kern w:val="2"/>
                <w:szCs w:val="21"/>
              </w:rPr>
              <w:t>喷淋塔更换水量</w:t>
            </w:r>
            <w:r>
              <w:rPr>
                <w:rFonts w:hint="eastAsia" w:asciiTheme="majorBidi" w:hAnsiTheme="majorBidi" w:eastAsiaTheme="minorEastAsia" w:cstheme="majorBidi"/>
                <w:color w:val="EE0000"/>
                <w:kern w:val="2"/>
                <w:szCs w:val="21"/>
              </w:rPr>
              <w:t>为喷淋塔所配循环水箱的100%，喷淋塔年更换水量为1.5×3=4.5m³；喷淋塔运行时间为每天16小时，</w:t>
            </w:r>
            <w:r>
              <w:rPr>
                <w:rFonts w:hint="eastAsia" w:asciiTheme="majorBidi" w:hAnsiTheme="majorBidi" w:eastAsiaTheme="minorEastAsia" w:cstheme="majorBidi"/>
                <w:b/>
                <w:bCs/>
                <w:color w:val="EE0000"/>
                <w:kern w:val="2"/>
                <w:szCs w:val="21"/>
              </w:rPr>
              <w:t>喷淋塔补充水量</w:t>
            </w:r>
            <w:r>
              <w:rPr>
                <w:rFonts w:hint="eastAsia" w:asciiTheme="majorBidi" w:hAnsiTheme="majorBidi" w:eastAsiaTheme="minorEastAsia" w:cstheme="majorBidi"/>
                <w:color w:val="EE0000"/>
                <w:kern w:val="2"/>
                <w:szCs w:val="21"/>
              </w:rPr>
              <w:t>按循环水量1%计算，则需补充的水量为5×16×1%=0.8m³/天，补充水用水量0.8*300=240m³/a，则喷淋塔年</w:t>
            </w:r>
            <w:r>
              <w:rPr>
                <w:rFonts w:hint="eastAsia" w:asciiTheme="majorBidi" w:hAnsiTheme="majorBidi" w:eastAsiaTheme="minorEastAsia" w:cstheme="majorBidi"/>
                <w:b/>
                <w:bCs/>
                <w:color w:val="EE0000"/>
                <w:kern w:val="2"/>
                <w:szCs w:val="21"/>
              </w:rPr>
              <w:t>总用水量</w:t>
            </w:r>
            <w:r>
              <w:rPr>
                <w:rFonts w:hint="eastAsia" w:asciiTheme="majorBidi" w:hAnsiTheme="majorBidi" w:eastAsiaTheme="minorEastAsia" w:cstheme="majorBidi"/>
                <w:color w:val="EE0000"/>
                <w:kern w:val="2"/>
                <w:szCs w:val="21"/>
              </w:rPr>
              <w:t>为240+4.5=244.5 m³/a（0.815</w:t>
            </w:r>
            <w:r>
              <w:rPr>
                <w:rFonts w:asciiTheme="majorBidi" w:hAnsiTheme="majorBidi" w:eastAsiaTheme="minorEastAsia" w:cstheme="majorBidi"/>
                <w:color w:val="EE0000"/>
                <w:kern w:val="2"/>
                <w:szCs w:val="21"/>
              </w:rPr>
              <w:t>m³/</w:t>
            </w:r>
            <w:r>
              <w:rPr>
                <w:rFonts w:hint="eastAsia" w:asciiTheme="majorBidi" w:hAnsiTheme="majorBidi" w:eastAsiaTheme="minorEastAsia" w:cstheme="majorBidi"/>
                <w:color w:val="EE0000"/>
                <w:kern w:val="2"/>
                <w:szCs w:val="21"/>
              </w:rPr>
              <w:t>d）。</w:t>
            </w:r>
          </w:p>
          <w:p w14:paraId="4A8DD6D1">
            <w:pPr>
              <w:ind w:firstLine="480"/>
              <w:rPr>
                <w:bCs/>
              </w:rPr>
            </w:pPr>
            <w:r>
              <w:rPr>
                <w:rFonts w:hint="eastAsia"/>
                <w:bCs/>
              </w:rPr>
              <w:t>2</w:t>
            </w:r>
            <w:r>
              <w:rPr>
                <w:bCs/>
              </w:rPr>
              <w:t>.</w:t>
            </w:r>
            <w:r>
              <w:rPr>
                <w:rFonts w:hint="eastAsia"/>
                <w:bCs/>
              </w:rPr>
              <w:t>排水情况</w:t>
            </w:r>
          </w:p>
          <w:p w14:paraId="7512BF04">
            <w:pPr>
              <w:ind w:firstLine="480"/>
              <w:rPr>
                <w:bCs/>
              </w:rPr>
            </w:pPr>
            <w:r>
              <w:rPr>
                <w:rFonts w:hint="eastAsia"/>
                <w:bCs/>
              </w:rPr>
              <w:t>生活污水</w:t>
            </w:r>
            <w:r>
              <w:rPr>
                <w:bCs/>
              </w:rPr>
              <w:t>源强核算</w:t>
            </w:r>
          </w:p>
          <w:p w14:paraId="356B2318">
            <w:pPr>
              <w:ind w:firstLine="480"/>
              <w:rPr>
                <w:bCs/>
              </w:rPr>
            </w:pPr>
            <w:r>
              <w:rPr>
                <w:bCs/>
              </w:rPr>
              <w:t>根据项目工程分析，</w:t>
            </w:r>
            <w:r>
              <w:rPr>
                <w:rFonts w:asciiTheme="majorBidi" w:hAnsiTheme="majorBidi" w:eastAsiaTheme="minorEastAsia" w:cstheme="majorBidi"/>
                <w:color w:val="EE0000"/>
                <w:kern w:val="2"/>
                <w:szCs w:val="21"/>
              </w:rPr>
              <w:t>项目生活用水量为600m³/a，排污系数按0.9计算</w:t>
            </w:r>
            <w:r>
              <w:rPr>
                <w:rFonts w:hint="eastAsia" w:asciiTheme="majorBidi" w:hAnsiTheme="majorBidi" w:eastAsiaTheme="minorEastAsia" w:cstheme="majorBidi"/>
                <w:color w:val="EE0000"/>
                <w:kern w:val="2"/>
                <w:szCs w:val="21"/>
              </w:rPr>
              <w:t>，</w:t>
            </w:r>
            <w:r>
              <w:rPr>
                <w:bCs/>
              </w:rPr>
              <w:t>项目生活污水产生量为540m³/a（1.80m³/d）。生活污水中COD</w:t>
            </w:r>
            <w:r>
              <w:rPr>
                <w:bCs/>
                <w:vertAlign w:val="subscript"/>
              </w:rPr>
              <w:t>Cr</w:t>
            </w:r>
            <w:r>
              <w:rPr>
                <w:bCs/>
              </w:rPr>
              <w:t>、NH</w:t>
            </w:r>
            <w:r>
              <w:rPr>
                <w:bCs/>
                <w:vertAlign w:val="subscript"/>
              </w:rPr>
              <w:t>3</w:t>
            </w:r>
            <w:r>
              <w:rPr>
                <w:bCs/>
              </w:rPr>
              <w:t>-N、总磷及总氮产生浓度参照《排放源统计调查产排污核算方法和系数手册》中生活污染源产排污系数手册表1-1城镇生活源水污染物产生系数（五区）：COD</w:t>
            </w:r>
            <w:r>
              <w:rPr>
                <w:bCs/>
                <w:vertAlign w:val="subscript"/>
              </w:rPr>
              <w:t>Cr</w:t>
            </w:r>
            <w:r>
              <w:rPr>
                <w:bCs/>
              </w:rPr>
              <w:t>285mg/L、氨氮28.3mg/L、总磷4.1mg/L、总氮产生浓度为39.4mg/L；另BOD</w:t>
            </w:r>
            <w:r>
              <w:rPr>
                <w:bCs/>
                <w:vertAlign w:val="subscript"/>
              </w:rPr>
              <w:t>5</w:t>
            </w:r>
            <w:r>
              <w:rPr>
                <w:bCs/>
              </w:rPr>
              <w:t>、SS产生浓度参考《排水工程》（第四版下册）中</w:t>
            </w:r>
            <w:r>
              <w:rPr>
                <w:rFonts w:ascii="宋体" w:hAnsi="宋体"/>
                <w:bCs/>
              </w:rPr>
              <w:t>“</w:t>
            </w:r>
            <w:r>
              <w:rPr>
                <w:bCs/>
              </w:rPr>
              <w:t>典型生活污水水质</w:t>
            </w:r>
            <w:r>
              <w:rPr>
                <w:rFonts w:ascii="宋体" w:hAnsi="宋体"/>
                <w:bCs/>
              </w:rPr>
              <w:t>”</w:t>
            </w:r>
            <w:r>
              <w:rPr>
                <w:bCs/>
              </w:rPr>
              <w:t>中</w:t>
            </w:r>
            <w:r>
              <w:rPr>
                <w:rFonts w:ascii="宋体" w:hAnsi="宋体"/>
                <w:bCs/>
              </w:rPr>
              <w:t>“</w:t>
            </w:r>
            <w:r>
              <w:rPr>
                <w:bCs/>
              </w:rPr>
              <w:t>中常浓度</w:t>
            </w:r>
            <w:r>
              <w:rPr>
                <w:rFonts w:ascii="宋体" w:hAnsi="宋体"/>
                <w:bCs/>
              </w:rPr>
              <w:t>”</w:t>
            </w:r>
            <w:r>
              <w:rPr>
                <w:bCs/>
              </w:rPr>
              <w:t>水质参数，产生浓度分别为200mg/L、220mg/L。</w:t>
            </w:r>
          </w:p>
          <w:p w14:paraId="6A2E1147">
            <w:pPr>
              <w:ind w:firstLine="480"/>
              <w:rPr>
                <w:bCs/>
              </w:rPr>
            </w:pPr>
            <w:r>
              <w:rPr>
                <w:bCs/>
              </w:rPr>
              <w:t>项目生活污水经三级化粪池预处理后排入博罗县园洲镇第五生活污水处理厂深度处理，尾水中氨氮和总磷执行《地表水环境质量标准》（GB 3838－2002）V类标准，其余指标达到《城镇污水处理厂污染物排放标准》（GB18918-2002）中的一级A标准以及广东省地方标准《水污染物排放限值》（DB44/26-2001）第二时段一级标准中的较严者后排入园洲中心排渠，经过沙河汇入东江。</w:t>
            </w:r>
          </w:p>
          <w:p w14:paraId="0459CE87">
            <w:pPr>
              <w:pStyle w:val="11"/>
              <w:numPr>
                <w:ilvl w:val="0"/>
                <w:numId w:val="4"/>
              </w:numPr>
              <w:rPr>
                <w:bCs w:val="0"/>
              </w:rPr>
            </w:pPr>
            <w:r>
              <w:rPr>
                <w:bCs w:val="0"/>
              </w:rPr>
              <w:t>表4-10 废水污染物排放情况一览表</w:t>
            </w:r>
          </w:p>
          <w:tbl>
            <w:tblPr>
              <w:tblStyle w:val="43"/>
              <w:tblW w:w="9075" w:type="dxa"/>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28" w:type="dxa"/>
                <w:bottom w:w="0" w:type="dxa"/>
                <w:right w:w="28" w:type="dxa"/>
              </w:tblCellMar>
            </w:tblPr>
            <w:tblGrid>
              <w:gridCol w:w="314"/>
              <w:gridCol w:w="777"/>
              <w:gridCol w:w="579"/>
              <w:gridCol w:w="832"/>
              <w:gridCol w:w="794"/>
              <w:gridCol w:w="642"/>
              <w:gridCol w:w="662"/>
              <w:gridCol w:w="932"/>
              <w:gridCol w:w="674"/>
              <w:gridCol w:w="843"/>
              <w:gridCol w:w="858"/>
              <w:gridCol w:w="567"/>
              <w:gridCol w:w="601"/>
            </w:tblGrid>
            <w:tr w14:paraId="690D8CA4">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PrEx>
              <w:trPr>
                <w:trHeight w:val="340" w:hRule="atLeast"/>
                <w:jc w:val="center"/>
              </w:trPr>
              <w:tc>
                <w:tcPr>
                  <w:tcW w:w="314" w:type="dxa"/>
                  <w:vMerge w:val="restart"/>
                  <w:vAlign w:val="center"/>
                </w:tcPr>
                <w:p w14:paraId="0454BC95">
                  <w:pPr>
                    <w:pStyle w:val="29"/>
                    <w:rPr>
                      <w:bCs/>
                    </w:rPr>
                  </w:pPr>
                  <w:r>
                    <w:rPr>
                      <w:bCs/>
                    </w:rPr>
                    <w:t>污染源</w:t>
                  </w:r>
                </w:p>
              </w:tc>
              <w:tc>
                <w:tcPr>
                  <w:tcW w:w="777" w:type="dxa"/>
                  <w:vMerge w:val="restart"/>
                  <w:vAlign w:val="center"/>
                </w:tcPr>
                <w:p w14:paraId="41D341B2">
                  <w:pPr>
                    <w:pStyle w:val="29"/>
                    <w:rPr>
                      <w:bCs/>
                    </w:rPr>
                  </w:pPr>
                  <w:r>
                    <w:rPr>
                      <w:bCs/>
                    </w:rPr>
                    <w:t>污染物</w:t>
                  </w:r>
                </w:p>
              </w:tc>
              <w:tc>
                <w:tcPr>
                  <w:tcW w:w="579" w:type="dxa"/>
                  <w:vMerge w:val="restart"/>
                  <w:vAlign w:val="center"/>
                </w:tcPr>
                <w:p w14:paraId="608C31E3">
                  <w:pPr>
                    <w:pStyle w:val="29"/>
                    <w:rPr>
                      <w:bCs/>
                    </w:rPr>
                  </w:pPr>
                  <w:r>
                    <w:rPr>
                      <w:bCs/>
                    </w:rPr>
                    <w:t>废水产生量t/a</w:t>
                  </w:r>
                </w:p>
              </w:tc>
              <w:tc>
                <w:tcPr>
                  <w:tcW w:w="1626" w:type="dxa"/>
                  <w:gridSpan w:val="2"/>
                  <w:vAlign w:val="center"/>
                </w:tcPr>
                <w:p w14:paraId="7D62C4B3">
                  <w:pPr>
                    <w:pStyle w:val="29"/>
                    <w:rPr>
                      <w:bCs/>
                    </w:rPr>
                  </w:pPr>
                  <w:r>
                    <w:rPr>
                      <w:bCs/>
                    </w:rPr>
                    <w:t>污染物产生</w:t>
                  </w:r>
                </w:p>
              </w:tc>
              <w:tc>
                <w:tcPr>
                  <w:tcW w:w="2236" w:type="dxa"/>
                  <w:gridSpan w:val="3"/>
                  <w:vAlign w:val="center"/>
                </w:tcPr>
                <w:p w14:paraId="5121152A">
                  <w:pPr>
                    <w:pStyle w:val="29"/>
                    <w:rPr>
                      <w:bCs/>
                    </w:rPr>
                  </w:pPr>
                  <w:r>
                    <w:rPr>
                      <w:bCs/>
                    </w:rPr>
                    <w:t>治理措施</w:t>
                  </w:r>
                </w:p>
              </w:tc>
              <w:tc>
                <w:tcPr>
                  <w:tcW w:w="674" w:type="dxa"/>
                  <w:vMerge w:val="restart"/>
                  <w:vAlign w:val="center"/>
                </w:tcPr>
                <w:p w14:paraId="7D35DC1F">
                  <w:pPr>
                    <w:pStyle w:val="29"/>
                    <w:rPr>
                      <w:bCs/>
                    </w:rPr>
                  </w:pPr>
                  <w:r>
                    <w:rPr>
                      <w:bCs/>
                    </w:rPr>
                    <w:t>废水排放量t/a</w:t>
                  </w:r>
                </w:p>
              </w:tc>
              <w:tc>
                <w:tcPr>
                  <w:tcW w:w="1701" w:type="dxa"/>
                  <w:gridSpan w:val="2"/>
                  <w:vAlign w:val="center"/>
                </w:tcPr>
                <w:p w14:paraId="164A98BC">
                  <w:pPr>
                    <w:pStyle w:val="29"/>
                    <w:rPr>
                      <w:bCs/>
                    </w:rPr>
                  </w:pPr>
                  <w:r>
                    <w:rPr>
                      <w:bCs/>
                    </w:rPr>
                    <w:t>污染物排放情况</w:t>
                  </w:r>
                </w:p>
              </w:tc>
              <w:tc>
                <w:tcPr>
                  <w:tcW w:w="567" w:type="dxa"/>
                  <w:vMerge w:val="restart"/>
                  <w:noWrap/>
                  <w:vAlign w:val="center"/>
                </w:tcPr>
                <w:p w14:paraId="46D2275C">
                  <w:pPr>
                    <w:pStyle w:val="29"/>
                    <w:rPr>
                      <w:bCs/>
                    </w:rPr>
                  </w:pPr>
                  <w:r>
                    <w:rPr>
                      <w:bCs/>
                    </w:rPr>
                    <w:t>排放</w:t>
                  </w:r>
                </w:p>
                <w:p w14:paraId="073CBDB5">
                  <w:pPr>
                    <w:pStyle w:val="29"/>
                    <w:rPr>
                      <w:bCs/>
                    </w:rPr>
                  </w:pPr>
                  <w:r>
                    <w:rPr>
                      <w:bCs/>
                    </w:rPr>
                    <w:t>去向</w:t>
                  </w:r>
                </w:p>
              </w:tc>
              <w:tc>
                <w:tcPr>
                  <w:tcW w:w="601" w:type="dxa"/>
                  <w:vMerge w:val="restart"/>
                  <w:vAlign w:val="center"/>
                </w:tcPr>
                <w:p w14:paraId="40466E98">
                  <w:pPr>
                    <w:pStyle w:val="29"/>
                    <w:rPr>
                      <w:bCs/>
                    </w:rPr>
                  </w:pPr>
                  <w:r>
                    <w:rPr>
                      <w:bCs/>
                    </w:rPr>
                    <w:t>排放形式</w:t>
                  </w:r>
                </w:p>
              </w:tc>
            </w:tr>
            <w:tr w14:paraId="54EC349B">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340" w:hRule="atLeast"/>
                <w:jc w:val="center"/>
              </w:trPr>
              <w:tc>
                <w:tcPr>
                  <w:tcW w:w="314" w:type="dxa"/>
                  <w:vMerge w:val="continue"/>
                  <w:vAlign w:val="center"/>
                </w:tcPr>
                <w:p w14:paraId="47D95E19">
                  <w:pPr>
                    <w:pStyle w:val="29"/>
                    <w:rPr>
                      <w:bCs/>
                    </w:rPr>
                  </w:pPr>
                </w:p>
              </w:tc>
              <w:tc>
                <w:tcPr>
                  <w:tcW w:w="777" w:type="dxa"/>
                  <w:vMerge w:val="continue"/>
                  <w:vAlign w:val="center"/>
                </w:tcPr>
                <w:p w14:paraId="78FBBBD9">
                  <w:pPr>
                    <w:pStyle w:val="29"/>
                    <w:rPr>
                      <w:bCs/>
                    </w:rPr>
                  </w:pPr>
                </w:p>
              </w:tc>
              <w:tc>
                <w:tcPr>
                  <w:tcW w:w="579" w:type="dxa"/>
                  <w:vMerge w:val="continue"/>
                  <w:vAlign w:val="center"/>
                </w:tcPr>
                <w:p w14:paraId="6C625AB5">
                  <w:pPr>
                    <w:pStyle w:val="29"/>
                    <w:rPr>
                      <w:bCs/>
                    </w:rPr>
                  </w:pPr>
                </w:p>
              </w:tc>
              <w:tc>
                <w:tcPr>
                  <w:tcW w:w="832" w:type="dxa"/>
                  <w:vAlign w:val="center"/>
                </w:tcPr>
                <w:p w14:paraId="143EBABB">
                  <w:pPr>
                    <w:pStyle w:val="29"/>
                    <w:rPr>
                      <w:bCs/>
                    </w:rPr>
                  </w:pPr>
                  <w:r>
                    <w:rPr>
                      <w:bCs/>
                    </w:rPr>
                    <w:t>产生浓度mg/L</w:t>
                  </w:r>
                </w:p>
              </w:tc>
              <w:tc>
                <w:tcPr>
                  <w:tcW w:w="794" w:type="dxa"/>
                  <w:vAlign w:val="center"/>
                </w:tcPr>
                <w:p w14:paraId="458E5DD7">
                  <w:pPr>
                    <w:pStyle w:val="29"/>
                    <w:rPr>
                      <w:bCs/>
                    </w:rPr>
                  </w:pPr>
                  <w:r>
                    <w:rPr>
                      <w:bCs/>
                    </w:rPr>
                    <w:t>产生量t/a</w:t>
                  </w:r>
                </w:p>
              </w:tc>
              <w:tc>
                <w:tcPr>
                  <w:tcW w:w="642" w:type="dxa"/>
                  <w:vAlign w:val="center"/>
                </w:tcPr>
                <w:p w14:paraId="01B2ED02">
                  <w:pPr>
                    <w:pStyle w:val="29"/>
                    <w:rPr>
                      <w:bCs/>
                    </w:rPr>
                  </w:pPr>
                  <w:r>
                    <w:rPr>
                      <w:bCs/>
                    </w:rPr>
                    <w:t>治理工艺</w:t>
                  </w:r>
                </w:p>
              </w:tc>
              <w:tc>
                <w:tcPr>
                  <w:tcW w:w="662" w:type="dxa"/>
                  <w:vAlign w:val="center"/>
                </w:tcPr>
                <w:p w14:paraId="483B086B">
                  <w:pPr>
                    <w:pStyle w:val="29"/>
                    <w:rPr>
                      <w:bCs/>
                    </w:rPr>
                  </w:pPr>
                  <w:r>
                    <w:rPr>
                      <w:bCs/>
                    </w:rPr>
                    <w:t>治理效率%</w:t>
                  </w:r>
                </w:p>
              </w:tc>
              <w:tc>
                <w:tcPr>
                  <w:tcW w:w="932" w:type="dxa"/>
                  <w:vAlign w:val="center"/>
                </w:tcPr>
                <w:p w14:paraId="1BBECE89">
                  <w:pPr>
                    <w:pStyle w:val="29"/>
                    <w:rPr>
                      <w:bCs/>
                    </w:rPr>
                  </w:pPr>
                  <w:r>
                    <w:rPr>
                      <w:bCs/>
                    </w:rPr>
                    <w:t>是否为可行技术</w:t>
                  </w:r>
                </w:p>
              </w:tc>
              <w:tc>
                <w:tcPr>
                  <w:tcW w:w="674" w:type="dxa"/>
                  <w:vMerge w:val="continue"/>
                  <w:vAlign w:val="center"/>
                </w:tcPr>
                <w:p w14:paraId="02062A33">
                  <w:pPr>
                    <w:pStyle w:val="29"/>
                    <w:rPr>
                      <w:bCs/>
                    </w:rPr>
                  </w:pPr>
                </w:p>
              </w:tc>
              <w:tc>
                <w:tcPr>
                  <w:tcW w:w="843" w:type="dxa"/>
                  <w:vAlign w:val="center"/>
                </w:tcPr>
                <w:p w14:paraId="418DA47E">
                  <w:pPr>
                    <w:pStyle w:val="29"/>
                    <w:rPr>
                      <w:bCs/>
                    </w:rPr>
                  </w:pPr>
                  <w:r>
                    <w:rPr>
                      <w:bCs/>
                    </w:rPr>
                    <w:t>排放量t/a</w:t>
                  </w:r>
                </w:p>
              </w:tc>
              <w:tc>
                <w:tcPr>
                  <w:tcW w:w="858" w:type="dxa"/>
                  <w:vAlign w:val="center"/>
                </w:tcPr>
                <w:p w14:paraId="71EC57EE">
                  <w:pPr>
                    <w:pStyle w:val="29"/>
                    <w:rPr>
                      <w:bCs/>
                    </w:rPr>
                  </w:pPr>
                  <w:r>
                    <w:rPr>
                      <w:bCs/>
                    </w:rPr>
                    <w:t>排放浓度mg/L</w:t>
                  </w:r>
                </w:p>
              </w:tc>
              <w:tc>
                <w:tcPr>
                  <w:tcW w:w="567" w:type="dxa"/>
                  <w:vMerge w:val="continue"/>
                  <w:noWrap/>
                  <w:vAlign w:val="center"/>
                </w:tcPr>
                <w:p w14:paraId="12F6345C">
                  <w:pPr>
                    <w:pStyle w:val="29"/>
                    <w:rPr>
                      <w:bCs/>
                    </w:rPr>
                  </w:pPr>
                </w:p>
              </w:tc>
              <w:tc>
                <w:tcPr>
                  <w:tcW w:w="601" w:type="dxa"/>
                  <w:vMerge w:val="continue"/>
                  <w:vAlign w:val="center"/>
                </w:tcPr>
                <w:p w14:paraId="0A435A4F">
                  <w:pPr>
                    <w:pStyle w:val="29"/>
                    <w:rPr>
                      <w:bCs/>
                    </w:rPr>
                  </w:pPr>
                </w:p>
              </w:tc>
            </w:tr>
            <w:tr w14:paraId="6B1E24D2">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340" w:hRule="atLeast"/>
                <w:jc w:val="center"/>
              </w:trPr>
              <w:tc>
                <w:tcPr>
                  <w:tcW w:w="314" w:type="dxa"/>
                  <w:vMerge w:val="restart"/>
                  <w:vAlign w:val="center"/>
                </w:tcPr>
                <w:p w14:paraId="04AB0916">
                  <w:pPr>
                    <w:pStyle w:val="29"/>
                    <w:rPr>
                      <w:bCs/>
                    </w:rPr>
                  </w:pPr>
                  <w:r>
                    <w:rPr>
                      <w:bCs/>
                    </w:rPr>
                    <w:t>生活污水</w:t>
                  </w:r>
                </w:p>
              </w:tc>
              <w:tc>
                <w:tcPr>
                  <w:tcW w:w="777" w:type="dxa"/>
                  <w:noWrap/>
                  <w:vAlign w:val="center"/>
                </w:tcPr>
                <w:p w14:paraId="30883E40">
                  <w:pPr>
                    <w:pStyle w:val="29"/>
                    <w:rPr>
                      <w:bCs/>
                    </w:rPr>
                  </w:pPr>
                  <w:r>
                    <w:rPr>
                      <w:bCs/>
                    </w:rPr>
                    <w:t>COD</w:t>
                  </w:r>
                  <w:r>
                    <w:rPr>
                      <w:bCs/>
                      <w:vertAlign w:val="subscript"/>
                    </w:rPr>
                    <w:t>Cr</w:t>
                  </w:r>
                </w:p>
              </w:tc>
              <w:tc>
                <w:tcPr>
                  <w:tcW w:w="579" w:type="dxa"/>
                  <w:vMerge w:val="restart"/>
                  <w:vAlign w:val="center"/>
                </w:tcPr>
                <w:p w14:paraId="75C8EBFF">
                  <w:pPr>
                    <w:pStyle w:val="29"/>
                    <w:rPr>
                      <w:bCs/>
                    </w:rPr>
                  </w:pPr>
                  <w:r>
                    <w:rPr>
                      <w:bCs/>
                    </w:rPr>
                    <w:t>540</w:t>
                  </w:r>
                </w:p>
              </w:tc>
              <w:tc>
                <w:tcPr>
                  <w:tcW w:w="832" w:type="dxa"/>
                  <w:vAlign w:val="center"/>
                </w:tcPr>
                <w:p w14:paraId="3812922B">
                  <w:pPr>
                    <w:pStyle w:val="29"/>
                    <w:rPr>
                      <w:bCs/>
                    </w:rPr>
                  </w:pPr>
                  <w:r>
                    <w:rPr>
                      <w:bCs/>
                    </w:rPr>
                    <w:t>285.0</w:t>
                  </w:r>
                </w:p>
              </w:tc>
              <w:tc>
                <w:tcPr>
                  <w:tcW w:w="794" w:type="dxa"/>
                  <w:vAlign w:val="center"/>
                </w:tcPr>
                <w:p w14:paraId="3B7E5144">
                  <w:pPr>
                    <w:pStyle w:val="29"/>
                    <w:rPr>
                      <w:bCs/>
                    </w:rPr>
                  </w:pPr>
                  <w:r>
                    <w:rPr>
                      <w:bCs/>
                    </w:rPr>
                    <w:t>0.1539</w:t>
                  </w:r>
                </w:p>
              </w:tc>
              <w:tc>
                <w:tcPr>
                  <w:tcW w:w="642" w:type="dxa"/>
                  <w:vMerge w:val="restart"/>
                  <w:vAlign w:val="center"/>
                </w:tcPr>
                <w:p w14:paraId="780068C7">
                  <w:pPr>
                    <w:pStyle w:val="29"/>
                    <w:rPr>
                      <w:bCs/>
                    </w:rPr>
                  </w:pPr>
                  <w:r>
                    <w:rPr>
                      <w:bCs/>
                    </w:rPr>
                    <w:t>三级化粪池</w:t>
                  </w:r>
                </w:p>
              </w:tc>
              <w:tc>
                <w:tcPr>
                  <w:tcW w:w="662" w:type="dxa"/>
                  <w:vAlign w:val="center"/>
                </w:tcPr>
                <w:p w14:paraId="42C09AA5">
                  <w:pPr>
                    <w:pStyle w:val="29"/>
                    <w:rPr>
                      <w:bCs/>
                    </w:rPr>
                  </w:pPr>
                  <w:r>
                    <w:rPr>
                      <w:bCs/>
                    </w:rPr>
                    <w:t>17</w:t>
                  </w:r>
                </w:p>
              </w:tc>
              <w:tc>
                <w:tcPr>
                  <w:tcW w:w="932" w:type="dxa"/>
                  <w:vMerge w:val="restart"/>
                  <w:vAlign w:val="center"/>
                </w:tcPr>
                <w:p w14:paraId="71F98B9F">
                  <w:pPr>
                    <w:pStyle w:val="29"/>
                    <w:rPr>
                      <w:bCs/>
                    </w:rPr>
                  </w:pPr>
                  <w:r>
                    <w:rPr>
                      <w:bCs/>
                    </w:rPr>
                    <w:t>是</w:t>
                  </w:r>
                </w:p>
              </w:tc>
              <w:tc>
                <w:tcPr>
                  <w:tcW w:w="674" w:type="dxa"/>
                  <w:vMerge w:val="restart"/>
                  <w:vAlign w:val="center"/>
                </w:tcPr>
                <w:p w14:paraId="0D6E513E">
                  <w:pPr>
                    <w:pStyle w:val="29"/>
                    <w:rPr>
                      <w:bCs/>
                    </w:rPr>
                  </w:pPr>
                  <w:r>
                    <w:rPr>
                      <w:bCs/>
                    </w:rPr>
                    <w:t>540</w:t>
                  </w:r>
                </w:p>
              </w:tc>
              <w:tc>
                <w:tcPr>
                  <w:tcW w:w="843" w:type="dxa"/>
                  <w:vAlign w:val="center"/>
                </w:tcPr>
                <w:p w14:paraId="5C2F8260">
                  <w:pPr>
                    <w:pStyle w:val="29"/>
                    <w:rPr>
                      <w:bCs/>
                    </w:rPr>
                  </w:pPr>
                  <w:r>
                    <w:rPr>
                      <w:bCs/>
                    </w:rPr>
                    <w:t>0.1277</w:t>
                  </w:r>
                </w:p>
              </w:tc>
              <w:tc>
                <w:tcPr>
                  <w:tcW w:w="858" w:type="dxa"/>
                  <w:vAlign w:val="center"/>
                </w:tcPr>
                <w:p w14:paraId="25A98853">
                  <w:pPr>
                    <w:pStyle w:val="29"/>
                    <w:rPr>
                      <w:bCs/>
                    </w:rPr>
                  </w:pPr>
                  <w:r>
                    <w:rPr>
                      <w:bCs/>
                    </w:rPr>
                    <w:t>236.5500</w:t>
                  </w:r>
                </w:p>
              </w:tc>
              <w:tc>
                <w:tcPr>
                  <w:tcW w:w="567" w:type="dxa"/>
                  <w:vMerge w:val="restart"/>
                  <w:vAlign w:val="center"/>
                </w:tcPr>
                <w:p w14:paraId="73DF9DC2">
                  <w:pPr>
                    <w:pStyle w:val="29"/>
                    <w:rPr>
                      <w:bCs/>
                    </w:rPr>
                  </w:pPr>
                  <w:r>
                    <w:rPr>
                      <w:bCs/>
                    </w:rPr>
                    <w:t>博罗县园洲镇第五生活污水处理厂</w:t>
                  </w:r>
                </w:p>
              </w:tc>
              <w:tc>
                <w:tcPr>
                  <w:tcW w:w="601" w:type="dxa"/>
                  <w:vMerge w:val="restart"/>
                  <w:vAlign w:val="center"/>
                </w:tcPr>
                <w:p w14:paraId="64B411DD">
                  <w:pPr>
                    <w:pStyle w:val="29"/>
                    <w:rPr>
                      <w:bCs/>
                    </w:rPr>
                  </w:pPr>
                  <w:r>
                    <w:rPr>
                      <w:bCs/>
                    </w:rPr>
                    <w:t>间接排放</w:t>
                  </w:r>
                </w:p>
              </w:tc>
            </w:tr>
            <w:tr w14:paraId="575F4D71">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PrEx>
              <w:trPr>
                <w:trHeight w:val="340" w:hRule="atLeast"/>
                <w:jc w:val="center"/>
              </w:trPr>
              <w:tc>
                <w:tcPr>
                  <w:tcW w:w="314" w:type="dxa"/>
                  <w:vMerge w:val="continue"/>
                  <w:vAlign w:val="center"/>
                </w:tcPr>
                <w:p w14:paraId="7E778ED0">
                  <w:pPr>
                    <w:pStyle w:val="29"/>
                    <w:rPr>
                      <w:bCs/>
                    </w:rPr>
                  </w:pPr>
                </w:p>
              </w:tc>
              <w:tc>
                <w:tcPr>
                  <w:tcW w:w="777" w:type="dxa"/>
                  <w:noWrap/>
                  <w:vAlign w:val="center"/>
                </w:tcPr>
                <w:p w14:paraId="4BAEAB96">
                  <w:pPr>
                    <w:pStyle w:val="29"/>
                    <w:rPr>
                      <w:bCs/>
                    </w:rPr>
                  </w:pPr>
                  <w:r>
                    <w:rPr>
                      <w:bCs/>
                    </w:rPr>
                    <w:t>BOD</w:t>
                  </w:r>
                  <w:r>
                    <w:rPr>
                      <w:bCs/>
                      <w:vertAlign w:val="subscript"/>
                    </w:rPr>
                    <w:t>5</w:t>
                  </w:r>
                </w:p>
              </w:tc>
              <w:tc>
                <w:tcPr>
                  <w:tcW w:w="579" w:type="dxa"/>
                  <w:vMerge w:val="continue"/>
                  <w:vAlign w:val="center"/>
                </w:tcPr>
                <w:p w14:paraId="06F9743C">
                  <w:pPr>
                    <w:pStyle w:val="29"/>
                    <w:rPr>
                      <w:bCs/>
                    </w:rPr>
                  </w:pPr>
                </w:p>
              </w:tc>
              <w:tc>
                <w:tcPr>
                  <w:tcW w:w="832" w:type="dxa"/>
                  <w:vAlign w:val="center"/>
                </w:tcPr>
                <w:p w14:paraId="2AECD400">
                  <w:pPr>
                    <w:pStyle w:val="29"/>
                    <w:rPr>
                      <w:bCs/>
                    </w:rPr>
                  </w:pPr>
                  <w:r>
                    <w:rPr>
                      <w:bCs/>
                    </w:rPr>
                    <w:t>200.0</w:t>
                  </w:r>
                </w:p>
              </w:tc>
              <w:tc>
                <w:tcPr>
                  <w:tcW w:w="794" w:type="dxa"/>
                  <w:vAlign w:val="center"/>
                </w:tcPr>
                <w:p w14:paraId="5A8DD24C">
                  <w:pPr>
                    <w:pStyle w:val="29"/>
                    <w:rPr>
                      <w:bCs/>
                    </w:rPr>
                  </w:pPr>
                  <w:r>
                    <w:rPr>
                      <w:bCs/>
                    </w:rPr>
                    <w:t>0.1080</w:t>
                  </w:r>
                </w:p>
              </w:tc>
              <w:tc>
                <w:tcPr>
                  <w:tcW w:w="642" w:type="dxa"/>
                  <w:vMerge w:val="continue"/>
                  <w:vAlign w:val="center"/>
                </w:tcPr>
                <w:p w14:paraId="0DC9A6B2">
                  <w:pPr>
                    <w:pStyle w:val="29"/>
                    <w:rPr>
                      <w:bCs/>
                    </w:rPr>
                  </w:pPr>
                </w:p>
              </w:tc>
              <w:tc>
                <w:tcPr>
                  <w:tcW w:w="662" w:type="dxa"/>
                  <w:vAlign w:val="center"/>
                </w:tcPr>
                <w:p w14:paraId="0C0CC286">
                  <w:pPr>
                    <w:pStyle w:val="29"/>
                    <w:rPr>
                      <w:bCs/>
                    </w:rPr>
                  </w:pPr>
                  <w:r>
                    <w:rPr>
                      <w:bCs/>
                    </w:rPr>
                    <w:t>20</w:t>
                  </w:r>
                </w:p>
              </w:tc>
              <w:tc>
                <w:tcPr>
                  <w:tcW w:w="932" w:type="dxa"/>
                  <w:vMerge w:val="continue"/>
                  <w:vAlign w:val="center"/>
                </w:tcPr>
                <w:p w14:paraId="608F4992">
                  <w:pPr>
                    <w:pStyle w:val="29"/>
                    <w:rPr>
                      <w:bCs/>
                    </w:rPr>
                  </w:pPr>
                </w:p>
              </w:tc>
              <w:tc>
                <w:tcPr>
                  <w:tcW w:w="674" w:type="dxa"/>
                  <w:vMerge w:val="continue"/>
                  <w:vAlign w:val="center"/>
                </w:tcPr>
                <w:p w14:paraId="74065D66">
                  <w:pPr>
                    <w:pStyle w:val="29"/>
                    <w:rPr>
                      <w:bCs/>
                    </w:rPr>
                  </w:pPr>
                </w:p>
              </w:tc>
              <w:tc>
                <w:tcPr>
                  <w:tcW w:w="843" w:type="dxa"/>
                  <w:vAlign w:val="center"/>
                </w:tcPr>
                <w:p w14:paraId="3339F975">
                  <w:pPr>
                    <w:pStyle w:val="29"/>
                    <w:rPr>
                      <w:bCs/>
                    </w:rPr>
                  </w:pPr>
                  <w:r>
                    <w:rPr>
                      <w:bCs/>
                    </w:rPr>
                    <w:t>0.0864</w:t>
                  </w:r>
                </w:p>
              </w:tc>
              <w:tc>
                <w:tcPr>
                  <w:tcW w:w="858" w:type="dxa"/>
                  <w:vAlign w:val="center"/>
                </w:tcPr>
                <w:p w14:paraId="5223CA74">
                  <w:pPr>
                    <w:pStyle w:val="29"/>
                    <w:rPr>
                      <w:bCs/>
                    </w:rPr>
                  </w:pPr>
                  <w:r>
                    <w:rPr>
                      <w:bCs/>
                    </w:rPr>
                    <w:t>160.0000</w:t>
                  </w:r>
                </w:p>
              </w:tc>
              <w:tc>
                <w:tcPr>
                  <w:tcW w:w="567" w:type="dxa"/>
                  <w:vMerge w:val="continue"/>
                  <w:vAlign w:val="center"/>
                </w:tcPr>
                <w:p w14:paraId="421AB2E3">
                  <w:pPr>
                    <w:pStyle w:val="29"/>
                    <w:rPr>
                      <w:bCs/>
                    </w:rPr>
                  </w:pPr>
                </w:p>
              </w:tc>
              <w:tc>
                <w:tcPr>
                  <w:tcW w:w="601" w:type="dxa"/>
                  <w:vMerge w:val="continue"/>
                  <w:vAlign w:val="center"/>
                </w:tcPr>
                <w:p w14:paraId="154D73C7">
                  <w:pPr>
                    <w:pStyle w:val="29"/>
                    <w:rPr>
                      <w:bCs/>
                    </w:rPr>
                  </w:pPr>
                </w:p>
              </w:tc>
            </w:tr>
            <w:tr w14:paraId="7A261AF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340" w:hRule="atLeast"/>
                <w:jc w:val="center"/>
              </w:trPr>
              <w:tc>
                <w:tcPr>
                  <w:tcW w:w="314" w:type="dxa"/>
                  <w:vMerge w:val="continue"/>
                  <w:vAlign w:val="center"/>
                </w:tcPr>
                <w:p w14:paraId="7E2AD212">
                  <w:pPr>
                    <w:pStyle w:val="29"/>
                    <w:rPr>
                      <w:bCs/>
                    </w:rPr>
                  </w:pPr>
                </w:p>
              </w:tc>
              <w:tc>
                <w:tcPr>
                  <w:tcW w:w="777" w:type="dxa"/>
                  <w:noWrap/>
                  <w:vAlign w:val="center"/>
                </w:tcPr>
                <w:p w14:paraId="4BC9FD91">
                  <w:pPr>
                    <w:pStyle w:val="29"/>
                    <w:rPr>
                      <w:bCs/>
                    </w:rPr>
                  </w:pPr>
                  <w:r>
                    <w:rPr>
                      <w:bCs/>
                    </w:rPr>
                    <w:t>SS</w:t>
                  </w:r>
                </w:p>
              </w:tc>
              <w:tc>
                <w:tcPr>
                  <w:tcW w:w="579" w:type="dxa"/>
                  <w:vMerge w:val="continue"/>
                  <w:vAlign w:val="center"/>
                </w:tcPr>
                <w:p w14:paraId="1F11756D">
                  <w:pPr>
                    <w:pStyle w:val="29"/>
                    <w:rPr>
                      <w:bCs/>
                    </w:rPr>
                  </w:pPr>
                </w:p>
              </w:tc>
              <w:tc>
                <w:tcPr>
                  <w:tcW w:w="832" w:type="dxa"/>
                  <w:vAlign w:val="center"/>
                </w:tcPr>
                <w:p w14:paraId="7BD29097">
                  <w:pPr>
                    <w:pStyle w:val="29"/>
                    <w:rPr>
                      <w:bCs/>
                    </w:rPr>
                  </w:pPr>
                  <w:r>
                    <w:rPr>
                      <w:bCs/>
                    </w:rPr>
                    <w:t>220.0</w:t>
                  </w:r>
                </w:p>
              </w:tc>
              <w:tc>
                <w:tcPr>
                  <w:tcW w:w="794" w:type="dxa"/>
                  <w:vAlign w:val="center"/>
                </w:tcPr>
                <w:p w14:paraId="5801E152">
                  <w:pPr>
                    <w:pStyle w:val="29"/>
                    <w:rPr>
                      <w:bCs/>
                    </w:rPr>
                  </w:pPr>
                  <w:r>
                    <w:rPr>
                      <w:bCs/>
                    </w:rPr>
                    <w:t>0.1188</w:t>
                  </w:r>
                </w:p>
              </w:tc>
              <w:tc>
                <w:tcPr>
                  <w:tcW w:w="642" w:type="dxa"/>
                  <w:vMerge w:val="continue"/>
                  <w:vAlign w:val="center"/>
                </w:tcPr>
                <w:p w14:paraId="5B2DF95A">
                  <w:pPr>
                    <w:pStyle w:val="29"/>
                    <w:rPr>
                      <w:bCs/>
                    </w:rPr>
                  </w:pPr>
                </w:p>
              </w:tc>
              <w:tc>
                <w:tcPr>
                  <w:tcW w:w="662" w:type="dxa"/>
                  <w:vAlign w:val="center"/>
                </w:tcPr>
                <w:p w14:paraId="0DC3E77C">
                  <w:pPr>
                    <w:pStyle w:val="29"/>
                    <w:rPr>
                      <w:bCs/>
                    </w:rPr>
                  </w:pPr>
                  <w:r>
                    <w:rPr>
                      <w:bCs/>
                    </w:rPr>
                    <w:t>32</w:t>
                  </w:r>
                </w:p>
              </w:tc>
              <w:tc>
                <w:tcPr>
                  <w:tcW w:w="932" w:type="dxa"/>
                  <w:vMerge w:val="continue"/>
                  <w:vAlign w:val="center"/>
                </w:tcPr>
                <w:p w14:paraId="2F944834">
                  <w:pPr>
                    <w:pStyle w:val="29"/>
                    <w:rPr>
                      <w:bCs/>
                    </w:rPr>
                  </w:pPr>
                </w:p>
              </w:tc>
              <w:tc>
                <w:tcPr>
                  <w:tcW w:w="674" w:type="dxa"/>
                  <w:vMerge w:val="continue"/>
                  <w:vAlign w:val="center"/>
                </w:tcPr>
                <w:p w14:paraId="66A2C9A8">
                  <w:pPr>
                    <w:pStyle w:val="29"/>
                    <w:rPr>
                      <w:bCs/>
                    </w:rPr>
                  </w:pPr>
                </w:p>
              </w:tc>
              <w:tc>
                <w:tcPr>
                  <w:tcW w:w="843" w:type="dxa"/>
                  <w:vAlign w:val="center"/>
                </w:tcPr>
                <w:p w14:paraId="0E1F18E9">
                  <w:pPr>
                    <w:pStyle w:val="29"/>
                    <w:rPr>
                      <w:bCs/>
                    </w:rPr>
                  </w:pPr>
                  <w:r>
                    <w:rPr>
                      <w:bCs/>
                    </w:rPr>
                    <w:t>0.0808</w:t>
                  </w:r>
                </w:p>
              </w:tc>
              <w:tc>
                <w:tcPr>
                  <w:tcW w:w="858" w:type="dxa"/>
                  <w:vAlign w:val="center"/>
                </w:tcPr>
                <w:p w14:paraId="5A0B652E">
                  <w:pPr>
                    <w:pStyle w:val="29"/>
                    <w:rPr>
                      <w:bCs/>
                    </w:rPr>
                  </w:pPr>
                  <w:r>
                    <w:rPr>
                      <w:bCs/>
                    </w:rPr>
                    <w:t>149.6000</w:t>
                  </w:r>
                </w:p>
              </w:tc>
              <w:tc>
                <w:tcPr>
                  <w:tcW w:w="567" w:type="dxa"/>
                  <w:vMerge w:val="continue"/>
                  <w:vAlign w:val="center"/>
                </w:tcPr>
                <w:p w14:paraId="02357AF1">
                  <w:pPr>
                    <w:pStyle w:val="29"/>
                    <w:rPr>
                      <w:bCs/>
                    </w:rPr>
                  </w:pPr>
                </w:p>
              </w:tc>
              <w:tc>
                <w:tcPr>
                  <w:tcW w:w="601" w:type="dxa"/>
                  <w:vMerge w:val="continue"/>
                  <w:vAlign w:val="center"/>
                </w:tcPr>
                <w:p w14:paraId="58BA323C">
                  <w:pPr>
                    <w:pStyle w:val="29"/>
                    <w:rPr>
                      <w:bCs/>
                    </w:rPr>
                  </w:pPr>
                </w:p>
              </w:tc>
            </w:tr>
            <w:tr w14:paraId="371BE8FD">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PrEx>
              <w:trPr>
                <w:trHeight w:val="340" w:hRule="atLeast"/>
                <w:jc w:val="center"/>
              </w:trPr>
              <w:tc>
                <w:tcPr>
                  <w:tcW w:w="314" w:type="dxa"/>
                  <w:vMerge w:val="continue"/>
                  <w:vAlign w:val="center"/>
                </w:tcPr>
                <w:p w14:paraId="22E5472E">
                  <w:pPr>
                    <w:pStyle w:val="29"/>
                    <w:rPr>
                      <w:bCs/>
                    </w:rPr>
                  </w:pPr>
                </w:p>
              </w:tc>
              <w:tc>
                <w:tcPr>
                  <w:tcW w:w="777" w:type="dxa"/>
                  <w:noWrap/>
                  <w:vAlign w:val="center"/>
                </w:tcPr>
                <w:p w14:paraId="50E87445">
                  <w:pPr>
                    <w:pStyle w:val="29"/>
                    <w:rPr>
                      <w:bCs/>
                    </w:rPr>
                  </w:pPr>
                  <w:r>
                    <w:rPr>
                      <w:bCs/>
                    </w:rPr>
                    <w:t>氨氮</w:t>
                  </w:r>
                </w:p>
              </w:tc>
              <w:tc>
                <w:tcPr>
                  <w:tcW w:w="579" w:type="dxa"/>
                  <w:vMerge w:val="continue"/>
                  <w:vAlign w:val="center"/>
                </w:tcPr>
                <w:p w14:paraId="00C15CA1">
                  <w:pPr>
                    <w:pStyle w:val="29"/>
                    <w:rPr>
                      <w:bCs/>
                    </w:rPr>
                  </w:pPr>
                </w:p>
              </w:tc>
              <w:tc>
                <w:tcPr>
                  <w:tcW w:w="832" w:type="dxa"/>
                  <w:vAlign w:val="center"/>
                </w:tcPr>
                <w:p w14:paraId="150B2CA3">
                  <w:pPr>
                    <w:pStyle w:val="29"/>
                    <w:rPr>
                      <w:bCs/>
                    </w:rPr>
                  </w:pPr>
                  <w:r>
                    <w:rPr>
                      <w:bCs/>
                    </w:rPr>
                    <w:t>28.3</w:t>
                  </w:r>
                </w:p>
              </w:tc>
              <w:tc>
                <w:tcPr>
                  <w:tcW w:w="794" w:type="dxa"/>
                  <w:vAlign w:val="center"/>
                </w:tcPr>
                <w:p w14:paraId="68BC19C4">
                  <w:pPr>
                    <w:pStyle w:val="29"/>
                    <w:rPr>
                      <w:bCs/>
                    </w:rPr>
                  </w:pPr>
                  <w:r>
                    <w:rPr>
                      <w:bCs/>
                    </w:rPr>
                    <w:t>0.0153</w:t>
                  </w:r>
                </w:p>
              </w:tc>
              <w:tc>
                <w:tcPr>
                  <w:tcW w:w="642" w:type="dxa"/>
                  <w:vMerge w:val="continue"/>
                  <w:vAlign w:val="center"/>
                </w:tcPr>
                <w:p w14:paraId="13357485">
                  <w:pPr>
                    <w:pStyle w:val="29"/>
                    <w:rPr>
                      <w:bCs/>
                    </w:rPr>
                  </w:pPr>
                </w:p>
              </w:tc>
              <w:tc>
                <w:tcPr>
                  <w:tcW w:w="662" w:type="dxa"/>
                  <w:vAlign w:val="center"/>
                </w:tcPr>
                <w:p w14:paraId="04C3DB4D">
                  <w:pPr>
                    <w:pStyle w:val="29"/>
                    <w:rPr>
                      <w:bCs/>
                    </w:rPr>
                  </w:pPr>
                  <w:r>
                    <w:rPr>
                      <w:bCs/>
                    </w:rPr>
                    <w:t>0</w:t>
                  </w:r>
                </w:p>
              </w:tc>
              <w:tc>
                <w:tcPr>
                  <w:tcW w:w="932" w:type="dxa"/>
                  <w:vMerge w:val="continue"/>
                  <w:vAlign w:val="center"/>
                </w:tcPr>
                <w:p w14:paraId="68C0C94D">
                  <w:pPr>
                    <w:pStyle w:val="29"/>
                    <w:rPr>
                      <w:bCs/>
                    </w:rPr>
                  </w:pPr>
                </w:p>
              </w:tc>
              <w:tc>
                <w:tcPr>
                  <w:tcW w:w="674" w:type="dxa"/>
                  <w:vMerge w:val="continue"/>
                  <w:vAlign w:val="center"/>
                </w:tcPr>
                <w:p w14:paraId="46F76EE1">
                  <w:pPr>
                    <w:pStyle w:val="29"/>
                    <w:rPr>
                      <w:bCs/>
                    </w:rPr>
                  </w:pPr>
                </w:p>
              </w:tc>
              <w:tc>
                <w:tcPr>
                  <w:tcW w:w="843" w:type="dxa"/>
                  <w:vAlign w:val="center"/>
                </w:tcPr>
                <w:p w14:paraId="1D659AC3">
                  <w:pPr>
                    <w:pStyle w:val="29"/>
                    <w:rPr>
                      <w:bCs/>
                    </w:rPr>
                  </w:pPr>
                  <w:r>
                    <w:rPr>
                      <w:bCs/>
                    </w:rPr>
                    <w:t>0.0153</w:t>
                  </w:r>
                </w:p>
              </w:tc>
              <w:tc>
                <w:tcPr>
                  <w:tcW w:w="858" w:type="dxa"/>
                  <w:vAlign w:val="center"/>
                </w:tcPr>
                <w:p w14:paraId="5DEEE954">
                  <w:pPr>
                    <w:pStyle w:val="29"/>
                    <w:rPr>
                      <w:bCs/>
                    </w:rPr>
                  </w:pPr>
                  <w:r>
                    <w:rPr>
                      <w:bCs/>
                    </w:rPr>
                    <w:t>28.3000</w:t>
                  </w:r>
                </w:p>
              </w:tc>
              <w:tc>
                <w:tcPr>
                  <w:tcW w:w="567" w:type="dxa"/>
                  <w:vMerge w:val="continue"/>
                  <w:vAlign w:val="center"/>
                </w:tcPr>
                <w:p w14:paraId="317A2817">
                  <w:pPr>
                    <w:pStyle w:val="29"/>
                    <w:rPr>
                      <w:bCs/>
                    </w:rPr>
                  </w:pPr>
                </w:p>
              </w:tc>
              <w:tc>
                <w:tcPr>
                  <w:tcW w:w="601" w:type="dxa"/>
                  <w:vMerge w:val="continue"/>
                  <w:vAlign w:val="center"/>
                </w:tcPr>
                <w:p w14:paraId="3660B566">
                  <w:pPr>
                    <w:pStyle w:val="29"/>
                    <w:rPr>
                      <w:bCs/>
                    </w:rPr>
                  </w:pPr>
                </w:p>
              </w:tc>
            </w:tr>
            <w:tr w14:paraId="6B5BB9AA">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PrEx>
              <w:trPr>
                <w:trHeight w:val="340" w:hRule="atLeast"/>
                <w:jc w:val="center"/>
              </w:trPr>
              <w:tc>
                <w:tcPr>
                  <w:tcW w:w="314" w:type="dxa"/>
                  <w:vMerge w:val="continue"/>
                  <w:vAlign w:val="center"/>
                </w:tcPr>
                <w:p w14:paraId="44C61112">
                  <w:pPr>
                    <w:pStyle w:val="29"/>
                    <w:rPr>
                      <w:bCs/>
                    </w:rPr>
                  </w:pPr>
                </w:p>
              </w:tc>
              <w:tc>
                <w:tcPr>
                  <w:tcW w:w="777" w:type="dxa"/>
                  <w:noWrap/>
                  <w:vAlign w:val="center"/>
                </w:tcPr>
                <w:p w14:paraId="7D89AD3C">
                  <w:pPr>
                    <w:pStyle w:val="29"/>
                    <w:rPr>
                      <w:bCs/>
                    </w:rPr>
                  </w:pPr>
                  <w:r>
                    <w:rPr>
                      <w:bCs/>
                    </w:rPr>
                    <w:t>总磷</w:t>
                  </w:r>
                </w:p>
              </w:tc>
              <w:tc>
                <w:tcPr>
                  <w:tcW w:w="579" w:type="dxa"/>
                  <w:vMerge w:val="continue"/>
                  <w:vAlign w:val="center"/>
                </w:tcPr>
                <w:p w14:paraId="25C7E4DD">
                  <w:pPr>
                    <w:pStyle w:val="29"/>
                    <w:rPr>
                      <w:bCs/>
                    </w:rPr>
                  </w:pPr>
                </w:p>
              </w:tc>
              <w:tc>
                <w:tcPr>
                  <w:tcW w:w="832" w:type="dxa"/>
                  <w:vAlign w:val="center"/>
                </w:tcPr>
                <w:p w14:paraId="00A3B4C0">
                  <w:pPr>
                    <w:pStyle w:val="29"/>
                    <w:rPr>
                      <w:bCs/>
                    </w:rPr>
                  </w:pPr>
                  <w:r>
                    <w:rPr>
                      <w:bCs/>
                    </w:rPr>
                    <w:t>4.1</w:t>
                  </w:r>
                </w:p>
              </w:tc>
              <w:tc>
                <w:tcPr>
                  <w:tcW w:w="794" w:type="dxa"/>
                  <w:vAlign w:val="center"/>
                </w:tcPr>
                <w:p w14:paraId="2359E1A6">
                  <w:pPr>
                    <w:pStyle w:val="29"/>
                    <w:rPr>
                      <w:bCs/>
                    </w:rPr>
                  </w:pPr>
                  <w:r>
                    <w:rPr>
                      <w:bCs/>
                    </w:rPr>
                    <w:t>0.0022</w:t>
                  </w:r>
                </w:p>
              </w:tc>
              <w:tc>
                <w:tcPr>
                  <w:tcW w:w="642" w:type="dxa"/>
                  <w:vMerge w:val="continue"/>
                  <w:vAlign w:val="center"/>
                </w:tcPr>
                <w:p w14:paraId="4A32641D">
                  <w:pPr>
                    <w:pStyle w:val="29"/>
                    <w:rPr>
                      <w:bCs/>
                    </w:rPr>
                  </w:pPr>
                </w:p>
              </w:tc>
              <w:tc>
                <w:tcPr>
                  <w:tcW w:w="662" w:type="dxa"/>
                  <w:vAlign w:val="center"/>
                </w:tcPr>
                <w:p w14:paraId="0A378478">
                  <w:pPr>
                    <w:pStyle w:val="29"/>
                    <w:rPr>
                      <w:bCs/>
                    </w:rPr>
                  </w:pPr>
                  <w:r>
                    <w:rPr>
                      <w:bCs/>
                    </w:rPr>
                    <w:t>20</w:t>
                  </w:r>
                </w:p>
              </w:tc>
              <w:tc>
                <w:tcPr>
                  <w:tcW w:w="932" w:type="dxa"/>
                  <w:vMerge w:val="continue"/>
                  <w:vAlign w:val="center"/>
                </w:tcPr>
                <w:p w14:paraId="0EE195CF">
                  <w:pPr>
                    <w:pStyle w:val="29"/>
                    <w:rPr>
                      <w:bCs/>
                    </w:rPr>
                  </w:pPr>
                </w:p>
              </w:tc>
              <w:tc>
                <w:tcPr>
                  <w:tcW w:w="674" w:type="dxa"/>
                  <w:vMerge w:val="continue"/>
                  <w:vAlign w:val="center"/>
                </w:tcPr>
                <w:p w14:paraId="7F3CF219">
                  <w:pPr>
                    <w:pStyle w:val="29"/>
                    <w:rPr>
                      <w:bCs/>
                    </w:rPr>
                  </w:pPr>
                </w:p>
              </w:tc>
              <w:tc>
                <w:tcPr>
                  <w:tcW w:w="843" w:type="dxa"/>
                  <w:vAlign w:val="center"/>
                </w:tcPr>
                <w:p w14:paraId="6020A95C">
                  <w:pPr>
                    <w:pStyle w:val="29"/>
                    <w:rPr>
                      <w:bCs/>
                    </w:rPr>
                  </w:pPr>
                  <w:r>
                    <w:rPr>
                      <w:bCs/>
                    </w:rPr>
                    <w:t>0.0018</w:t>
                  </w:r>
                </w:p>
              </w:tc>
              <w:tc>
                <w:tcPr>
                  <w:tcW w:w="858" w:type="dxa"/>
                  <w:vAlign w:val="center"/>
                </w:tcPr>
                <w:p w14:paraId="600E070F">
                  <w:pPr>
                    <w:pStyle w:val="29"/>
                    <w:rPr>
                      <w:bCs/>
                    </w:rPr>
                  </w:pPr>
                  <w:r>
                    <w:rPr>
                      <w:bCs/>
                    </w:rPr>
                    <w:t>3.2800</w:t>
                  </w:r>
                </w:p>
              </w:tc>
              <w:tc>
                <w:tcPr>
                  <w:tcW w:w="567" w:type="dxa"/>
                  <w:vMerge w:val="continue"/>
                  <w:vAlign w:val="center"/>
                </w:tcPr>
                <w:p w14:paraId="1531C615">
                  <w:pPr>
                    <w:pStyle w:val="29"/>
                    <w:rPr>
                      <w:bCs/>
                    </w:rPr>
                  </w:pPr>
                </w:p>
              </w:tc>
              <w:tc>
                <w:tcPr>
                  <w:tcW w:w="601" w:type="dxa"/>
                  <w:vMerge w:val="continue"/>
                  <w:vAlign w:val="center"/>
                </w:tcPr>
                <w:p w14:paraId="3188E23B">
                  <w:pPr>
                    <w:pStyle w:val="29"/>
                    <w:rPr>
                      <w:bCs/>
                    </w:rPr>
                  </w:pPr>
                </w:p>
              </w:tc>
            </w:tr>
            <w:tr w14:paraId="74F2B2BD">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PrEx>
              <w:trPr>
                <w:trHeight w:val="340" w:hRule="atLeast"/>
                <w:jc w:val="center"/>
              </w:trPr>
              <w:tc>
                <w:tcPr>
                  <w:tcW w:w="314" w:type="dxa"/>
                  <w:vMerge w:val="continue"/>
                  <w:vAlign w:val="center"/>
                </w:tcPr>
                <w:p w14:paraId="38EE8C7E">
                  <w:pPr>
                    <w:pStyle w:val="29"/>
                    <w:rPr>
                      <w:bCs/>
                    </w:rPr>
                  </w:pPr>
                </w:p>
              </w:tc>
              <w:tc>
                <w:tcPr>
                  <w:tcW w:w="777" w:type="dxa"/>
                  <w:noWrap/>
                  <w:vAlign w:val="center"/>
                </w:tcPr>
                <w:p w14:paraId="3290A09B">
                  <w:pPr>
                    <w:pStyle w:val="29"/>
                    <w:rPr>
                      <w:bCs/>
                    </w:rPr>
                  </w:pPr>
                  <w:r>
                    <w:rPr>
                      <w:bCs/>
                    </w:rPr>
                    <w:t>总氮</w:t>
                  </w:r>
                </w:p>
              </w:tc>
              <w:tc>
                <w:tcPr>
                  <w:tcW w:w="579" w:type="dxa"/>
                  <w:vMerge w:val="continue"/>
                  <w:vAlign w:val="center"/>
                </w:tcPr>
                <w:p w14:paraId="716E242F">
                  <w:pPr>
                    <w:pStyle w:val="29"/>
                    <w:rPr>
                      <w:bCs/>
                    </w:rPr>
                  </w:pPr>
                </w:p>
              </w:tc>
              <w:tc>
                <w:tcPr>
                  <w:tcW w:w="832" w:type="dxa"/>
                  <w:vAlign w:val="center"/>
                </w:tcPr>
                <w:p w14:paraId="296F2306">
                  <w:pPr>
                    <w:pStyle w:val="29"/>
                    <w:rPr>
                      <w:bCs/>
                    </w:rPr>
                  </w:pPr>
                  <w:r>
                    <w:rPr>
                      <w:bCs/>
                    </w:rPr>
                    <w:t>39.4</w:t>
                  </w:r>
                </w:p>
              </w:tc>
              <w:tc>
                <w:tcPr>
                  <w:tcW w:w="794" w:type="dxa"/>
                  <w:vAlign w:val="center"/>
                </w:tcPr>
                <w:p w14:paraId="279F7213">
                  <w:pPr>
                    <w:pStyle w:val="29"/>
                    <w:rPr>
                      <w:bCs/>
                    </w:rPr>
                  </w:pPr>
                  <w:r>
                    <w:rPr>
                      <w:bCs/>
                    </w:rPr>
                    <w:t>0.0213</w:t>
                  </w:r>
                </w:p>
              </w:tc>
              <w:tc>
                <w:tcPr>
                  <w:tcW w:w="642" w:type="dxa"/>
                  <w:vMerge w:val="continue"/>
                  <w:vAlign w:val="center"/>
                </w:tcPr>
                <w:p w14:paraId="2AE81506">
                  <w:pPr>
                    <w:pStyle w:val="29"/>
                    <w:rPr>
                      <w:bCs/>
                    </w:rPr>
                  </w:pPr>
                </w:p>
              </w:tc>
              <w:tc>
                <w:tcPr>
                  <w:tcW w:w="662" w:type="dxa"/>
                  <w:vAlign w:val="center"/>
                </w:tcPr>
                <w:p w14:paraId="247B6405">
                  <w:pPr>
                    <w:pStyle w:val="29"/>
                    <w:rPr>
                      <w:bCs/>
                    </w:rPr>
                  </w:pPr>
                  <w:r>
                    <w:rPr>
                      <w:bCs/>
                    </w:rPr>
                    <w:t>22</w:t>
                  </w:r>
                </w:p>
              </w:tc>
              <w:tc>
                <w:tcPr>
                  <w:tcW w:w="932" w:type="dxa"/>
                  <w:vMerge w:val="continue"/>
                  <w:vAlign w:val="center"/>
                </w:tcPr>
                <w:p w14:paraId="2CB8C951">
                  <w:pPr>
                    <w:pStyle w:val="29"/>
                    <w:rPr>
                      <w:bCs/>
                    </w:rPr>
                  </w:pPr>
                </w:p>
              </w:tc>
              <w:tc>
                <w:tcPr>
                  <w:tcW w:w="674" w:type="dxa"/>
                  <w:vMerge w:val="continue"/>
                  <w:vAlign w:val="center"/>
                </w:tcPr>
                <w:p w14:paraId="480FF66D">
                  <w:pPr>
                    <w:pStyle w:val="29"/>
                    <w:rPr>
                      <w:bCs/>
                    </w:rPr>
                  </w:pPr>
                </w:p>
              </w:tc>
              <w:tc>
                <w:tcPr>
                  <w:tcW w:w="843" w:type="dxa"/>
                  <w:vAlign w:val="center"/>
                </w:tcPr>
                <w:p w14:paraId="276D90CF">
                  <w:pPr>
                    <w:pStyle w:val="29"/>
                    <w:rPr>
                      <w:bCs/>
                    </w:rPr>
                  </w:pPr>
                  <w:r>
                    <w:rPr>
                      <w:bCs/>
                    </w:rPr>
                    <w:t>0.0166</w:t>
                  </w:r>
                </w:p>
              </w:tc>
              <w:tc>
                <w:tcPr>
                  <w:tcW w:w="858" w:type="dxa"/>
                  <w:vAlign w:val="center"/>
                </w:tcPr>
                <w:p w14:paraId="31592D8A">
                  <w:pPr>
                    <w:pStyle w:val="29"/>
                    <w:rPr>
                      <w:bCs/>
                    </w:rPr>
                  </w:pPr>
                  <w:r>
                    <w:rPr>
                      <w:bCs/>
                    </w:rPr>
                    <w:t>30.7320</w:t>
                  </w:r>
                </w:p>
              </w:tc>
              <w:tc>
                <w:tcPr>
                  <w:tcW w:w="567" w:type="dxa"/>
                  <w:vMerge w:val="continue"/>
                  <w:vAlign w:val="center"/>
                </w:tcPr>
                <w:p w14:paraId="4534E6E4">
                  <w:pPr>
                    <w:pStyle w:val="29"/>
                    <w:rPr>
                      <w:bCs/>
                    </w:rPr>
                  </w:pPr>
                </w:p>
              </w:tc>
              <w:tc>
                <w:tcPr>
                  <w:tcW w:w="601" w:type="dxa"/>
                  <w:vMerge w:val="continue"/>
                  <w:vAlign w:val="center"/>
                </w:tcPr>
                <w:p w14:paraId="198A97EA">
                  <w:pPr>
                    <w:pStyle w:val="29"/>
                    <w:rPr>
                      <w:bCs/>
                    </w:rPr>
                  </w:pPr>
                </w:p>
              </w:tc>
            </w:tr>
          </w:tbl>
          <w:p w14:paraId="3B88C054">
            <w:pPr>
              <w:ind w:firstLine="480"/>
              <w:rPr>
                <w:rFonts w:asciiTheme="majorBidi" w:hAnsiTheme="majorBidi" w:eastAsiaTheme="minorEastAsia" w:cstheme="majorBidi"/>
                <w:color w:val="EE0000"/>
                <w:kern w:val="2"/>
                <w:szCs w:val="21"/>
              </w:rPr>
            </w:pPr>
            <w:r>
              <w:rPr>
                <w:rFonts w:asciiTheme="majorBidi" w:hAnsiTheme="majorBidi" w:eastAsiaTheme="minorEastAsia" w:cstheme="majorBidi"/>
                <w:color w:val="EE0000"/>
                <w:kern w:val="2"/>
                <w:szCs w:val="21"/>
              </w:rPr>
              <w:t>水帘柜水槽水更换产生水帘柜废液，产生量为32m³/a（0.11m³/d）；喷枪清洗废液产生量为</w:t>
            </w:r>
            <w:r>
              <w:rPr>
                <w:rFonts w:hint="eastAsia" w:asciiTheme="majorBidi" w:hAnsiTheme="majorBidi" w:eastAsiaTheme="minorEastAsia" w:cstheme="majorBidi"/>
                <w:color w:val="EE0000"/>
                <w:kern w:val="2"/>
                <w:szCs w:val="21"/>
              </w:rPr>
              <w:t>0.6</w:t>
            </w:r>
            <w:r>
              <w:rPr>
                <w:rFonts w:asciiTheme="majorBidi" w:hAnsiTheme="majorBidi" w:eastAsiaTheme="minorEastAsia" w:cstheme="majorBidi"/>
                <w:color w:val="EE0000"/>
                <w:kern w:val="2"/>
                <w:szCs w:val="21"/>
              </w:rPr>
              <w:t>m³/a（0.0</w:t>
            </w:r>
            <w:r>
              <w:rPr>
                <w:rFonts w:hint="eastAsia" w:asciiTheme="majorBidi" w:hAnsiTheme="majorBidi" w:eastAsiaTheme="minorEastAsia" w:cstheme="majorBidi"/>
                <w:color w:val="EE0000"/>
                <w:kern w:val="2"/>
                <w:szCs w:val="21"/>
              </w:rPr>
              <w:t>02</w:t>
            </w:r>
            <w:r>
              <w:rPr>
                <w:rFonts w:asciiTheme="majorBidi" w:hAnsiTheme="majorBidi" w:eastAsiaTheme="minorEastAsia" w:cstheme="majorBidi"/>
                <w:color w:val="EE0000"/>
                <w:kern w:val="2"/>
                <w:szCs w:val="21"/>
              </w:rPr>
              <w:t>m³/d），喷淋塔废液产生量</w:t>
            </w:r>
            <w:r>
              <w:rPr>
                <w:rFonts w:hint="eastAsia" w:asciiTheme="majorBidi" w:hAnsiTheme="majorBidi" w:eastAsiaTheme="minorEastAsia" w:cstheme="majorBidi"/>
                <w:color w:val="EE0000"/>
                <w:kern w:val="2"/>
                <w:szCs w:val="21"/>
              </w:rPr>
              <w:t>4.5</w:t>
            </w:r>
            <w:r>
              <w:rPr>
                <w:rFonts w:asciiTheme="majorBidi" w:hAnsiTheme="majorBidi" w:eastAsiaTheme="minorEastAsia" w:cstheme="majorBidi"/>
                <w:color w:val="EE0000"/>
                <w:kern w:val="2"/>
                <w:szCs w:val="21"/>
              </w:rPr>
              <w:t>m³/a（0.01</w:t>
            </w:r>
            <w:r>
              <w:rPr>
                <w:rFonts w:hint="eastAsia" w:asciiTheme="majorBidi" w:hAnsiTheme="majorBidi" w:eastAsiaTheme="minorEastAsia" w:cstheme="majorBidi"/>
                <w:color w:val="EE0000"/>
                <w:kern w:val="2"/>
                <w:szCs w:val="21"/>
              </w:rPr>
              <w:t>5</w:t>
            </w:r>
            <w:r>
              <w:rPr>
                <w:rFonts w:asciiTheme="majorBidi" w:hAnsiTheme="majorBidi" w:eastAsiaTheme="minorEastAsia" w:cstheme="majorBidi"/>
                <w:color w:val="EE0000"/>
                <w:kern w:val="2"/>
                <w:szCs w:val="21"/>
              </w:rPr>
              <w:t>m³/d），收集后交由有危险废物处置资质的单位处理。</w:t>
            </w:r>
          </w:p>
          <w:p w14:paraId="0E3162BA">
            <w:pPr>
              <w:ind w:firstLine="480"/>
              <w:rPr>
                <w:bCs/>
              </w:rPr>
            </w:pPr>
            <w:r>
              <w:rPr>
                <w:rFonts w:hint="eastAsia"/>
                <w:bCs/>
              </w:rPr>
              <w:t>3</w:t>
            </w:r>
            <w:r>
              <w:rPr>
                <w:bCs/>
              </w:rPr>
              <w:t>.排放口基本情况</w:t>
            </w:r>
          </w:p>
          <w:p w14:paraId="48007D24">
            <w:pPr>
              <w:pStyle w:val="11"/>
              <w:numPr>
                <w:ilvl w:val="0"/>
                <w:numId w:val="4"/>
              </w:numPr>
              <w:rPr>
                <w:bCs w:val="0"/>
              </w:rPr>
            </w:pPr>
            <w:r>
              <w:rPr>
                <w:bCs w:val="0"/>
              </w:rPr>
              <w:t>表4-11 废水排放口基本情况表一览表</w:t>
            </w:r>
          </w:p>
          <w:tbl>
            <w:tblPr>
              <w:tblStyle w:val="43"/>
              <w:tblW w:w="8893" w:type="dxa"/>
              <w:tblInd w:w="0" w:type="dxa"/>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28" w:type="dxa"/>
                <w:bottom w:w="0" w:type="dxa"/>
                <w:right w:w="28" w:type="dxa"/>
              </w:tblCellMar>
            </w:tblPr>
            <w:tblGrid>
              <w:gridCol w:w="604"/>
              <w:gridCol w:w="502"/>
              <w:gridCol w:w="918"/>
              <w:gridCol w:w="852"/>
              <w:gridCol w:w="992"/>
              <w:gridCol w:w="710"/>
              <w:gridCol w:w="1131"/>
              <w:gridCol w:w="749"/>
              <w:gridCol w:w="694"/>
              <w:gridCol w:w="818"/>
              <w:gridCol w:w="923"/>
            </w:tblGrid>
            <w:tr w14:paraId="6CADA422">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PrEx>
              <w:trPr>
                <w:trHeight w:val="283" w:hRule="atLeast"/>
              </w:trPr>
              <w:tc>
                <w:tcPr>
                  <w:tcW w:w="340" w:type="pct"/>
                  <w:vMerge w:val="restart"/>
                  <w:vAlign w:val="center"/>
                </w:tcPr>
                <w:p w14:paraId="35598712">
                  <w:pPr>
                    <w:pStyle w:val="29"/>
                    <w:rPr>
                      <w:bCs/>
                    </w:rPr>
                  </w:pPr>
                  <w:r>
                    <w:rPr>
                      <w:bCs/>
                    </w:rPr>
                    <w:t>排放口编号</w:t>
                  </w:r>
                </w:p>
              </w:tc>
              <w:tc>
                <w:tcPr>
                  <w:tcW w:w="282" w:type="pct"/>
                  <w:vMerge w:val="restart"/>
                  <w:vAlign w:val="center"/>
                </w:tcPr>
                <w:p w14:paraId="469F7CDA">
                  <w:pPr>
                    <w:pStyle w:val="29"/>
                    <w:rPr>
                      <w:bCs/>
                    </w:rPr>
                  </w:pPr>
                  <w:r>
                    <w:rPr>
                      <w:bCs/>
                    </w:rPr>
                    <w:t>排放口类型</w:t>
                  </w:r>
                </w:p>
              </w:tc>
              <w:tc>
                <w:tcPr>
                  <w:tcW w:w="995" w:type="pct"/>
                  <w:gridSpan w:val="2"/>
                  <w:vAlign w:val="center"/>
                </w:tcPr>
                <w:p w14:paraId="6F85A3B0">
                  <w:pPr>
                    <w:pStyle w:val="29"/>
                    <w:rPr>
                      <w:bCs/>
                    </w:rPr>
                  </w:pPr>
                  <w:r>
                    <w:rPr>
                      <w:bCs/>
                    </w:rPr>
                    <w:t>排放口地理坐标</w:t>
                  </w:r>
                </w:p>
              </w:tc>
              <w:tc>
                <w:tcPr>
                  <w:tcW w:w="558" w:type="pct"/>
                  <w:vMerge w:val="restart"/>
                  <w:vAlign w:val="center"/>
                </w:tcPr>
                <w:p w14:paraId="74E597BD">
                  <w:pPr>
                    <w:pStyle w:val="29"/>
                    <w:rPr>
                      <w:bCs/>
                    </w:rPr>
                  </w:pPr>
                  <w:r>
                    <w:rPr>
                      <w:bCs/>
                    </w:rPr>
                    <w:t>废水排放量（万t/a）</w:t>
                  </w:r>
                </w:p>
              </w:tc>
              <w:tc>
                <w:tcPr>
                  <w:tcW w:w="399" w:type="pct"/>
                  <w:vMerge w:val="restart"/>
                  <w:vAlign w:val="center"/>
                </w:tcPr>
                <w:p w14:paraId="26FB10CB">
                  <w:pPr>
                    <w:pStyle w:val="29"/>
                    <w:rPr>
                      <w:bCs/>
                    </w:rPr>
                  </w:pPr>
                  <w:r>
                    <w:rPr>
                      <w:bCs/>
                    </w:rPr>
                    <w:t>排放去向</w:t>
                  </w:r>
                </w:p>
              </w:tc>
              <w:tc>
                <w:tcPr>
                  <w:tcW w:w="636" w:type="pct"/>
                  <w:vMerge w:val="restart"/>
                  <w:vAlign w:val="center"/>
                </w:tcPr>
                <w:p w14:paraId="08BFFB37">
                  <w:pPr>
                    <w:pStyle w:val="29"/>
                    <w:rPr>
                      <w:bCs/>
                    </w:rPr>
                  </w:pPr>
                  <w:r>
                    <w:rPr>
                      <w:bCs/>
                    </w:rPr>
                    <w:t>排放规律</w:t>
                  </w:r>
                </w:p>
              </w:tc>
              <w:tc>
                <w:tcPr>
                  <w:tcW w:w="421" w:type="pct"/>
                  <w:vMerge w:val="restart"/>
                  <w:vAlign w:val="center"/>
                </w:tcPr>
                <w:p w14:paraId="2854FED8">
                  <w:pPr>
                    <w:pStyle w:val="29"/>
                    <w:rPr>
                      <w:bCs/>
                    </w:rPr>
                  </w:pPr>
                  <w:r>
                    <w:rPr>
                      <w:bCs/>
                    </w:rPr>
                    <w:t>间歇排放时段</w:t>
                  </w:r>
                </w:p>
              </w:tc>
              <w:tc>
                <w:tcPr>
                  <w:tcW w:w="1371" w:type="pct"/>
                  <w:gridSpan w:val="3"/>
                  <w:vAlign w:val="center"/>
                </w:tcPr>
                <w:p w14:paraId="48151AB0">
                  <w:pPr>
                    <w:pStyle w:val="29"/>
                    <w:rPr>
                      <w:bCs/>
                    </w:rPr>
                  </w:pPr>
                  <w:r>
                    <w:rPr>
                      <w:bCs/>
                    </w:rPr>
                    <w:t>受纳污水厂处理信息</w:t>
                  </w:r>
                </w:p>
              </w:tc>
            </w:tr>
            <w:tr w14:paraId="1835D40F">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283" w:hRule="atLeast"/>
              </w:trPr>
              <w:tc>
                <w:tcPr>
                  <w:tcW w:w="340" w:type="pct"/>
                  <w:vMerge w:val="continue"/>
                  <w:vAlign w:val="center"/>
                </w:tcPr>
                <w:p w14:paraId="5C7E9028">
                  <w:pPr>
                    <w:pStyle w:val="29"/>
                    <w:rPr>
                      <w:bCs/>
                    </w:rPr>
                  </w:pPr>
                </w:p>
              </w:tc>
              <w:tc>
                <w:tcPr>
                  <w:tcW w:w="282" w:type="pct"/>
                  <w:vMerge w:val="continue"/>
                  <w:vAlign w:val="center"/>
                </w:tcPr>
                <w:p w14:paraId="7E6D2645">
                  <w:pPr>
                    <w:pStyle w:val="29"/>
                    <w:rPr>
                      <w:bCs/>
                    </w:rPr>
                  </w:pPr>
                </w:p>
              </w:tc>
              <w:tc>
                <w:tcPr>
                  <w:tcW w:w="516" w:type="pct"/>
                  <w:vAlign w:val="center"/>
                </w:tcPr>
                <w:p w14:paraId="3C6219CE">
                  <w:pPr>
                    <w:pStyle w:val="29"/>
                    <w:rPr>
                      <w:bCs/>
                    </w:rPr>
                  </w:pPr>
                  <w:r>
                    <w:rPr>
                      <w:bCs/>
                    </w:rPr>
                    <w:t>经度</w:t>
                  </w:r>
                </w:p>
              </w:tc>
              <w:tc>
                <w:tcPr>
                  <w:tcW w:w="478" w:type="pct"/>
                  <w:vAlign w:val="center"/>
                </w:tcPr>
                <w:p w14:paraId="1A84CDAD">
                  <w:pPr>
                    <w:pStyle w:val="29"/>
                    <w:rPr>
                      <w:bCs/>
                    </w:rPr>
                  </w:pPr>
                  <w:r>
                    <w:rPr>
                      <w:bCs/>
                    </w:rPr>
                    <w:t>纬度</w:t>
                  </w:r>
                </w:p>
              </w:tc>
              <w:tc>
                <w:tcPr>
                  <w:tcW w:w="558" w:type="pct"/>
                  <w:vMerge w:val="continue"/>
                  <w:vAlign w:val="center"/>
                </w:tcPr>
                <w:p w14:paraId="73D33784">
                  <w:pPr>
                    <w:pStyle w:val="29"/>
                    <w:rPr>
                      <w:bCs/>
                    </w:rPr>
                  </w:pPr>
                </w:p>
              </w:tc>
              <w:tc>
                <w:tcPr>
                  <w:tcW w:w="399" w:type="pct"/>
                  <w:vMerge w:val="continue"/>
                  <w:vAlign w:val="center"/>
                </w:tcPr>
                <w:p w14:paraId="0905C2B6">
                  <w:pPr>
                    <w:pStyle w:val="29"/>
                    <w:rPr>
                      <w:bCs/>
                    </w:rPr>
                  </w:pPr>
                </w:p>
              </w:tc>
              <w:tc>
                <w:tcPr>
                  <w:tcW w:w="636" w:type="pct"/>
                  <w:vMerge w:val="continue"/>
                  <w:vAlign w:val="center"/>
                </w:tcPr>
                <w:p w14:paraId="3D0B680E">
                  <w:pPr>
                    <w:pStyle w:val="29"/>
                    <w:rPr>
                      <w:bCs/>
                    </w:rPr>
                  </w:pPr>
                </w:p>
              </w:tc>
              <w:tc>
                <w:tcPr>
                  <w:tcW w:w="421" w:type="pct"/>
                  <w:vMerge w:val="continue"/>
                  <w:vAlign w:val="center"/>
                </w:tcPr>
                <w:p w14:paraId="1B7C60DE">
                  <w:pPr>
                    <w:pStyle w:val="29"/>
                    <w:rPr>
                      <w:bCs/>
                    </w:rPr>
                  </w:pPr>
                </w:p>
              </w:tc>
              <w:tc>
                <w:tcPr>
                  <w:tcW w:w="390" w:type="pct"/>
                  <w:vAlign w:val="center"/>
                </w:tcPr>
                <w:p w14:paraId="7EF20F83">
                  <w:pPr>
                    <w:pStyle w:val="29"/>
                    <w:rPr>
                      <w:bCs/>
                    </w:rPr>
                  </w:pPr>
                  <w:r>
                    <w:rPr>
                      <w:bCs/>
                    </w:rPr>
                    <w:t>名称</w:t>
                  </w:r>
                </w:p>
              </w:tc>
              <w:tc>
                <w:tcPr>
                  <w:tcW w:w="460" w:type="pct"/>
                  <w:vAlign w:val="center"/>
                </w:tcPr>
                <w:p w14:paraId="4E60A1F2">
                  <w:pPr>
                    <w:pStyle w:val="29"/>
                    <w:rPr>
                      <w:bCs/>
                    </w:rPr>
                  </w:pPr>
                  <w:r>
                    <w:rPr>
                      <w:bCs/>
                    </w:rPr>
                    <w:t>污染物种类</w:t>
                  </w:r>
                </w:p>
              </w:tc>
              <w:tc>
                <w:tcPr>
                  <w:tcW w:w="521" w:type="pct"/>
                  <w:vAlign w:val="center"/>
                </w:tcPr>
                <w:p w14:paraId="79A3B3CE">
                  <w:pPr>
                    <w:pStyle w:val="29"/>
                    <w:rPr>
                      <w:bCs/>
                    </w:rPr>
                  </w:pPr>
                  <w:r>
                    <w:rPr>
                      <w:bCs/>
                    </w:rPr>
                    <w:t>排放标准</w:t>
                  </w:r>
                  <w:r>
                    <w:rPr>
                      <w:rFonts w:hint="eastAsia"/>
                      <w:bCs/>
                    </w:rPr>
                    <w:t>(</w:t>
                  </w:r>
                  <w:r>
                    <w:rPr>
                      <w:bCs/>
                    </w:rPr>
                    <w:t>mg/L</w:t>
                  </w:r>
                  <w:r>
                    <w:rPr>
                      <w:rFonts w:hint="eastAsia"/>
                      <w:bCs/>
                    </w:rPr>
                    <w:t>)</w:t>
                  </w:r>
                </w:p>
              </w:tc>
            </w:tr>
            <w:tr w14:paraId="13C27DF1">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283" w:hRule="atLeast"/>
              </w:trPr>
              <w:tc>
                <w:tcPr>
                  <w:tcW w:w="340" w:type="pct"/>
                  <w:vMerge w:val="restart"/>
                  <w:vAlign w:val="center"/>
                </w:tcPr>
                <w:p w14:paraId="6414FE6A">
                  <w:pPr>
                    <w:pStyle w:val="29"/>
                    <w:rPr>
                      <w:bCs/>
                    </w:rPr>
                  </w:pPr>
                  <w:r>
                    <w:rPr>
                      <w:bCs/>
                    </w:rPr>
                    <w:t>DW001</w:t>
                  </w:r>
                </w:p>
              </w:tc>
              <w:tc>
                <w:tcPr>
                  <w:tcW w:w="282" w:type="pct"/>
                  <w:vMerge w:val="restart"/>
                  <w:vAlign w:val="center"/>
                </w:tcPr>
                <w:p w14:paraId="147126D7">
                  <w:pPr>
                    <w:pStyle w:val="29"/>
                    <w:rPr>
                      <w:bCs/>
                    </w:rPr>
                  </w:pPr>
                  <w:r>
                    <w:rPr>
                      <w:bCs/>
                    </w:rPr>
                    <w:t>生活污水排放口</w:t>
                  </w:r>
                </w:p>
              </w:tc>
              <w:tc>
                <w:tcPr>
                  <w:tcW w:w="516" w:type="pct"/>
                  <w:vMerge w:val="restart"/>
                  <w:vAlign w:val="center"/>
                </w:tcPr>
                <w:p w14:paraId="53EBC305">
                  <w:pPr>
                    <w:pStyle w:val="29"/>
                    <w:rPr>
                      <w:bCs/>
                    </w:rPr>
                  </w:pPr>
                  <w:r>
                    <w:rPr>
                      <w:bCs/>
                    </w:rPr>
                    <w:t>114°0'45.01"</w:t>
                  </w:r>
                </w:p>
              </w:tc>
              <w:tc>
                <w:tcPr>
                  <w:tcW w:w="478" w:type="pct"/>
                  <w:vMerge w:val="restart"/>
                  <w:vAlign w:val="center"/>
                </w:tcPr>
                <w:p w14:paraId="16A58A82">
                  <w:pPr>
                    <w:pStyle w:val="29"/>
                    <w:rPr>
                      <w:bCs/>
                    </w:rPr>
                  </w:pPr>
                  <w:r>
                    <w:rPr>
                      <w:bCs/>
                    </w:rPr>
                    <w:t>23°6'37.13"</w:t>
                  </w:r>
                </w:p>
              </w:tc>
              <w:tc>
                <w:tcPr>
                  <w:tcW w:w="558" w:type="pct"/>
                  <w:vMerge w:val="restart"/>
                  <w:vAlign w:val="center"/>
                </w:tcPr>
                <w:p w14:paraId="67BF6215">
                  <w:pPr>
                    <w:pStyle w:val="29"/>
                    <w:rPr>
                      <w:bCs/>
                    </w:rPr>
                  </w:pPr>
                  <w:r>
                    <w:rPr>
                      <w:bCs/>
                    </w:rPr>
                    <w:t>0.054</w:t>
                  </w:r>
                </w:p>
              </w:tc>
              <w:tc>
                <w:tcPr>
                  <w:tcW w:w="399" w:type="pct"/>
                  <w:vMerge w:val="restart"/>
                  <w:vAlign w:val="center"/>
                </w:tcPr>
                <w:p w14:paraId="3422BD0F">
                  <w:pPr>
                    <w:pStyle w:val="29"/>
                    <w:rPr>
                      <w:bCs/>
                    </w:rPr>
                  </w:pPr>
                  <w:r>
                    <w:rPr>
                      <w:bCs/>
                    </w:rPr>
                    <w:t>博罗县园洲镇第五生活污水处理厂</w:t>
                  </w:r>
                </w:p>
              </w:tc>
              <w:tc>
                <w:tcPr>
                  <w:tcW w:w="636" w:type="pct"/>
                  <w:vMerge w:val="restart"/>
                  <w:vAlign w:val="center"/>
                </w:tcPr>
                <w:p w14:paraId="33BBC4D6">
                  <w:pPr>
                    <w:pStyle w:val="29"/>
                    <w:rPr>
                      <w:bCs/>
                    </w:rPr>
                  </w:pPr>
                  <w:r>
                    <w:rPr>
                      <w:bCs/>
                    </w:rPr>
                    <w:t>间断排放，排放期间流量不稳定且无规律，但不属于冲击型排放</w:t>
                  </w:r>
                </w:p>
              </w:tc>
              <w:tc>
                <w:tcPr>
                  <w:tcW w:w="421" w:type="pct"/>
                  <w:vMerge w:val="restart"/>
                  <w:vAlign w:val="center"/>
                </w:tcPr>
                <w:p w14:paraId="571E9E25">
                  <w:pPr>
                    <w:pStyle w:val="29"/>
                    <w:rPr>
                      <w:bCs/>
                    </w:rPr>
                  </w:pPr>
                  <w:r>
                    <w:rPr>
                      <w:bCs/>
                    </w:rPr>
                    <w:t>6:00-14:00；14:00-22:00</w:t>
                  </w:r>
                </w:p>
              </w:tc>
              <w:tc>
                <w:tcPr>
                  <w:tcW w:w="390" w:type="pct"/>
                  <w:vMerge w:val="restart"/>
                  <w:vAlign w:val="center"/>
                </w:tcPr>
                <w:p w14:paraId="601AE0C5">
                  <w:pPr>
                    <w:pStyle w:val="29"/>
                    <w:rPr>
                      <w:bCs/>
                    </w:rPr>
                  </w:pPr>
                  <w:r>
                    <w:rPr>
                      <w:bCs/>
                    </w:rPr>
                    <w:t>博罗县园洲镇第五生活污水处理厂</w:t>
                  </w:r>
                </w:p>
              </w:tc>
              <w:tc>
                <w:tcPr>
                  <w:tcW w:w="460" w:type="pct"/>
                  <w:vAlign w:val="center"/>
                </w:tcPr>
                <w:p w14:paraId="457B1E28">
                  <w:pPr>
                    <w:pStyle w:val="29"/>
                    <w:rPr>
                      <w:bCs/>
                    </w:rPr>
                  </w:pPr>
                  <w:r>
                    <w:rPr>
                      <w:bCs/>
                    </w:rPr>
                    <w:t>COD</w:t>
                  </w:r>
                  <w:r>
                    <w:rPr>
                      <w:bCs/>
                      <w:vertAlign w:val="subscript"/>
                    </w:rPr>
                    <w:t>Cr</w:t>
                  </w:r>
                </w:p>
              </w:tc>
              <w:tc>
                <w:tcPr>
                  <w:tcW w:w="521" w:type="pct"/>
                  <w:vAlign w:val="center"/>
                </w:tcPr>
                <w:p w14:paraId="1F40CB43">
                  <w:pPr>
                    <w:pStyle w:val="29"/>
                    <w:rPr>
                      <w:bCs/>
                    </w:rPr>
                  </w:pPr>
                  <w:r>
                    <w:rPr>
                      <w:bCs/>
                    </w:rPr>
                    <w:t>40</w:t>
                  </w:r>
                </w:p>
              </w:tc>
            </w:tr>
            <w:tr w14:paraId="5C393D95">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283" w:hRule="atLeast"/>
              </w:trPr>
              <w:tc>
                <w:tcPr>
                  <w:tcW w:w="340" w:type="pct"/>
                  <w:vMerge w:val="continue"/>
                  <w:vAlign w:val="center"/>
                </w:tcPr>
                <w:p w14:paraId="27664DA9">
                  <w:pPr>
                    <w:pStyle w:val="29"/>
                    <w:rPr>
                      <w:bCs/>
                    </w:rPr>
                  </w:pPr>
                </w:p>
              </w:tc>
              <w:tc>
                <w:tcPr>
                  <w:tcW w:w="282" w:type="pct"/>
                  <w:vMerge w:val="continue"/>
                  <w:vAlign w:val="center"/>
                </w:tcPr>
                <w:p w14:paraId="1ABE0E56">
                  <w:pPr>
                    <w:pStyle w:val="29"/>
                    <w:rPr>
                      <w:bCs/>
                    </w:rPr>
                  </w:pPr>
                </w:p>
              </w:tc>
              <w:tc>
                <w:tcPr>
                  <w:tcW w:w="516" w:type="pct"/>
                  <w:vMerge w:val="continue"/>
                  <w:vAlign w:val="center"/>
                </w:tcPr>
                <w:p w14:paraId="0838A6BA">
                  <w:pPr>
                    <w:pStyle w:val="29"/>
                    <w:rPr>
                      <w:bCs/>
                    </w:rPr>
                  </w:pPr>
                </w:p>
              </w:tc>
              <w:tc>
                <w:tcPr>
                  <w:tcW w:w="478" w:type="pct"/>
                  <w:vMerge w:val="continue"/>
                  <w:vAlign w:val="center"/>
                </w:tcPr>
                <w:p w14:paraId="0060EADE">
                  <w:pPr>
                    <w:pStyle w:val="29"/>
                    <w:rPr>
                      <w:bCs/>
                    </w:rPr>
                  </w:pPr>
                </w:p>
              </w:tc>
              <w:tc>
                <w:tcPr>
                  <w:tcW w:w="558" w:type="pct"/>
                  <w:vMerge w:val="continue"/>
                  <w:vAlign w:val="center"/>
                </w:tcPr>
                <w:p w14:paraId="211EEA17">
                  <w:pPr>
                    <w:pStyle w:val="29"/>
                    <w:rPr>
                      <w:bCs/>
                    </w:rPr>
                  </w:pPr>
                </w:p>
              </w:tc>
              <w:tc>
                <w:tcPr>
                  <w:tcW w:w="399" w:type="pct"/>
                  <w:vMerge w:val="continue"/>
                  <w:vAlign w:val="center"/>
                </w:tcPr>
                <w:p w14:paraId="3A074AFA">
                  <w:pPr>
                    <w:pStyle w:val="29"/>
                    <w:rPr>
                      <w:bCs/>
                    </w:rPr>
                  </w:pPr>
                </w:p>
              </w:tc>
              <w:tc>
                <w:tcPr>
                  <w:tcW w:w="636" w:type="pct"/>
                  <w:vMerge w:val="continue"/>
                  <w:vAlign w:val="center"/>
                </w:tcPr>
                <w:p w14:paraId="44D419C8">
                  <w:pPr>
                    <w:pStyle w:val="29"/>
                    <w:rPr>
                      <w:bCs/>
                    </w:rPr>
                  </w:pPr>
                </w:p>
              </w:tc>
              <w:tc>
                <w:tcPr>
                  <w:tcW w:w="421" w:type="pct"/>
                  <w:vMerge w:val="continue"/>
                  <w:vAlign w:val="center"/>
                </w:tcPr>
                <w:p w14:paraId="13D28886">
                  <w:pPr>
                    <w:pStyle w:val="29"/>
                    <w:rPr>
                      <w:bCs/>
                    </w:rPr>
                  </w:pPr>
                </w:p>
              </w:tc>
              <w:tc>
                <w:tcPr>
                  <w:tcW w:w="390" w:type="pct"/>
                  <w:vMerge w:val="continue"/>
                  <w:vAlign w:val="center"/>
                </w:tcPr>
                <w:p w14:paraId="32ACCC94">
                  <w:pPr>
                    <w:pStyle w:val="29"/>
                    <w:rPr>
                      <w:bCs/>
                    </w:rPr>
                  </w:pPr>
                </w:p>
              </w:tc>
              <w:tc>
                <w:tcPr>
                  <w:tcW w:w="460" w:type="pct"/>
                  <w:vAlign w:val="center"/>
                </w:tcPr>
                <w:p w14:paraId="17EDFA01">
                  <w:pPr>
                    <w:pStyle w:val="29"/>
                    <w:rPr>
                      <w:bCs/>
                    </w:rPr>
                  </w:pPr>
                  <w:r>
                    <w:rPr>
                      <w:bCs/>
                    </w:rPr>
                    <w:t>BOD</w:t>
                  </w:r>
                  <w:r>
                    <w:rPr>
                      <w:bCs/>
                      <w:vertAlign w:val="subscript"/>
                    </w:rPr>
                    <w:t>5</w:t>
                  </w:r>
                </w:p>
              </w:tc>
              <w:tc>
                <w:tcPr>
                  <w:tcW w:w="521" w:type="pct"/>
                  <w:vAlign w:val="center"/>
                </w:tcPr>
                <w:p w14:paraId="1F9CC4DE">
                  <w:pPr>
                    <w:pStyle w:val="29"/>
                    <w:rPr>
                      <w:bCs/>
                    </w:rPr>
                  </w:pPr>
                  <w:r>
                    <w:rPr>
                      <w:bCs/>
                    </w:rPr>
                    <w:t>10</w:t>
                  </w:r>
                </w:p>
              </w:tc>
            </w:tr>
            <w:tr w14:paraId="35B4C665">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283" w:hRule="atLeast"/>
              </w:trPr>
              <w:tc>
                <w:tcPr>
                  <w:tcW w:w="340" w:type="pct"/>
                  <w:vMerge w:val="continue"/>
                  <w:vAlign w:val="center"/>
                </w:tcPr>
                <w:p w14:paraId="1AFC5B2B">
                  <w:pPr>
                    <w:pStyle w:val="29"/>
                    <w:rPr>
                      <w:bCs/>
                    </w:rPr>
                  </w:pPr>
                </w:p>
              </w:tc>
              <w:tc>
                <w:tcPr>
                  <w:tcW w:w="282" w:type="pct"/>
                  <w:vMerge w:val="continue"/>
                  <w:vAlign w:val="center"/>
                </w:tcPr>
                <w:p w14:paraId="5E423286">
                  <w:pPr>
                    <w:pStyle w:val="29"/>
                    <w:rPr>
                      <w:bCs/>
                    </w:rPr>
                  </w:pPr>
                </w:p>
              </w:tc>
              <w:tc>
                <w:tcPr>
                  <w:tcW w:w="516" w:type="pct"/>
                  <w:vMerge w:val="continue"/>
                  <w:vAlign w:val="center"/>
                </w:tcPr>
                <w:p w14:paraId="2C991779">
                  <w:pPr>
                    <w:pStyle w:val="29"/>
                    <w:rPr>
                      <w:bCs/>
                    </w:rPr>
                  </w:pPr>
                </w:p>
              </w:tc>
              <w:tc>
                <w:tcPr>
                  <w:tcW w:w="478" w:type="pct"/>
                  <w:vMerge w:val="continue"/>
                  <w:vAlign w:val="center"/>
                </w:tcPr>
                <w:p w14:paraId="082639CD">
                  <w:pPr>
                    <w:pStyle w:val="29"/>
                    <w:rPr>
                      <w:bCs/>
                    </w:rPr>
                  </w:pPr>
                </w:p>
              </w:tc>
              <w:tc>
                <w:tcPr>
                  <w:tcW w:w="558" w:type="pct"/>
                  <w:vMerge w:val="continue"/>
                  <w:vAlign w:val="center"/>
                </w:tcPr>
                <w:p w14:paraId="3D8433D5">
                  <w:pPr>
                    <w:pStyle w:val="29"/>
                    <w:rPr>
                      <w:bCs/>
                    </w:rPr>
                  </w:pPr>
                </w:p>
              </w:tc>
              <w:tc>
                <w:tcPr>
                  <w:tcW w:w="399" w:type="pct"/>
                  <w:vMerge w:val="continue"/>
                  <w:vAlign w:val="center"/>
                </w:tcPr>
                <w:p w14:paraId="13C53B5D">
                  <w:pPr>
                    <w:pStyle w:val="29"/>
                    <w:rPr>
                      <w:bCs/>
                    </w:rPr>
                  </w:pPr>
                </w:p>
              </w:tc>
              <w:tc>
                <w:tcPr>
                  <w:tcW w:w="636" w:type="pct"/>
                  <w:vMerge w:val="continue"/>
                  <w:vAlign w:val="center"/>
                </w:tcPr>
                <w:p w14:paraId="10830F1E">
                  <w:pPr>
                    <w:pStyle w:val="29"/>
                    <w:rPr>
                      <w:bCs/>
                    </w:rPr>
                  </w:pPr>
                </w:p>
              </w:tc>
              <w:tc>
                <w:tcPr>
                  <w:tcW w:w="421" w:type="pct"/>
                  <w:vMerge w:val="continue"/>
                  <w:vAlign w:val="center"/>
                </w:tcPr>
                <w:p w14:paraId="4B8852E2">
                  <w:pPr>
                    <w:pStyle w:val="29"/>
                    <w:rPr>
                      <w:bCs/>
                    </w:rPr>
                  </w:pPr>
                </w:p>
              </w:tc>
              <w:tc>
                <w:tcPr>
                  <w:tcW w:w="390" w:type="pct"/>
                  <w:vMerge w:val="continue"/>
                  <w:vAlign w:val="center"/>
                </w:tcPr>
                <w:p w14:paraId="3B2FAE79">
                  <w:pPr>
                    <w:pStyle w:val="29"/>
                    <w:rPr>
                      <w:bCs/>
                    </w:rPr>
                  </w:pPr>
                </w:p>
              </w:tc>
              <w:tc>
                <w:tcPr>
                  <w:tcW w:w="460" w:type="pct"/>
                  <w:vAlign w:val="center"/>
                </w:tcPr>
                <w:p w14:paraId="0EE7AB72">
                  <w:pPr>
                    <w:pStyle w:val="29"/>
                    <w:rPr>
                      <w:bCs/>
                    </w:rPr>
                  </w:pPr>
                  <w:r>
                    <w:rPr>
                      <w:bCs/>
                    </w:rPr>
                    <w:t>SS</w:t>
                  </w:r>
                </w:p>
              </w:tc>
              <w:tc>
                <w:tcPr>
                  <w:tcW w:w="521" w:type="pct"/>
                  <w:vAlign w:val="center"/>
                </w:tcPr>
                <w:p w14:paraId="68A8FB12">
                  <w:pPr>
                    <w:pStyle w:val="29"/>
                    <w:rPr>
                      <w:bCs/>
                    </w:rPr>
                  </w:pPr>
                  <w:r>
                    <w:rPr>
                      <w:bCs/>
                    </w:rPr>
                    <w:t>10</w:t>
                  </w:r>
                </w:p>
              </w:tc>
            </w:tr>
            <w:tr w14:paraId="53A2CFE2">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283" w:hRule="atLeast"/>
              </w:trPr>
              <w:tc>
                <w:tcPr>
                  <w:tcW w:w="340" w:type="pct"/>
                  <w:vMerge w:val="continue"/>
                  <w:vAlign w:val="center"/>
                </w:tcPr>
                <w:p w14:paraId="732BD6E5">
                  <w:pPr>
                    <w:pStyle w:val="29"/>
                    <w:rPr>
                      <w:bCs/>
                    </w:rPr>
                  </w:pPr>
                </w:p>
              </w:tc>
              <w:tc>
                <w:tcPr>
                  <w:tcW w:w="282" w:type="pct"/>
                  <w:vMerge w:val="continue"/>
                  <w:vAlign w:val="center"/>
                </w:tcPr>
                <w:p w14:paraId="73E016F5">
                  <w:pPr>
                    <w:pStyle w:val="29"/>
                    <w:rPr>
                      <w:bCs/>
                    </w:rPr>
                  </w:pPr>
                </w:p>
              </w:tc>
              <w:tc>
                <w:tcPr>
                  <w:tcW w:w="516" w:type="pct"/>
                  <w:vMerge w:val="continue"/>
                  <w:vAlign w:val="center"/>
                </w:tcPr>
                <w:p w14:paraId="76DDBA4C">
                  <w:pPr>
                    <w:pStyle w:val="29"/>
                    <w:rPr>
                      <w:bCs/>
                    </w:rPr>
                  </w:pPr>
                </w:p>
              </w:tc>
              <w:tc>
                <w:tcPr>
                  <w:tcW w:w="478" w:type="pct"/>
                  <w:vMerge w:val="continue"/>
                  <w:vAlign w:val="center"/>
                </w:tcPr>
                <w:p w14:paraId="3340FB35">
                  <w:pPr>
                    <w:pStyle w:val="29"/>
                    <w:rPr>
                      <w:bCs/>
                    </w:rPr>
                  </w:pPr>
                </w:p>
              </w:tc>
              <w:tc>
                <w:tcPr>
                  <w:tcW w:w="558" w:type="pct"/>
                  <w:vMerge w:val="continue"/>
                  <w:vAlign w:val="center"/>
                </w:tcPr>
                <w:p w14:paraId="5EF1F4FF">
                  <w:pPr>
                    <w:pStyle w:val="29"/>
                    <w:rPr>
                      <w:bCs/>
                    </w:rPr>
                  </w:pPr>
                </w:p>
              </w:tc>
              <w:tc>
                <w:tcPr>
                  <w:tcW w:w="399" w:type="pct"/>
                  <w:vMerge w:val="continue"/>
                  <w:vAlign w:val="center"/>
                </w:tcPr>
                <w:p w14:paraId="0350C530">
                  <w:pPr>
                    <w:pStyle w:val="29"/>
                    <w:rPr>
                      <w:bCs/>
                    </w:rPr>
                  </w:pPr>
                </w:p>
              </w:tc>
              <w:tc>
                <w:tcPr>
                  <w:tcW w:w="636" w:type="pct"/>
                  <w:vMerge w:val="continue"/>
                  <w:vAlign w:val="center"/>
                </w:tcPr>
                <w:p w14:paraId="4CA98127">
                  <w:pPr>
                    <w:pStyle w:val="29"/>
                    <w:rPr>
                      <w:bCs/>
                    </w:rPr>
                  </w:pPr>
                </w:p>
              </w:tc>
              <w:tc>
                <w:tcPr>
                  <w:tcW w:w="421" w:type="pct"/>
                  <w:vMerge w:val="continue"/>
                  <w:vAlign w:val="center"/>
                </w:tcPr>
                <w:p w14:paraId="0A75B145">
                  <w:pPr>
                    <w:pStyle w:val="29"/>
                    <w:rPr>
                      <w:bCs/>
                    </w:rPr>
                  </w:pPr>
                </w:p>
              </w:tc>
              <w:tc>
                <w:tcPr>
                  <w:tcW w:w="390" w:type="pct"/>
                  <w:vMerge w:val="continue"/>
                  <w:vAlign w:val="center"/>
                </w:tcPr>
                <w:p w14:paraId="0DADE41C">
                  <w:pPr>
                    <w:pStyle w:val="29"/>
                    <w:rPr>
                      <w:bCs/>
                    </w:rPr>
                  </w:pPr>
                </w:p>
              </w:tc>
              <w:tc>
                <w:tcPr>
                  <w:tcW w:w="460" w:type="pct"/>
                  <w:vAlign w:val="center"/>
                </w:tcPr>
                <w:p w14:paraId="1DCC9049">
                  <w:pPr>
                    <w:pStyle w:val="29"/>
                    <w:rPr>
                      <w:bCs/>
                    </w:rPr>
                  </w:pPr>
                  <w:r>
                    <w:rPr>
                      <w:bCs/>
                    </w:rPr>
                    <w:t>NH</w:t>
                  </w:r>
                  <w:r>
                    <w:rPr>
                      <w:bCs/>
                      <w:vertAlign w:val="subscript"/>
                    </w:rPr>
                    <w:t>3</w:t>
                  </w:r>
                  <w:r>
                    <w:rPr>
                      <w:bCs/>
                    </w:rPr>
                    <w:t>-N</w:t>
                  </w:r>
                </w:p>
              </w:tc>
              <w:tc>
                <w:tcPr>
                  <w:tcW w:w="521" w:type="pct"/>
                  <w:vAlign w:val="center"/>
                </w:tcPr>
                <w:p w14:paraId="4BC80634">
                  <w:pPr>
                    <w:pStyle w:val="29"/>
                    <w:rPr>
                      <w:bCs/>
                    </w:rPr>
                  </w:pPr>
                  <w:r>
                    <w:rPr>
                      <w:bCs/>
                    </w:rPr>
                    <w:t>2</w:t>
                  </w:r>
                </w:p>
              </w:tc>
            </w:tr>
            <w:tr w14:paraId="32DC044E">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283" w:hRule="atLeast"/>
              </w:trPr>
              <w:tc>
                <w:tcPr>
                  <w:tcW w:w="340" w:type="pct"/>
                  <w:vMerge w:val="continue"/>
                  <w:vAlign w:val="center"/>
                </w:tcPr>
                <w:p w14:paraId="280DE686">
                  <w:pPr>
                    <w:pStyle w:val="29"/>
                    <w:rPr>
                      <w:bCs/>
                    </w:rPr>
                  </w:pPr>
                </w:p>
              </w:tc>
              <w:tc>
                <w:tcPr>
                  <w:tcW w:w="282" w:type="pct"/>
                  <w:vMerge w:val="continue"/>
                  <w:vAlign w:val="center"/>
                </w:tcPr>
                <w:p w14:paraId="385158DB">
                  <w:pPr>
                    <w:pStyle w:val="29"/>
                    <w:rPr>
                      <w:bCs/>
                    </w:rPr>
                  </w:pPr>
                </w:p>
              </w:tc>
              <w:tc>
                <w:tcPr>
                  <w:tcW w:w="516" w:type="pct"/>
                  <w:vMerge w:val="continue"/>
                  <w:vAlign w:val="center"/>
                </w:tcPr>
                <w:p w14:paraId="23CA898D">
                  <w:pPr>
                    <w:pStyle w:val="29"/>
                    <w:rPr>
                      <w:bCs/>
                    </w:rPr>
                  </w:pPr>
                </w:p>
              </w:tc>
              <w:tc>
                <w:tcPr>
                  <w:tcW w:w="478" w:type="pct"/>
                  <w:vMerge w:val="continue"/>
                  <w:vAlign w:val="center"/>
                </w:tcPr>
                <w:p w14:paraId="2C0B9E58">
                  <w:pPr>
                    <w:pStyle w:val="29"/>
                    <w:rPr>
                      <w:bCs/>
                    </w:rPr>
                  </w:pPr>
                </w:p>
              </w:tc>
              <w:tc>
                <w:tcPr>
                  <w:tcW w:w="558" w:type="pct"/>
                  <w:vMerge w:val="continue"/>
                  <w:vAlign w:val="center"/>
                </w:tcPr>
                <w:p w14:paraId="54C671AE">
                  <w:pPr>
                    <w:pStyle w:val="29"/>
                    <w:rPr>
                      <w:bCs/>
                    </w:rPr>
                  </w:pPr>
                </w:p>
              </w:tc>
              <w:tc>
                <w:tcPr>
                  <w:tcW w:w="399" w:type="pct"/>
                  <w:vMerge w:val="continue"/>
                  <w:vAlign w:val="center"/>
                </w:tcPr>
                <w:p w14:paraId="5C0406A3">
                  <w:pPr>
                    <w:pStyle w:val="29"/>
                    <w:rPr>
                      <w:bCs/>
                    </w:rPr>
                  </w:pPr>
                </w:p>
              </w:tc>
              <w:tc>
                <w:tcPr>
                  <w:tcW w:w="636" w:type="pct"/>
                  <w:vMerge w:val="continue"/>
                  <w:vAlign w:val="center"/>
                </w:tcPr>
                <w:p w14:paraId="217F80AC">
                  <w:pPr>
                    <w:pStyle w:val="29"/>
                    <w:rPr>
                      <w:bCs/>
                    </w:rPr>
                  </w:pPr>
                </w:p>
              </w:tc>
              <w:tc>
                <w:tcPr>
                  <w:tcW w:w="421" w:type="pct"/>
                  <w:vMerge w:val="continue"/>
                  <w:vAlign w:val="center"/>
                </w:tcPr>
                <w:p w14:paraId="0816D567">
                  <w:pPr>
                    <w:pStyle w:val="29"/>
                    <w:rPr>
                      <w:bCs/>
                    </w:rPr>
                  </w:pPr>
                </w:p>
              </w:tc>
              <w:tc>
                <w:tcPr>
                  <w:tcW w:w="390" w:type="pct"/>
                  <w:vMerge w:val="continue"/>
                  <w:vAlign w:val="center"/>
                </w:tcPr>
                <w:p w14:paraId="2FC94875">
                  <w:pPr>
                    <w:pStyle w:val="29"/>
                    <w:rPr>
                      <w:bCs/>
                    </w:rPr>
                  </w:pPr>
                </w:p>
              </w:tc>
              <w:tc>
                <w:tcPr>
                  <w:tcW w:w="460" w:type="pct"/>
                  <w:vAlign w:val="center"/>
                </w:tcPr>
                <w:p w14:paraId="3377F7B7">
                  <w:pPr>
                    <w:pStyle w:val="29"/>
                    <w:rPr>
                      <w:bCs/>
                    </w:rPr>
                  </w:pPr>
                  <w:r>
                    <w:rPr>
                      <w:bCs/>
                    </w:rPr>
                    <w:t>总磷</w:t>
                  </w:r>
                </w:p>
              </w:tc>
              <w:tc>
                <w:tcPr>
                  <w:tcW w:w="521" w:type="pct"/>
                  <w:vAlign w:val="center"/>
                </w:tcPr>
                <w:p w14:paraId="1C66E7EC">
                  <w:pPr>
                    <w:pStyle w:val="29"/>
                    <w:rPr>
                      <w:bCs/>
                    </w:rPr>
                  </w:pPr>
                  <w:r>
                    <w:rPr>
                      <w:bCs/>
                    </w:rPr>
                    <w:t>0.4</w:t>
                  </w:r>
                </w:p>
              </w:tc>
            </w:tr>
            <w:tr w14:paraId="3564CE8E">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283" w:hRule="atLeast"/>
              </w:trPr>
              <w:tc>
                <w:tcPr>
                  <w:tcW w:w="340" w:type="pct"/>
                  <w:vMerge w:val="continue"/>
                  <w:vAlign w:val="center"/>
                </w:tcPr>
                <w:p w14:paraId="3D9DE753">
                  <w:pPr>
                    <w:pStyle w:val="29"/>
                    <w:rPr>
                      <w:bCs/>
                    </w:rPr>
                  </w:pPr>
                </w:p>
              </w:tc>
              <w:tc>
                <w:tcPr>
                  <w:tcW w:w="282" w:type="pct"/>
                  <w:vMerge w:val="continue"/>
                  <w:vAlign w:val="center"/>
                </w:tcPr>
                <w:p w14:paraId="6DC01D76">
                  <w:pPr>
                    <w:pStyle w:val="29"/>
                    <w:rPr>
                      <w:bCs/>
                    </w:rPr>
                  </w:pPr>
                </w:p>
              </w:tc>
              <w:tc>
                <w:tcPr>
                  <w:tcW w:w="516" w:type="pct"/>
                  <w:vMerge w:val="continue"/>
                  <w:vAlign w:val="center"/>
                </w:tcPr>
                <w:p w14:paraId="7E372E8D">
                  <w:pPr>
                    <w:pStyle w:val="29"/>
                    <w:rPr>
                      <w:bCs/>
                    </w:rPr>
                  </w:pPr>
                </w:p>
              </w:tc>
              <w:tc>
                <w:tcPr>
                  <w:tcW w:w="478" w:type="pct"/>
                  <w:vMerge w:val="continue"/>
                  <w:vAlign w:val="center"/>
                </w:tcPr>
                <w:p w14:paraId="2601CCA3">
                  <w:pPr>
                    <w:pStyle w:val="29"/>
                    <w:rPr>
                      <w:bCs/>
                    </w:rPr>
                  </w:pPr>
                </w:p>
              </w:tc>
              <w:tc>
                <w:tcPr>
                  <w:tcW w:w="558" w:type="pct"/>
                  <w:vMerge w:val="continue"/>
                  <w:vAlign w:val="center"/>
                </w:tcPr>
                <w:p w14:paraId="2E1454F8">
                  <w:pPr>
                    <w:pStyle w:val="29"/>
                    <w:rPr>
                      <w:bCs/>
                    </w:rPr>
                  </w:pPr>
                </w:p>
              </w:tc>
              <w:tc>
                <w:tcPr>
                  <w:tcW w:w="399" w:type="pct"/>
                  <w:vMerge w:val="continue"/>
                  <w:vAlign w:val="center"/>
                </w:tcPr>
                <w:p w14:paraId="5D0C7A12">
                  <w:pPr>
                    <w:pStyle w:val="29"/>
                    <w:rPr>
                      <w:bCs/>
                    </w:rPr>
                  </w:pPr>
                </w:p>
              </w:tc>
              <w:tc>
                <w:tcPr>
                  <w:tcW w:w="636" w:type="pct"/>
                  <w:vMerge w:val="continue"/>
                  <w:vAlign w:val="center"/>
                </w:tcPr>
                <w:p w14:paraId="42B3E56C">
                  <w:pPr>
                    <w:pStyle w:val="29"/>
                    <w:rPr>
                      <w:bCs/>
                    </w:rPr>
                  </w:pPr>
                </w:p>
              </w:tc>
              <w:tc>
                <w:tcPr>
                  <w:tcW w:w="421" w:type="pct"/>
                  <w:vMerge w:val="continue"/>
                  <w:vAlign w:val="center"/>
                </w:tcPr>
                <w:p w14:paraId="42DB0BC4">
                  <w:pPr>
                    <w:pStyle w:val="29"/>
                    <w:rPr>
                      <w:bCs/>
                    </w:rPr>
                  </w:pPr>
                </w:p>
              </w:tc>
              <w:tc>
                <w:tcPr>
                  <w:tcW w:w="390" w:type="pct"/>
                  <w:vMerge w:val="continue"/>
                  <w:vAlign w:val="center"/>
                </w:tcPr>
                <w:p w14:paraId="4CCA7BB2">
                  <w:pPr>
                    <w:pStyle w:val="29"/>
                    <w:rPr>
                      <w:bCs/>
                    </w:rPr>
                  </w:pPr>
                </w:p>
              </w:tc>
              <w:tc>
                <w:tcPr>
                  <w:tcW w:w="460" w:type="pct"/>
                  <w:vAlign w:val="center"/>
                </w:tcPr>
                <w:p w14:paraId="0A7534C2">
                  <w:pPr>
                    <w:pStyle w:val="29"/>
                    <w:rPr>
                      <w:bCs/>
                    </w:rPr>
                  </w:pPr>
                  <w:r>
                    <w:rPr>
                      <w:bCs/>
                    </w:rPr>
                    <w:t>总氮</w:t>
                  </w:r>
                </w:p>
              </w:tc>
              <w:tc>
                <w:tcPr>
                  <w:tcW w:w="521" w:type="pct"/>
                  <w:vAlign w:val="center"/>
                </w:tcPr>
                <w:p w14:paraId="4D75A5C1">
                  <w:pPr>
                    <w:pStyle w:val="29"/>
                    <w:rPr>
                      <w:bCs/>
                    </w:rPr>
                  </w:pPr>
                  <w:r>
                    <w:rPr>
                      <w:bCs/>
                    </w:rPr>
                    <w:t>15</w:t>
                  </w:r>
                </w:p>
              </w:tc>
            </w:tr>
          </w:tbl>
          <w:p w14:paraId="120691ED">
            <w:pPr>
              <w:ind w:firstLine="480"/>
              <w:rPr>
                <w:bCs/>
              </w:rPr>
            </w:pPr>
            <w:r>
              <w:rPr>
                <w:rFonts w:hint="eastAsia"/>
                <w:bCs/>
              </w:rPr>
              <w:t>4.</w:t>
            </w:r>
            <w:r>
              <w:rPr>
                <w:rFonts w:hint="eastAsia"/>
              </w:rPr>
              <w:t xml:space="preserve"> </w:t>
            </w:r>
            <w:r>
              <w:rPr>
                <w:rFonts w:hint="eastAsia"/>
                <w:bCs/>
              </w:rPr>
              <w:t>措施可行性及影响分析</w:t>
            </w:r>
          </w:p>
          <w:p w14:paraId="75699F3E">
            <w:pPr>
              <w:ind w:firstLine="480"/>
              <w:rPr>
                <w:bCs/>
                <w:color w:val="0000FF"/>
              </w:rPr>
            </w:pPr>
            <w:r>
              <w:rPr>
                <w:rFonts w:hint="eastAsia"/>
                <w:bCs/>
                <w:color w:val="0000FF"/>
              </w:rPr>
              <w:t>生活污水预处理：化粪池是利用沉淀和厌氧发酵原理去除生活污水中悬浮物质的处理设备。主要分为四步：过滤沉淀-厌氧发酵-固体物分解-粪液排放。首先将污水中比重较大的固体物及寄生虫卵等物沉淀下来，经过初步发酵分解后，虫卵继续下沉，病原体逐渐死亡，粪液得到进一步无害化，粪液继续腐熟后，其中病菌和寄生虫卵已基本杀灭，最终形成已基本无害的粪液作用。根据《排污许可证申请与核发技术规范橡胶和塑料制品工业》（HJ1122-2020）表A.4可知，本项目的生活污水经三级化粪池预处理防治工艺为可行技术。</w:t>
            </w:r>
          </w:p>
          <w:p w14:paraId="2AEC9068">
            <w:pPr>
              <w:ind w:firstLine="480"/>
              <w:rPr>
                <w:bCs/>
                <w:color w:val="0000FF"/>
              </w:rPr>
            </w:pPr>
            <w:r>
              <w:rPr>
                <w:bCs/>
                <w:color w:val="0000FF"/>
              </w:rPr>
              <w:t>污水处理厂：</w:t>
            </w:r>
            <w:r>
              <w:rPr>
                <w:rFonts w:hint="eastAsia"/>
                <w:bCs/>
                <w:color w:val="0000FF"/>
              </w:rPr>
              <w:t>博罗县园洲镇第五污水处理厂于2019年8月建成投入运行，位于惠州市博罗县园洲镇深沥村，设计处理规模为3万t/d，首期设计处理规模为1.5万t/d，采用较为先进的A2/O氧化沟工艺（厌氧/缺氧/好氧活性污泥法）。A2/O氧化沟的技术关键是采用微孔曝气方式，其供氧设备为鼓风机，氧气通过微孔曝气器释放于水中。污水主要处理工艺为：收集污水—粗格栅—进水泵房—细格栅—旋流沉砂池—A2/O氧化沟处理—沉淀池—接触消毒池达标排放—沉淀后的污泥经脱水后泥饼外运。该污水处理厂尾水氨氮和总磷排放浓度执行《地表水环境质量标准》（GB3838-2002）中V类标准限值，其余指标执行《城镇污水处理厂污染物排放标准》（GB18918-2002）一级A标准及广东省地方标准《水污染物排放限值》（DB44/26-2001）第二时段一级标准两者的较严者，排入园洲中心排渠，汇入沙河。</w:t>
            </w:r>
          </w:p>
          <w:p w14:paraId="771FA702">
            <w:pPr>
              <w:ind w:firstLine="480"/>
              <w:rPr>
                <w:bCs/>
                <w:color w:val="0000FF"/>
              </w:rPr>
            </w:pPr>
            <w:r>
              <w:rPr>
                <w:rFonts w:hint="eastAsia"/>
                <w:bCs/>
                <w:color w:val="0000FF"/>
              </w:rPr>
              <w:t>本项目生活污水排放量约1.8t/d，根据建设单位规划设计，项目建成后拟将生活污水经三级化粪池处理后排入市政污水管网，目前博罗县园洲镇第五污水处理厂一期规模（1.5万t/d）剩余处理能力约2000t/d，项目污水排放量约占其剩余处理量的0.09%。说明项目生活污水经预处理后通过市政污水管网排入博罗县园洲镇第五污水处理厂的方案是可行的。</w:t>
            </w:r>
          </w:p>
          <w:p w14:paraId="39D3449B">
            <w:pPr>
              <w:ind w:firstLine="480"/>
              <w:rPr>
                <w:bCs/>
                <w:color w:val="0000FF"/>
              </w:rPr>
            </w:pPr>
            <w:r>
              <w:rPr>
                <w:rFonts w:hint="eastAsia"/>
                <w:bCs/>
                <w:color w:val="0000FF"/>
              </w:rPr>
              <w:t>综上所述，项目生活污水经化粪池预处理后进入博罗县园洲镇第五污水处理</w:t>
            </w:r>
            <w:r>
              <w:rPr>
                <w:bCs/>
                <w:color w:val="0000FF"/>
              </w:rPr>
              <w:t>厂处理后集中排放。项目生活污水的排放满足相应的废水排放要求，对地表水体造成的环境影响不大，其地表水环境影响是可接受的。</w:t>
            </w:r>
          </w:p>
          <w:p w14:paraId="11AAA204">
            <w:pPr>
              <w:ind w:firstLine="480"/>
              <w:rPr>
                <w:bCs/>
              </w:rPr>
            </w:pPr>
            <w:r>
              <w:rPr>
                <w:bCs/>
              </w:rPr>
              <w:t>（三）噪声</w:t>
            </w:r>
          </w:p>
          <w:p w14:paraId="5A161E3C">
            <w:pPr>
              <w:ind w:firstLine="480"/>
              <w:rPr>
                <w:bCs/>
              </w:rPr>
            </w:pPr>
            <w:r>
              <w:rPr>
                <w:bCs/>
              </w:rPr>
              <w:t>1.噪声源强</w:t>
            </w:r>
          </w:p>
          <w:p w14:paraId="1D92D923">
            <w:pPr>
              <w:ind w:firstLine="480"/>
              <w:rPr>
                <w:bCs/>
              </w:rPr>
            </w:pPr>
            <w:r>
              <w:rPr>
                <w:bCs/>
              </w:rPr>
              <w:t>项目运营期间的噪声主要是机械设备的噪声，其噪声源强详见下表。</w:t>
            </w:r>
          </w:p>
          <w:p w14:paraId="25A0D86D">
            <w:pPr>
              <w:pStyle w:val="11"/>
              <w:numPr>
                <w:ilvl w:val="0"/>
                <w:numId w:val="4"/>
              </w:numPr>
              <w:rPr>
                <w:bCs w:val="0"/>
              </w:rPr>
            </w:pPr>
            <w:r>
              <w:rPr>
                <w:bCs w:val="0"/>
              </w:rPr>
              <w:t>表4-12 项目噪声排放情况一览表</w:t>
            </w:r>
          </w:p>
          <w:tbl>
            <w:tblPr>
              <w:tblStyle w:val="21"/>
              <w:tblW w:w="0" w:type="auto"/>
              <w:tblInd w:w="0" w:type="dxa"/>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28" w:type="dxa"/>
                <w:bottom w:w="0" w:type="dxa"/>
                <w:right w:w="28" w:type="dxa"/>
              </w:tblCellMar>
            </w:tblPr>
            <w:tblGrid>
              <w:gridCol w:w="2441"/>
              <w:gridCol w:w="1134"/>
              <w:gridCol w:w="1052"/>
              <w:gridCol w:w="1179"/>
              <w:gridCol w:w="1551"/>
              <w:gridCol w:w="850"/>
              <w:gridCol w:w="815"/>
            </w:tblGrid>
            <w:tr w14:paraId="3576294C">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227" w:hRule="atLeast"/>
              </w:trPr>
              <w:tc>
                <w:tcPr>
                  <w:tcW w:w="2441" w:type="dxa"/>
                  <w:vAlign w:val="center"/>
                </w:tcPr>
                <w:p w14:paraId="269B96BB">
                  <w:pPr>
                    <w:pStyle w:val="29"/>
                    <w:rPr>
                      <w:bCs/>
                    </w:rPr>
                  </w:pPr>
                  <w:r>
                    <w:rPr>
                      <w:bCs/>
                    </w:rPr>
                    <w:t>噪声源强</w:t>
                  </w:r>
                </w:p>
              </w:tc>
              <w:tc>
                <w:tcPr>
                  <w:tcW w:w="1134" w:type="dxa"/>
                  <w:vAlign w:val="center"/>
                </w:tcPr>
                <w:p w14:paraId="39F24233">
                  <w:pPr>
                    <w:pStyle w:val="29"/>
                    <w:rPr>
                      <w:bCs/>
                    </w:rPr>
                  </w:pPr>
                  <w:r>
                    <w:rPr>
                      <w:bCs/>
                    </w:rPr>
                    <w:t>数量（台）</w:t>
                  </w:r>
                </w:p>
              </w:tc>
              <w:tc>
                <w:tcPr>
                  <w:tcW w:w="1052" w:type="dxa"/>
                  <w:vAlign w:val="center"/>
                </w:tcPr>
                <w:p w14:paraId="1DE27632">
                  <w:pPr>
                    <w:pStyle w:val="29"/>
                    <w:rPr>
                      <w:bCs/>
                    </w:rPr>
                  </w:pPr>
                  <w:r>
                    <w:rPr>
                      <w:bCs/>
                    </w:rPr>
                    <w:t>单台源强</w:t>
                  </w:r>
                  <w:r>
                    <w:rPr>
                      <w:rFonts w:hint="eastAsia"/>
                      <w:bCs/>
                    </w:rPr>
                    <w:t>（dB(A)）</w:t>
                  </w:r>
                </w:p>
              </w:tc>
              <w:tc>
                <w:tcPr>
                  <w:tcW w:w="1179" w:type="dxa"/>
                  <w:vAlign w:val="center"/>
                </w:tcPr>
                <w:p w14:paraId="35DDA9D8">
                  <w:pPr>
                    <w:pStyle w:val="29"/>
                    <w:rPr>
                      <w:bCs/>
                    </w:rPr>
                  </w:pPr>
                  <w:r>
                    <w:rPr>
                      <w:bCs/>
                    </w:rPr>
                    <w:t>持续时间（h/d）</w:t>
                  </w:r>
                </w:p>
              </w:tc>
              <w:tc>
                <w:tcPr>
                  <w:tcW w:w="1551" w:type="dxa"/>
                  <w:vAlign w:val="center"/>
                </w:tcPr>
                <w:p w14:paraId="13DD2393">
                  <w:pPr>
                    <w:pStyle w:val="29"/>
                    <w:rPr>
                      <w:bCs/>
                    </w:rPr>
                  </w:pPr>
                  <w:r>
                    <w:rPr>
                      <w:bCs/>
                    </w:rPr>
                    <w:t>声源类型（频发、偶发等）</w:t>
                  </w:r>
                </w:p>
              </w:tc>
              <w:tc>
                <w:tcPr>
                  <w:tcW w:w="850" w:type="dxa"/>
                  <w:vAlign w:val="center"/>
                </w:tcPr>
                <w:p w14:paraId="25AA75DA">
                  <w:pPr>
                    <w:pStyle w:val="29"/>
                    <w:rPr>
                      <w:bCs/>
                    </w:rPr>
                  </w:pPr>
                  <w:r>
                    <w:rPr>
                      <w:bCs/>
                    </w:rPr>
                    <w:t>噪声源位置</w:t>
                  </w:r>
                </w:p>
              </w:tc>
              <w:tc>
                <w:tcPr>
                  <w:tcW w:w="815" w:type="dxa"/>
                  <w:vAlign w:val="center"/>
                </w:tcPr>
                <w:p w14:paraId="1777EF8F">
                  <w:pPr>
                    <w:pStyle w:val="29"/>
                    <w:rPr>
                      <w:bCs/>
                    </w:rPr>
                  </w:pPr>
                  <w:r>
                    <w:rPr>
                      <w:bCs/>
                    </w:rPr>
                    <w:t>降噪措施</w:t>
                  </w:r>
                </w:p>
              </w:tc>
            </w:tr>
            <w:tr w14:paraId="67F735A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227" w:hRule="atLeast"/>
              </w:trPr>
              <w:tc>
                <w:tcPr>
                  <w:tcW w:w="2441" w:type="dxa"/>
                  <w:vAlign w:val="center"/>
                </w:tcPr>
                <w:p w14:paraId="111B1111">
                  <w:pPr>
                    <w:pStyle w:val="29"/>
                    <w:rPr>
                      <w:bCs/>
                    </w:rPr>
                  </w:pPr>
                  <w:r>
                    <w:rPr>
                      <w:bCs/>
                    </w:rPr>
                    <w:t>碎料机</w:t>
                  </w:r>
                </w:p>
              </w:tc>
              <w:tc>
                <w:tcPr>
                  <w:tcW w:w="1134" w:type="dxa"/>
                  <w:vAlign w:val="center"/>
                </w:tcPr>
                <w:p w14:paraId="566A8574">
                  <w:pPr>
                    <w:pStyle w:val="29"/>
                    <w:rPr>
                      <w:bCs/>
                    </w:rPr>
                  </w:pPr>
                  <w:r>
                    <w:rPr>
                      <w:bCs/>
                    </w:rPr>
                    <w:t>6</w:t>
                  </w:r>
                </w:p>
              </w:tc>
              <w:tc>
                <w:tcPr>
                  <w:tcW w:w="1052" w:type="dxa"/>
                  <w:vAlign w:val="center"/>
                </w:tcPr>
                <w:p w14:paraId="4F8E8988">
                  <w:pPr>
                    <w:pStyle w:val="29"/>
                    <w:rPr>
                      <w:bCs/>
                    </w:rPr>
                  </w:pPr>
                  <w:r>
                    <w:rPr>
                      <w:bCs/>
                    </w:rPr>
                    <w:t>80</w:t>
                  </w:r>
                </w:p>
              </w:tc>
              <w:tc>
                <w:tcPr>
                  <w:tcW w:w="1179" w:type="dxa"/>
                  <w:vAlign w:val="center"/>
                </w:tcPr>
                <w:p w14:paraId="34F01C0D">
                  <w:pPr>
                    <w:pStyle w:val="29"/>
                    <w:rPr>
                      <w:bCs/>
                    </w:rPr>
                  </w:pPr>
                  <w:r>
                    <w:rPr>
                      <w:bCs/>
                    </w:rPr>
                    <w:t>16</w:t>
                  </w:r>
                </w:p>
              </w:tc>
              <w:tc>
                <w:tcPr>
                  <w:tcW w:w="1551" w:type="dxa"/>
                  <w:vAlign w:val="center"/>
                </w:tcPr>
                <w:p w14:paraId="2A3F10CE">
                  <w:pPr>
                    <w:pStyle w:val="29"/>
                    <w:rPr>
                      <w:bCs/>
                    </w:rPr>
                  </w:pPr>
                  <w:r>
                    <w:rPr>
                      <w:bCs/>
                    </w:rPr>
                    <w:t>频发</w:t>
                  </w:r>
                </w:p>
              </w:tc>
              <w:tc>
                <w:tcPr>
                  <w:tcW w:w="850" w:type="dxa"/>
                  <w:vMerge w:val="restart"/>
                  <w:vAlign w:val="center"/>
                </w:tcPr>
                <w:p w14:paraId="507485FA">
                  <w:pPr>
                    <w:pStyle w:val="29"/>
                    <w:rPr>
                      <w:bCs/>
                    </w:rPr>
                  </w:pPr>
                  <w:r>
                    <w:rPr>
                      <w:bCs/>
                    </w:rPr>
                    <w:t>一楼生产区</w:t>
                  </w:r>
                </w:p>
              </w:tc>
              <w:tc>
                <w:tcPr>
                  <w:tcW w:w="815" w:type="dxa"/>
                  <w:vMerge w:val="restart"/>
                  <w:vAlign w:val="center"/>
                </w:tcPr>
                <w:p w14:paraId="2144AB2D">
                  <w:pPr>
                    <w:pStyle w:val="29"/>
                    <w:rPr>
                      <w:bCs/>
                    </w:rPr>
                  </w:pPr>
                  <w:r>
                    <w:rPr>
                      <w:bCs/>
                    </w:rPr>
                    <w:t>隔声、减振</w:t>
                  </w:r>
                </w:p>
              </w:tc>
            </w:tr>
            <w:tr w14:paraId="16F1DBD0">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227" w:hRule="atLeast"/>
              </w:trPr>
              <w:tc>
                <w:tcPr>
                  <w:tcW w:w="2441" w:type="dxa"/>
                  <w:vAlign w:val="center"/>
                </w:tcPr>
                <w:p w14:paraId="11D22089">
                  <w:pPr>
                    <w:pStyle w:val="29"/>
                    <w:rPr>
                      <w:bCs/>
                    </w:rPr>
                  </w:pPr>
                  <w:r>
                    <w:rPr>
                      <w:bCs/>
                    </w:rPr>
                    <w:t>注塑机</w:t>
                  </w:r>
                </w:p>
              </w:tc>
              <w:tc>
                <w:tcPr>
                  <w:tcW w:w="1134" w:type="dxa"/>
                  <w:vAlign w:val="center"/>
                </w:tcPr>
                <w:p w14:paraId="4536EB94">
                  <w:pPr>
                    <w:pStyle w:val="29"/>
                    <w:rPr>
                      <w:bCs/>
                    </w:rPr>
                  </w:pPr>
                  <w:r>
                    <w:rPr>
                      <w:bCs/>
                    </w:rPr>
                    <w:t>20</w:t>
                  </w:r>
                </w:p>
              </w:tc>
              <w:tc>
                <w:tcPr>
                  <w:tcW w:w="1052" w:type="dxa"/>
                  <w:vAlign w:val="center"/>
                </w:tcPr>
                <w:p w14:paraId="66F8755D">
                  <w:pPr>
                    <w:pStyle w:val="29"/>
                    <w:rPr>
                      <w:bCs/>
                    </w:rPr>
                  </w:pPr>
                  <w:r>
                    <w:rPr>
                      <w:bCs/>
                    </w:rPr>
                    <w:t>70</w:t>
                  </w:r>
                </w:p>
              </w:tc>
              <w:tc>
                <w:tcPr>
                  <w:tcW w:w="1179" w:type="dxa"/>
                  <w:vAlign w:val="center"/>
                </w:tcPr>
                <w:p w14:paraId="57C0A33B">
                  <w:pPr>
                    <w:pStyle w:val="29"/>
                    <w:rPr>
                      <w:bCs/>
                    </w:rPr>
                  </w:pPr>
                  <w:r>
                    <w:rPr>
                      <w:bCs/>
                    </w:rPr>
                    <w:t>16</w:t>
                  </w:r>
                </w:p>
              </w:tc>
              <w:tc>
                <w:tcPr>
                  <w:tcW w:w="1551" w:type="dxa"/>
                  <w:vAlign w:val="center"/>
                </w:tcPr>
                <w:p w14:paraId="64BB6080">
                  <w:pPr>
                    <w:pStyle w:val="29"/>
                    <w:rPr>
                      <w:bCs/>
                    </w:rPr>
                  </w:pPr>
                  <w:r>
                    <w:rPr>
                      <w:bCs/>
                    </w:rPr>
                    <w:t>频发</w:t>
                  </w:r>
                </w:p>
              </w:tc>
              <w:tc>
                <w:tcPr>
                  <w:tcW w:w="850" w:type="dxa"/>
                  <w:vMerge w:val="continue"/>
                  <w:vAlign w:val="center"/>
                </w:tcPr>
                <w:p w14:paraId="0372080A">
                  <w:pPr>
                    <w:pStyle w:val="29"/>
                    <w:rPr>
                      <w:bCs/>
                    </w:rPr>
                  </w:pPr>
                </w:p>
              </w:tc>
              <w:tc>
                <w:tcPr>
                  <w:tcW w:w="815" w:type="dxa"/>
                  <w:vMerge w:val="continue"/>
                  <w:vAlign w:val="center"/>
                </w:tcPr>
                <w:p w14:paraId="48AB0C92">
                  <w:pPr>
                    <w:pStyle w:val="29"/>
                    <w:rPr>
                      <w:bCs/>
                    </w:rPr>
                  </w:pPr>
                </w:p>
              </w:tc>
            </w:tr>
            <w:tr w14:paraId="3B8F559A">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227" w:hRule="atLeast"/>
              </w:trPr>
              <w:tc>
                <w:tcPr>
                  <w:tcW w:w="2441" w:type="dxa"/>
                  <w:vAlign w:val="center"/>
                </w:tcPr>
                <w:p w14:paraId="578A7F1F">
                  <w:pPr>
                    <w:pStyle w:val="29"/>
                    <w:rPr>
                      <w:bCs/>
                    </w:rPr>
                  </w:pPr>
                  <w:r>
                    <w:rPr>
                      <w:bCs/>
                    </w:rPr>
                    <w:t>混料机</w:t>
                  </w:r>
                </w:p>
              </w:tc>
              <w:tc>
                <w:tcPr>
                  <w:tcW w:w="1134" w:type="dxa"/>
                  <w:vAlign w:val="center"/>
                </w:tcPr>
                <w:p w14:paraId="773BA9D1">
                  <w:pPr>
                    <w:pStyle w:val="29"/>
                    <w:rPr>
                      <w:bCs/>
                    </w:rPr>
                  </w:pPr>
                  <w:r>
                    <w:rPr>
                      <w:bCs/>
                    </w:rPr>
                    <w:t>5</w:t>
                  </w:r>
                </w:p>
              </w:tc>
              <w:tc>
                <w:tcPr>
                  <w:tcW w:w="1052" w:type="dxa"/>
                  <w:vAlign w:val="center"/>
                </w:tcPr>
                <w:p w14:paraId="46EEA3CC">
                  <w:pPr>
                    <w:pStyle w:val="29"/>
                    <w:rPr>
                      <w:bCs/>
                    </w:rPr>
                  </w:pPr>
                  <w:r>
                    <w:rPr>
                      <w:bCs/>
                    </w:rPr>
                    <w:t>65</w:t>
                  </w:r>
                </w:p>
              </w:tc>
              <w:tc>
                <w:tcPr>
                  <w:tcW w:w="1179" w:type="dxa"/>
                  <w:vAlign w:val="center"/>
                </w:tcPr>
                <w:p w14:paraId="656E1BC1">
                  <w:pPr>
                    <w:pStyle w:val="29"/>
                    <w:rPr>
                      <w:bCs/>
                    </w:rPr>
                  </w:pPr>
                  <w:r>
                    <w:rPr>
                      <w:bCs/>
                    </w:rPr>
                    <w:t>16</w:t>
                  </w:r>
                </w:p>
              </w:tc>
              <w:tc>
                <w:tcPr>
                  <w:tcW w:w="1551" w:type="dxa"/>
                  <w:vAlign w:val="center"/>
                </w:tcPr>
                <w:p w14:paraId="4C0EA01A">
                  <w:pPr>
                    <w:pStyle w:val="29"/>
                    <w:rPr>
                      <w:bCs/>
                    </w:rPr>
                  </w:pPr>
                  <w:r>
                    <w:rPr>
                      <w:bCs/>
                    </w:rPr>
                    <w:t>频发</w:t>
                  </w:r>
                </w:p>
              </w:tc>
              <w:tc>
                <w:tcPr>
                  <w:tcW w:w="850" w:type="dxa"/>
                  <w:vMerge w:val="continue"/>
                  <w:vAlign w:val="center"/>
                </w:tcPr>
                <w:p w14:paraId="6820DADD">
                  <w:pPr>
                    <w:pStyle w:val="29"/>
                    <w:rPr>
                      <w:bCs/>
                    </w:rPr>
                  </w:pPr>
                </w:p>
              </w:tc>
              <w:tc>
                <w:tcPr>
                  <w:tcW w:w="815" w:type="dxa"/>
                  <w:vMerge w:val="continue"/>
                  <w:vAlign w:val="center"/>
                </w:tcPr>
                <w:p w14:paraId="4F792CD2">
                  <w:pPr>
                    <w:pStyle w:val="29"/>
                    <w:rPr>
                      <w:bCs/>
                    </w:rPr>
                  </w:pPr>
                </w:p>
              </w:tc>
            </w:tr>
            <w:tr w14:paraId="5A5627F7">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227" w:hRule="atLeast"/>
              </w:trPr>
              <w:tc>
                <w:tcPr>
                  <w:tcW w:w="2441" w:type="dxa"/>
                  <w:vAlign w:val="center"/>
                </w:tcPr>
                <w:p w14:paraId="36E2511D">
                  <w:pPr>
                    <w:pStyle w:val="29"/>
                    <w:rPr>
                      <w:bCs/>
                    </w:rPr>
                  </w:pPr>
                  <w:r>
                    <w:rPr>
                      <w:bCs/>
                    </w:rPr>
                    <w:t>空压机</w:t>
                  </w:r>
                </w:p>
              </w:tc>
              <w:tc>
                <w:tcPr>
                  <w:tcW w:w="1134" w:type="dxa"/>
                  <w:vAlign w:val="center"/>
                </w:tcPr>
                <w:p w14:paraId="234E87C6">
                  <w:pPr>
                    <w:pStyle w:val="29"/>
                    <w:rPr>
                      <w:bCs/>
                    </w:rPr>
                  </w:pPr>
                  <w:r>
                    <w:rPr>
                      <w:bCs/>
                    </w:rPr>
                    <w:t>2</w:t>
                  </w:r>
                </w:p>
              </w:tc>
              <w:tc>
                <w:tcPr>
                  <w:tcW w:w="1052" w:type="dxa"/>
                  <w:vAlign w:val="center"/>
                </w:tcPr>
                <w:p w14:paraId="16BB804A">
                  <w:pPr>
                    <w:pStyle w:val="29"/>
                    <w:rPr>
                      <w:bCs/>
                    </w:rPr>
                  </w:pPr>
                  <w:r>
                    <w:rPr>
                      <w:bCs/>
                    </w:rPr>
                    <w:t>85</w:t>
                  </w:r>
                </w:p>
              </w:tc>
              <w:tc>
                <w:tcPr>
                  <w:tcW w:w="1179" w:type="dxa"/>
                  <w:vAlign w:val="center"/>
                </w:tcPr>
                <w:p w14:paraId="323543B1">
                  <w:pPr>
                    <w:pStyle w:val="29"/>
                    <w:rPr>
                      <w:bCs/>
                    </w:rPr>
                  </w:pPr>
                  <w:r>
                    <w:rPr>
                      <w:bCs/>
                    </w:rPr>
                    <w:t>16</w:t>
                  </w:r>
                </w:p>
              </w:tc>
              <w:tc>
                <w:tcPr>
                  <w:tcW w:w="1551" w:type="dxa"/>
                  <w:vAlign w:val="center"/>
                </w:tcPr>
                <w:p w14:paraId="4072A89B">
                  <w:pPr>
                    <w:pStyle w:val="29"/>
                    <w:rPr>
                      <w:bCs/>
                    </w:rPr>
                  </w:pPr>
                  <w:r>
                    <w:rPr>
                      <w:bCs/>
                    </w:rPr>
                    <w:t>频发</w:t>
                  </w:r>
                </w:p>
              </w:tc>
              <w:tc>
                <w:tcPr>
                  <w:tcW w:w="850" w:type="dxa"/>
                  <w:vMerge w:val="continue"/>
                  <w:vAlign w:val="center"/>
                </w:tcPr>
                <w:p w14:paraId="09BB0AD8">
                  <w:pPr>
                    <w:pStyle w:val="29"/>
                    <w:rPr>
                      <w:bCs/>
                    </w:rPr>
                  </w:pPr>
                </w:p>
              </w:tc>
              <w:tc>
                <w:tcPr>
                  <w:tcW w:w="815" w:type="dxa"/>
                  <w:vMerge w:val="continue"/>
                  <w:vAlign w:val="center"/>
                </w:tcPr>
                <w:p w14:paraId="679BAD59">
                  <w:pPr>
                    <w:pStyle w:val="29"/>
                    <w:rPr>
                      <w:bCs/>
                    </w:rPr>
                  </w:pPr>
                </w:p>
              </w:tc>
            </w:tr>
            <w:tr w14:paraId="5C03E18A">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227" w:hRule="atLeast"/>
              </w:trPr>
              <w:tc>
                <w:tcPr>
                  <w:tcW w:w="2441" w:type="dxa"/>
                  <w:vAlign w:val="center"/>
                </w:tcPr>
                <w:p w14:paraId="4E6504FB">
                  <w:pPr>
                    <w:pStyle w:val="29"/>
                    <w:rPr>
                      <w:bCs/>
                    </w:rPr>
                  </w:pPr>
                  <w:r>
                    <w:rPr>
                      <w:bCs/>
                    </w:rPr>
                    <w:t>小超音波</w:t>
                  </w:r>
                  <w:r>
                    <w:rPr>
                      <w:bCs/>
                      <w:color w:val="EE0000"/>
                    </w:rPr>
                    <w:t>塑料胶合机</w:t>
                  </w:r>
                </w:p>
              </w:tc>
              <w:tc>
                <w:tcPr>
                  <w:tcW w:w="1134" w:type="dxa"/>
                  <w:vAlign w:val="center"/>
                </w:tcPr>
                <w:p w14:paraId="147CEDB9">
                  <w:pPr>
                    <w:pStyle w:val="29"/>
                    <w:rPr>
                      <w:bCs/>
                    </w:rPr>
                  </w:pPr>
                  <w:r>
                    <w:rPr>
                      <w:bCs/>
                    </w:rPr>
                    <w:t>2</w:t>
                  </w:r>
                </w:p>
              </w:tc>
              <w:tc>
                <w:tcPr>
                  <w:tcW w:w="1052" w:type="dxa"/>
                  <w:vAlign w:val="center"/>
                </w:tcPr>
                <w:p w14:paraId="17B89233">
                  <w:pPr>
                    <w:pStyle w:val="29"/>
                    <w:rPr>
                      <w:bCs/>
                    </w:rPr>
                  </w:pPr>
                  <w:r>
                    <w:rPr>
                      <w:bCs/>
                    </w:rPr>
                    <w:t>65</w:t>
                  </w:r>
                </w:p>
              </w:tc>
              <w:tc>
                <w:tcPr>
                  <w:tcW w:w="1179" w:type="dxa"/>
                  <w:vAlign w:val="center"/>
                </w:tcPr>
                <w:p w14:paraId="1ECD66A7">
                  <w:pPr>
                    <w:pStyle w:val="29"/>
                    <w:rPr>
                      <w:bCs/>
                    </w:rPr>
                  </w:pPr>
                  <w:r>
                    <w:rPr>
                      <w:bCs/>
                    </w:rPr>
                    <w:t>16</w:t>
                  </w:r>
                </w:p>
              </w:tc>
              <w:tc>
                <w:tcPr>
                  <w:tcW w:w="1551" w:type="dxa"/>
                  <w:vAlign w:val="center"/>
                </w:tcPr>
                <w:p w14:paraId="48E7CA04">
                  <w:pPr>
                    <w:pStyle w:val="29"/>
                    <w:rPr>
                      <w:bCs/>
                    </w:rPr>
                  </w:pPr>
                  <w:r>
                    <w:rPr>
                      <w:bCs/>
                    </w:rPr>
                    <w:t>频发</w:t>
                  </w:r>
                </w:p>
              </w:tc>
              <w:tc>
                <w:tcPr>
                  <w:tcW w:w="850" w:type="dxa"/>
                  <w:vMerge w:val="continue"/>
                  <w:vAlign w:val="center"/>
                </w:tcPr>
                <w:p w14:paraId="7F3DE1E0">
                  <w:pPr>
                    <w:pStyle w:val="29"/>
                    <w:rPr>
                      <w:bCs/>
                    </w:rPr>
                  </w:pPr>
                </w:p>
              </w:tc>
              <w:tc>
                <w:tcPr>
                  <w:tcW w:w="815" w:type="dxa"/>
                  <w:vMerge w:val="continue"/>
                  <w:vAlign w:val="center"/>
                </w:tcPr>
                <w:p w14:paraId="040F5A32">
                  <w:pPr>
                    <w:pStyle w:val="29"/>
                    <w:rPr>
                      <w:bCs/>
                    </w:rPr>
                  </w:pPr>
                </w:p>
              </w:tc>
            </w:tr>
            <w:tr w14:paraId="058AD953">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227" w:hRule="atLeast"/>
              </w:trPr>
              <w:tc>
                <w:tcPr>
                  <w:tcW w:w="2441" w:type="dxa"/>
                  <w:vAlign w:val="center"/>
                </w:tcPr>
                <w:p w14:paraId="04D3BBFB">
                  <w:pPr>
                    <w:pStyle w:val="29"/>
                    <w:rPr>
                      <w:bCs/>
                    </w:rPr>
                  </w:pPr>
                  <w:r>
                    <w:rPr>
                      <w:bCs/>
                    </w:rPr>
                    <w:t>磨刀机</w:t>
                  </w:r>
                </w:p>
              </w:tc>
              <w:tc>
                <w:tcPr>
                  <w:tcW w:w="1134" w:type="dxa"/>
                  <w:vAlign w:val="center"/>
                </w:tcPr>
                <w:p w14:paraId="49DF4727">
                  <w:pPr>
                    <w:pStyle w:val="29"/>
                    <w:rPr>
                      <w:bCs/>
                    </w:rPr>
                  </w:pPr>
                  <w:r>
                    <w:rPr>
                      <w:bCs/>
                    </w:rPr>
                    <w:t>2</w:t>
                  </w:r>
                </w:p>
              </w:tc>
              <w:tc>
                <w:tcPr>
                  <w:tcW w:w="1052" w:type="dxa"/>
                  <w:vAlign w:val="center"/>
                </w:tcPr>
                <w:p w14:paraId="15B97B23">
                  <w:pPr>
                    <w:pStyle w:val="29"/>
                    <w:rPr>
                      <w:bCs/>
                    </w:rPr>
                  </w:pPr>
                  <w:r>
                    <w:rPr>
                      <w:bCs/>
                    </w:rPr>
                    <w:t>85</w:t>
                  </w:r>
                </w:p>
              </w:tc>
              <w:tc>
                <w:tcPr>
                  <w:tcW w:w="1179" w:type="dxa"/>
                  <w:vAlign w:val="center"/>
                </w:tcPr>
                <w:p w14:paraId="43E92DAB">
                  <w:pPr>
                    <w:pStyle w:val="29"/>
                    <w:rPr>
                      <w:bCs/>
                    </w:rPr>
                  </w:pPr>
                  <w:r>
                    <w:rPr>
                      <w:bCs/>
                    </w:rPr>
                    <w:t>2</w:t>
                  </w:r>
                </w:p>
              </w:tc>
              <w:tc>
                <w:tcPr>
                  <w:tcW w:w="1551" w:type="dxa"/>
                  <w:vAlign w:val="center"/>
                </w:tcPr>
                <w:p w14:paraId="07B5AAA3">
                  <w:pPr>
                    <w:pStyle w:val="29"/>
                    <w:rPr>
                      <w:bCs/>
                    </w:rPr>
                  </w:pPr>
                  <w:r>
                    <w:rPr>
                      <w:bCs/>
                    </w:rPr>
                    <w:t>频发</w:t>
                  </w:r>
                </w:p>
              </w:tc>
              <w:tc>
                <w:tcPr>
                  <w:tcW w:w="850" w:type="dxa"/>
                  <w:vMerge w:val="restart"/>
                  <w:vAlign w:val="center"/>
                </w:tcPr>
                <w:p w14:paraId="5F5FD62D">
                  <w:pPr>
                    <w:pStyle w:val="29"/>
                    <w:rPr>
                      <w:bCs/>
                    </w:rPr>
                  </w:pPr>
                  <w:r>
                    <w:rPr>
                      <w:bCs/>
                    </w:rPr>
                    <w:t>二楼生产区</w:t>
                  </w:r>
                </w:p>
              </w:tc>
              <w:tc>
                <w:tcPr>
                  <w:tcW w:w="815" w:type="dxa"/>
                  <w:vMerge w:val="continue"/>
                  <w:vAlign w:val="center"/>
                </w:tcPr>
                <w:p w14:paraId="7AA86791">
                  <w:pPr>
                    <w:pStyle w:val="29"/>
                    <w:rPr>
                      <w:bCs/>
                    </w:rPr>
                  </w:pPr>
                </w:p>
              </w:tc>
            </w:tr>
            <w:tr w14:paraId="66B34DF0">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227" w:hRule="atLeast"/>
              </w:trPr>
              <w:tc>
                <w:tcPr>
                  <w:tcW w:w="2441" w:type="dxa"/>
                  <w:vAlign w:val="center"/>
                </w:tcPr>
                <w:p w14:paraId="3ABFFD46">
                  <w:pPr>
                    <w:pStyle w:val="29"/>
                    <w:rPr>
                      <w:bCs/>
                    </w:rPr>
                  </w:pPr>
                  <w:r>
                    <w:rPr>
                      <w:bCs/>
                    </w:rPr>
                    <w:t>磨床</w:t>
                  </w:r>
                </w:p>
              </w:tc>
              <w:tc>
                <w:tcPr>
                  <w:tcW w:w="1134" w:type="dxa"/>
                  <w:vAlign w:val="center"/>
                </w:tcPr>
                <w:p w14:paraId="72644224">
                  <w:pPr>
                    <w:pStyle w:val="29"/>
                    <w:rPr>
                      <w:bCs/>
                    </w:rPr>
                  </w:pPr>
                  <w:r>
                    <w:rPr>
                      <w:bCs/>
                    </w:rPr>
                    <w:t>2</w:t>
                  </w:r>
                </w:p>
              </w:tc>
              <w:tc>
                <w:tcPr>
                  <w:tcW w:w="1052" w:type="dxa"/>
                  <w:vAlign w:val="center"/>
                </w:tcPr>
                <w:p w14:paraId="0B4A4582">
                  <w:pPr>
                    <w:pStyle w:val="29"/>
                    <w:rPr>
                      <w:bCs/>
                    </w:rPr>
                  </w:pPr>
                  <w:r>
                    <w:rPr>
                      <w:bCs/>
                    </w:rPr>
                    <w:t>85</w:t>
                  </w:r>
                </w:p>
              </w:tc>
              <w:tc>
                <w:tcPr>
                  <w:tcW w:w="1179" w:type="dxa"/>
                  <w:vAlign w:val="center"/>
                </w:tcPr>
                <w:p w14:paraId="3912FD2E">
                  <w:pPr>
                    <w:pStyle w:val="29"/>
                    <w:rPr>
                      <w:bCs/>
                    </w:rPr>
                  </w:pPr>
                  <w:r>
                    <w:rPr>
                      <w:bCs/>
                    </w:rPr>
                    <w:t>2</w:t>
                  </w:r>
                </w:p>
              </w:tc>
              <w:tc>
                <w:tcPr>
                  <w:tcW w:w="1551" w:type="dxa"/>
                  <w:vAlign w:val="center"/>
                </w:tcPr>
                <w:p w14:paraId="3B594B64">
                  <w:pPr>
                    <w:pStyle w:val="29"/>
                    <w:rPr>
                      <w:bCs/>
                    </w:rPr>
                  </w:pPr>
                  <w:r>
                    <w:rPr>
                      <w:bCs/>
                    </w:rPr>
                    <w:t>频发</w:t>
                  </w:r>
                </w:p>
              </w:tc>
              <w:tc>
                <w:tcPr>
                  <w:tcW w:w="850" w:type="dxa"/>
                  <w:vMerge w:val="continue"/>
                  <w:vAlign w:val="center"/>
                </w:tcPr>
                <w:p w14:paraId="6BAE19E3">
                  <w:pPr>
                    <w:pStyle w:val="29"/>
                    <w:rPr>
                      <w:bCs/>
                    </w:rPr>
                  </w:pPr>
                </w:p>
              </w:tc>
              <w:tc>
                <w:tcPr>
                  <w:tcW w:w="815" w:type="dxa"/>
                  <w:vMerge w:val="continue"/>
                  <w:vAlign w:val="center"/>
                </w:tcPr>
                <w:p w14:paraId="1123FC26">
                  <w:pPr>
                    <w:pStyle w:val="29"/>
                    <w:rPr>
                      <w:bCs/>
                    </w:rPr>
                  </w:pPr>
                </w:p>
              </w:tc>
            </w:tr>
            <w:tr w14:paraId="65684100">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227" w:hRule="atLeast"/>
              </w:trPr>
              <w:tc>
                <w:tcPr>
                  <w:tcW w:w="2441" w:type="dxa"/>
                  <w:vAlign w:val="center"/>
                </w:tcPr>
                <w:p w14:paraId="07C1E920">
                  <w:pPr>
                    <w:pStyle w:val="29"/>
                    <w:rPr>
                      <w:bCs/>
                    </w:rPr>
                  </w:pPr>
                  <w:r>
                    <w:rPr>
                      <w:bCs/>
                    </w:rPr>
                    <w:t>锣床</w:t>
                  </w:r>
                </w:p>
              </w:tc>
              <w:tc>
                <w:tcPr>
                  <w:tcW w:w="1134" w:type="dxa"/>
                  <w:vAlign w:val="center"/>
                </w:tcPr>
                <w:p w14:paraId="35192A8C">
                  <w:pPr>
                    <w:pStyle w:val="29"/>
                    <w:rPr>
                      <w:bCs/>
                    </w:rPr>
                  </w:pPr>
                  <w:r>
                    <w:rPr>
                      <w:bCs/>
                    </w:rPr>
                    <w:t>2</w:t>
                  </w:r>
                </w:p>
              </w:tc>
              <w:tc>
                <w:tcPr>
                  <w:tcW w:w="1052" w:type="dxa"/>
                  <w:vAlign w:val="center"/>
                </w:tcPr>
                <w:p w14:paraId="2181FFFF">
                  <w:pPr>
                    <w:pStyle w:val="29"/>
                    <w:rPr>
                      <w:bCs/>
                    </w:rPr>
                  </w:pPr>
                  <w:r>
                    <w:rPr>
                      <w:bCs/>
                    </w:rPr>
                    <w:t>85</w:t>
                  </w:r>
                </w:p>
              </w:tc>
              <w:tc>
                <w:tcPr>
                  <w:tcW w:w="1179" w:type="dxa"/>
                  <w:vAlign w:val="center"/>
                </w:tcPr>
                <w:p w14:paraId="73E683EA">
                  <w:pPr>
                    <w:pStyle w:val="29"/>
                    <w:rPr>
                      <w:bCs/>
                    </w:rPr>
                  </w:pPr>
                  <w:r>
                    <w:rPr>
                      <w:bCs/>
                    </w:rPr>
                    <w:t>2</w:t>
                  </w:r>
                </w:p>
              </w:tc>
              <w:tc>
                <w:tcPr>
                  <w:tcW w:w="1551" w:type="dxa"/>
                  <w:vAlign w:val="center"/>
                </w:tcPr>
                <w:p w14:paraId="1346A9E3">
                  <w:pPr>
                    <w:pStyle w:val="29"/>
                    <w:rPr>
                      <w:bCs/>
                    </w:rPr>
                  </w:pPr>
                  <w:r>
                    <w:rPr>
                      <w:bCs/>
                    </w:rPr>
                    <w:t>频发</w:t>
                  </w:r>
                </w:p>
              </w:tc>
              <w:tc>
                <w:tcPr>
                  <w:tcW w:w="850" w:type="dxa"/>
                  <w:vMerge w:val="continue"/>
                  <w:vAlign w:val="center"/>
                </w:tcPr>
                <w:p w14:paraId="18F0318C">
                  <w:pPr>
                    <w:pStyle w:val="29"/>
                    <w:rPr>
                      <w:bCs/>
                    </w:rPr>
                  </w:pPr>
                </w:p>
              </w:tc>
              <w:tc>
                <w:tcPr>
                  <w:tcW w:w="815" w:type="dxa"/>
                  <w:vMerge w:val="continue"/>
                  <w:vAlign w:val="center"/>
                </w:tcPr>
                <w:p w14:paraId="51A997A8">
                  <w:pPr>
                    <w:pStyle w:val="29"/>
                    <w:rPr>
                      <w:bCs/>
                    </w:rPr>
                  </w:pPr>
                </w:p>
              </w:tc>
            </w:tr>
            <w:tr w14:paraId="640FEE4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227" w:hRule="atLeast"/>
              </w:trPr>
              <w:tc>
                <w:tcPr>
                  <w:tcW w:w="2441" w:type="dxa"/>
                  <w:vAlign w:val="center"/>
                </w:tcPr>
                <w:p w14:paraId="6B927B42">
                  <w:pPr>
                    <w:pStyle w:val="29"/>
                    <w:rPr>
                      <w:bCs/>
                    </w:rPr>
                  </w:pPr>
                  <w:r>
                    <w:rPr>
                      <w:bCs/>
                      <w:color w:val="0000FF"/>
                    </w:rPr>
                    <w:t>电火花机</w:t>
                  </w:r>
                </w:p>
              </w:tc>
              <w:tc>
                <w:tcPr>
                  <w:tcW w:w="1134" w:type="dxa"/>
                  <w:vAlign w:val="center"/>
                </w:tcPr>
                <w:p w14:paraId="6D8F8025">
                  <w:pPr>
                    <w:pStyle w:val="29"/>
                    <w:rPr>
                      <w:bCs/>
                    </w:rPr>
                  </w:pPr>
                  <w:r>
                    <w:rPr>
                      <w:bCs/>
                    </w:rPr>
                    <w:t>4</w:t>
                  </w:r>
                </w:p>
              </w:tc>
              <w:tc>
                <w:tcPr>
                  <w:tcW w:w="1052" w:type="dxa"/>
                  <w:vAlign w:val="center"/>
                </w:tcPr>
                <w:p w14:paraId="3533FE4F">
                  <w:pPr>
                    <w:pStyle w:val="29"/>
                    <w:rPr>
                      <w:bCs/>
                    </w:rPr>
                  </w:pPr>
                  <w:r>
                    <w:rPr>
                      <w:bCs/>
                    </w:rPr>
                    <w:t>85</w:t>
                  </w:r>
                </w:p>
              </w:tc>
              <w:tc>
                <w:tcPr>
                  <w:tcW w:w="1179" w:type="dxa"/>
                  <w:vAlign w:val="center"/>
                </w:tcPr>
                <w:p w14:paraId="074C8DD2">
                  <w:pPr>
                    <w:pStyle w:val="29"/>
                    <w:rPr>
                      <w:bCs/>
                    </w:rPr>
                  </w:pPr>
                  <w:r>
                    <w:rPr>
                      <w:bCs/>
                    </w:rPr>
                    <w:t>2</w:t>
                  </w:r>
                </w:p>
              </w:tc>
              <w:tc>
                <w:tcPr>
                  <w:tcW w:w="1551" w:type="dxa"/>
                  <w:vAlign w:val="center"/>
                </w:tcPr>
                <w:p w14:paraId="26AFE1B6">
                  <w:pPr>
                    <w:pStyle w:val="29"/>
                    <w:rPr>
                      <w:bCs/>
                    </w:rPr>
                  </w:pPr>
                  <w:r>
                    <w:rPr>
                      <w:bCs/>
                    </w:rPr>
                    <w:t>频发</w:t>
                  </w:r>
                </w:p>
              </w:tc>
              <w:tc>
                <w:tcPr>
                  <w:tcW w:w="850" w:type="dxa"/>
                  <w:vMerge w:val="continue"/>
                  <w:vAlign w:val="center"/>
                </w:tcPr>
                <w:p w14:paraId="4472C1C2">
                  <w:pPr>
                    <w:pStyle w:val="29"/>
                    <w:rPr>
                      <w:bCs/>
                    </w:rPr>
                  </w:pPr>
                </w:p>
              </w:tc>
              <w:tc>
                <w:tcPr>
                  <w:tcW w:w="815" w:type="dxa"/>
                  <w:vMerge w:val="continue"/>
                  <w:vAlign w:val="center"/>
                </w:tcPr>
                <w:p w14:paraId="018003A0">
                  <w:pPr>
                    <w:pStyle w:val="29"/>
                    <w:rPr>
                      <w:bCs/>
                    </w:rPr>
                  </w:pPr>
                </w:p>
              </w:tc>
            </w:tr>
            <w:tr w14:paraId="7F305738">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227" w:hRule="atLeast"/>
              </w:trPr>
              <w:tc>
                <w:tcPr>
                  <w:tcW w:w="2441" w:type="dxa"/>
                  <w:vAlign w:val="center"/>
                </w:tcPr>
                <w:p w14:paraId="36AC64E2">
                  <w:pPr>
                    <w:pStyle w:val="29"/>
                    <w:rPr>
                      <w:bCs/>
                    </w:rPr>
                  </w:pPr>
                  <w:r>
                    <w:rPr>
                      <w:bCs/>
                    </w:rPr>
                    <w:t>焊接机</w:t>
                  </w:r>
                </w:p>
              </w:tc>
              <w:tc>
                <w:tcPr>
                  <w:tcW w:w="1134" w:type="dxa"/>
                  <w:vAlign w:val="center"/>
                </w:tcPr>
                <w:p w14:paraId="0EA6F6D0">
                  <w:pPr>
                    <w:pStyle w:val="29"/>
                    <w:rPr>
                      <w:bCs/>
                    </w:rPr>
                  </w:pPr>
                  <w:r>
                    <w:rPr>
                      <w:bCs/>
                    </w:rPr>
                    <w:t>4</w:t>
                  </w:r>
                </w:p>
              </w:tc>
              <w:tc>
                <w:tcPr>
                  <w:tcW w:w="1052" w:type="dxa"/>
                  <w:vAlign w:val="center"/>
                </w:tcPr>
                <w:p w14:paraId="365752B2">
                  <w:pPr>
                    <w:pStyle w:val="29"/>
                    <w:rPr>
                      <w:bCs/>
                    </w:rPr>
                  </w:pPr>
                  <w:r>
                    <w:rPr>
                      <w:bCs/>
                    </w:rPr>
                    <w:t>85</w:t>
                  </w:r>
                </w:p>
              </w:tc>
              <w:tc>
                <w:tcPr>
                  <w:tcW w:w="1179" w:type="dxa"/>
                  <w:vAlign w:val="center"/>
                </w:tcPr>
                <w:p w14:paraId="4F0C34EE">
                  <w:pPr>
                    <w:pStyle w:val="29"/>
                    <w:rPr>
                      <w:bCs/>
                    </w:rPr>
                  </w:pPr>
                  <w:r>
                    <w:rPr>
                      <w:bCs/>
                    </w:rPr>
                    <w:t>2</w:t>
                  </w:r>
                </w:p>
              </w:tc>
              <w:tc>
                <w:tcPr>
                  <w:tcW w:w="1551" w:type="dxa"/>
                  <w:vAlign w:val="center"/>
                </w:tcPr>
                <w:p w14:paraId="22576621">
                  <w:pPr>
                    <w:pStyle w:val="29"/>
                    <w:rPr>
                      <w:bCs/>
                    </w:rPr>
                  </w:pPr>
                  <w:r>
                    <w:rPr>
                      <w:bCs/>
                    </w:rPr>
                    <w:t>频发</w:t>
                  </w:r>
                </w:p>
              </w:tc>
              <w:tc>
                <w:tcPr>
                  <w:tcW w:w="850" w:type="dxa"/>
                  <w:vMerge w:val="continue"/>
                  <w:vAlign w:val="center"/>
                </w:tcPr>
                <w:p w14:paraId="0DF5C766">
                  <w:pPr>
                    <w:pStyle w:val="29"/>
                    <w:rPr>
                      <w:bCs/>
                    </w:rPr>
                  </w:pPr>
                </w:p>
              </w:tc>
              <w:tc>
                <w:tcPr>
                  <w:tcW w:w="815" w:type="dxa"/>
                  <w:vMerge w:val="continue"/>
                  <w:vAlign w:val="center"/>
                </w:tcPr>
                <w:p w14:paraId="28EF4B81">
                  <w:pPr>
                    <w:pStyle w:val="29"/>
                    <w:rPr>
                      <w:bCs/>
                    </w:rPr>
                  </w:pPr>
                </w:p>
              </w:tc>
            </w:tr>
            <w:tr w14:paraId="4D047900">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227" w:hRule="atLeast"/>
              </w:trPr>
              <w:tc>
                <w:tcPr>
                  <w:tcW w:w="2441" w:type="dxa"/>
                  <w:vAlign w:val="center"/>
                </w:tcPr>
                <w:p w14:paraId="1B3388FE">
                  <w:pPr>
                    <w:pStyle w:val="29"/>
                    <w:rPr>
                      <w:bCs/>
                    </w:rPr>
                  </w:pPr>
                  <w:r>
                    <w:rPr>
                      <w:bCs/>
                    </w:rPr>
                    <w:t>水帘柜</w:t>
                  </w:r>
                </w:p>
              </w:tc>
              <w:tc>
                <w:tcPr>
                  <w:tcW w:w="1134" w:type="dxa"/>
                  <w:vAlign w:val="center"/>
                </w:tcPr>
                <w:p w14:paraId="231B3E2F">
                  <w:pPr>
                    <w:pStyle w:val="29"/>
                    <w:rPr>
                      <w:bCs/>
                    </w:rPr>
                  </w:pPr>
                  <w:r>
                    <w:rPr>
                      <w:bCs/>
                    </w:rPr>
                    <w:t>4</w:t>
                  </w:r>
                </w:p>
              </w:tc>
              <w:tc>
                <w:tcPr>
                  <w:tcW w:w="1052" w:type="dxa"/>
                  <w:vAlign w:val="center"/>
                </w:tcPr>
                <w:p w14:paraId="672D569B">
                  <w:pPr>
                    <w:pStyle w:val="29"/>
                    <w:rPr>
                      <w:bCs/>
                    </w:rPr>
                  </w:pPr>
                  <w:r>
                    <w:rPr>
                      <w:bCs/>
                    </w:rPr>
                    <w:t>80</w:t>
                  </w:r>
                </w:p>
              </w:tc>
              <w:tc>
                <w:tcPr>
                  <w:tcW w:w="1179" w:type="dxa"/>
                  <w:vAlign w:val="center"/>
                </w:tcPr>
                <w:p w14:paraId="3B31FF3A">
                  <w:pPr>
                    <w:pStyle w:val="29"/>
                    <w:rPr>
                      <w:bCs/>
                    </w:rPr>
                  </w:pPr>
                  <w:r>
                    <w:rPr>
                      <w:bCs/>
                    </w:rPr>
                    <w:t>3</w:t>
                  </w:r>
                </w:p>
              </w:tc>
              <w:tc>
                <w:tcPr>
                  <w:tcW w:w="1551" w:type="dxa"/>
                  <w:vAlign w:val="center"/>
                </w:tcPr>
                <w:p w14:paraId="516067BA">
                  <w:pPr>
                    <w:pStyle w:val="29"/>
                    <w:rPr>
                      <w:bCs/>
                    </w:rPr>
                  </w:pPr>
                  <w:r>
                    <w:rPr>
                      <w:bCs/>
                    </w:rPr>
                    <w:t>频发</w:t>
                  </w:r>
                </w:p>
              </w:tc>
              <w:tc>
                <w:tcPr>
                  <w:tcW w:w="850" w:type="dxa"/>
                  <w:vMerge w:val="restart"/>
                  <w:vAlign w:val="center"/>
                </w:tcPr>
                <w:p w14:paraId="7A78283A">
                  <w:pPr>
                    <w:pStyle w:val="29"/>
                    <w:rPr>
                      <w:bCs/>
                    </w:rPr>
                  </w:pPr>
                  <w:r>
                    <w:rPr>
                      <w:bCs/>
                    </w:rPr>
                    <w:t>三楼生产区</w:t>
                  </w:r>
                </w:p>
              </w:tc>
              <w:tc>
                <w:tcPr>
                  <w:tcW w:w="815" w:type="dxa"/>
                  <w:vMerge w:val="continue"/>
                  <w:vAlign w:val="center"/>
                </w:tcPr>
                <w:p w14:paraId="6EAC3B38">
                  <w:pPr>
                    <w:pStyle w:val="29"/>
                    <w:rPr>
                      <w:bCs/>
                    </w:rPr>
                  </w:pPr>
                </w:p>
              </w:tc>
            </w:tr>
            <w:tr w14:paraId="5BD46522">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227" w:hRule="atLeast"/>
              </w:trPr>
              <w:tc>
                <w:tcPr>
                  <w:tcW w:w="2441" w:type="dxa"/>
                  <w:vAlign w:val="center"/>
                </w:tcPr>
                <w:p w14:paraId="3FA2D489">
                  <w:pPr>
                    <w:pStyle w:val="29"/>
                    <w:rPr>
                      <w:bCs/>
                    </w:rPr>
                  </w:pPr>
                  <w:r>
                    <w:rPr>
                      <w:bCs/>
                    </w:rPr>
                    <w:t>隧道炉</w:t>
                  </w:r>
                </w:p>
              </w:tc>
              <w:tc>
                <w:tcPr>
                  <w:tcW w:w="1134" w:type="dxa"/>
                  <w:vAlign w:val="center"/>
                </w:tcPr>
                <w:p w14:paraId="64C055F2">
                  <w:pPr>
                    <w:pStyle w:val="29"/>
                    <w:rPr>
                      <w:bCs/>
                    </w:rPr>
                  </w:pPr>
                  <w:r>
                    <w:rPr>
                      <w:bCs/>
                    </w:rPr>
                    <w:t>2</w:t>
                  </w:r>
                </w:p>
              </w:tc>
              <w:tc>
                <w:tcPr>
                  <w:tcW w:w="1052" w:type="dxa"/>
                  <w:vAlign w:val="center"/>
                </w:tcPr>
                <w:p w14:paraId="41AE1E5F">
                  <w:pPr>
                    <w:pStyle w:val="29"/>
                    <w:rPr>
                      <w:bCs/>
                    </w:rPr>
                  </w:pPr>
                  <w:r>
                    <w:rPr>
                      <w:bCs/>
                    </w:rPr>
                    <w:t>70</w:t>
                  </w:r>
                </w:p>
              </w:tc>
              <w:tc>
                <w:tcPr>
                  <w:tcW w:w="1179" w:type="dxa"/>
                  <w:vAlign w:val="center"/>
                </w:tcPr>
                <w:p w14:paraId="48FA75B4">
                  <w:pPr>
                    <w:pStyle w:val="29"/>
                    <w:rPr>
                      <w:bCs/>
                    </w:rPr>
                  </w:pPr>
                  <w:r>
                    <w:rPr>
                      <w:bCs/>
                    </w:rPr>
                    <w:t>3</w:t>
                  </w:r>
                </w:p>
              </w:tc>
              <w:tc>
                <w:tcPr>
                  <w:tcW w:w="1551" w:type="dxa"/>
                  <w:vAlign w:val="center"/>
                </w:tcPr>
                <w:p w14:paraId="4FD00D35">
                  <w:pPr>
                    <w:pStyle w:val="29"/>
                    <w:rPr>
                      <w:bCs/>
                    </w:rPr>
                  </w:pPr>
                  <w:r>
                    <w:rPr>
                      <w:bCs/>
                    </w:rPr>
                    <w:t>频发</w:t>
                  </w:r>
                </w:p>
              </w:tc>
              <w:tc>
                <w:tcPr>
                  <w:tcW w:w="850" w:type="dxa"/>
                  <w:vMerge w:val="continue"/>
                  <w:vAlign w:val="center"/>
                </w:tcPr>
                <w:p w14:paraId="7B979D44">
                  <w:pPr>
                    <w:pStyle w:val="29"/>
                    <w:rPr>
                      <w:bCs/>
                    </w:rPr>
                  </w:pPr>
                </w:p>
              </w:tc>
              <w:tc>
                <w:tcPr>
                  <w:tcW w:w="815" w:type="dxa"/>
                  <w:vMerge w:val="continue"/>
                  <w:vAlign w:val="center"/>
                </w:tcPr>
                <w:p w14:paraId="027932F1">
                  <w:pPr>
                    <w:pStyle w:val="29"/>
                    <w:rPr>
                      <w:bCs/>
                    </w:rPr>
                  </w:pPr>
                </w:p>
              </w:tc>
            </w:tr>
            <w:tr w14:paraId="6DCD73F5">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227" w:hRule="atLeast"/>
              </w:trPr>
              <w:tc>
                <w:tcPr>
                  <w:tcW w:w="2441" w:type="dxa"/>
                  <w:vAlign w:val="center"/>
                </w:tcPr>
                <w:p w14:paraId="7E38A86F">
                  <w:pPr>
                    <w:pStyle w:val="29"/>
                    <w:rPr>
                      <w:bCs/>
                    </w:rPr>
                  </w:pPr>
                  <w:r>
                    <w:rPr>
                      <w:bCs/>
                    </w:rPr>
                    <w:t>丝印机</w:t>
                  </w:r>
                </w:p>
              </w:tc>
              <w:tc>
                <w:tcPr>
                  <w:tcW w:w="1134" w:type="dxa"/>
                  <w:vAlign w:val="center"/>
                </w:tcPr>
                <w:p w14:paraId="5EA2976B">
                  <w:pPr>
                    <w:pStyle w:val="29"/>
                    <w:rPr>
                      <w:bCs/>
                    </w:rPr>
                  </w:pPr>
                  <w:r>
                    <w:rPr>
                      <w:bCs/>
                    </w:rPr>
                    <w:t>10</w:t>
                  </w:r>
                </w:p>
              </w:tc>
              <w:tc>
                <w:tcPr>
                  <w:tcW w:w="1052" w:type="dxa"/>
                  <w:vAlign w:val="center"/>
                </w:tcPr>
                <w:p w14:paraId="1E97CFB2">
                  <w:pPr>
                    <w:pStyle w:val="29"/>
                    <w:rPr>
                      <w:bCs/>
                    </w:rPr>
                  </w:pPr>
                  <w:r>
                    <w:rPr>
                      <w:bCs/>
                    </w:rPr>
                    <w:t>65</w:t>
                  </w:r>
                </w:p>
              </w:tc>
              <w:tc>
                <w:tcPr>
                  <w:tcW w:w="1179" w:type="dxa"/>
                  <w:vAlign w:val="center"/>
                </w:tcPr>
                <w:p w14:paraId="63AF388A">
                  <w:pPr>
                    <w:pStyle w:val="29"/>
                    <w:rPr>
                      <w:bCs/>
                    </w:rPr>
                  </w:pPr>
                  <w:r>
                    <w:rPr>
                      <w:bCs/>
                    </w:rPr>
                    <w:t>3</w:t>
                  </w:r>
                </w:p>
              </w:tc>
              <w:tc>
                <w:tcPr>
                  <w:tcW w:w="1551" w:type="dxa"/>
                  <w:vAlign w:val="center"/>
                </w:tcPr>
                <w:p w14:paraId="4107A1C0">
                  <w:pPr>
                    <w:pStyle w:val="29"/>
                    <w:rPr>
                      <w:bCs/>
                    </w:rPr>
                  </w:pPr>
                  <w:r>
                    <w:rPr>
                      <w:bCs/>
                    </w:rPr>
                    <w:t>频发</w:t>
                  </w:r>
                </w:p>
              </w:tc>
              <w:tc>
                <w:tcPr>
                  <w:tcW w:w="850" w:type="dxa"/>
                  <w:vMerge w:val="continue"/>
                  <w:vAlign w:val="center"/>
                </w:tcPr>
                <w:p w14:paraId="5CD52488">
                  <w:pPr>
                    <w:pStyle w:val="29"/>
                    <w:rPr>
                      <w:bCs/>
                    </w:rPr>
                  </w:pPr>
                </w:p>
              </w:tc>
              <w:tc>
                <w:tcPr>
                  <w:tcW w:w="815" w:type="dxa"/>
                  <w:vMerge w:val="continue"/>
                  <w:vAlign w:val="center"/>
                </w:tcPr>
                <w:p w14:paraId="77E750D1">
                  <w:pPr>
                    <w:pStyle w:val="29"/>
                    <w:rPr>
                      <w:bCs/>
                    </w:rPr>
                  </w:pPr>
                </w:p>
              </w:tc>
            </w:tr>
            <w:tr w14:paraId="62A50DE3">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227" w:hRule="atLeast"/>
              </w:trPr>
              <w:tc>
                <w:tcPr>
                  <w:tcW w:w="2441" w:type="dxa"/>
                  <w:vAlign w:val="center"/>
                </w:tcPr>
                <w:p w14:paraId="7DE67C68">
                  <w:pPr>
                    <w:pStyle w:val="29"/>
                    <w:rPr>
                      <w:bCs/>
                    </w:rPr>
                  </w:pPr>
                  <w:r>
                    <w:rPr>
                      <w:bCs/>
                    </w:rPr>
                    <w:t>移印机</w:t>
                  </w:r>
                </w:p>
              </w:tc>
              <w:tc>
                <w:tcPr>
                  <w:tcW w:w="1134" w:type="dxa"/>
                  <w:vAlign w:val="center"/>
                </w:tcPr>
                <w:p w14:paraId="0E3F8C1C">
                  <w:pPr>
                    <w:pStyle w:val="29"/>
                    <w:rPr>
                      <w:bCs/>
                    </w:rPr>
                  </w:pPr>
                  <w:r>
                    <w:rPr>
                      <w:bCs/>
                    </w:rPr>
                    <w:t>6</w:t>
                  </w:r>
                </w:p>
              </w:tc>
              <w:tc>
                <w:tcPr>
                  <w:tcW w:w="1052" w:type="dxa"/>
                  <w:vAlign w:val="center"/>
                </w:tcPr>
                <w:p w14:paraId="36EEB80F">
                  <w:pPr>
                    <w:pStyle w:val="29"/>
                    <w:rPr>
                      <w:bCs/>
                    </w:rPr>
                  </w:pPr>
                  <w:r>
                    <w:rPr>
                      <w:bCs/>
                    </w:rPr>
                    <w:t>65</w:t>
                  </w:r>
                </w:p>
              </w:tc>
              <w:tc>
                <w:tcPr>
                  <w:tcW w:w="1179" w:type="dxa"/>
                  <w:vAlign w:val="center"/>
                </w:tcPr>
                <w:p w14:paraId="5E8DC8FE">
                  <w:pPr>
                    <w:pStyle w:val="29"/>
                    <w:rPr>
                      <w:bCs/>
                    </w:rPr>
                  </w:pPr>
                  <w:r>
                    <w:rPr>
                      <w:bCs/>
                    </w:rPr>
                    <w:t>3</w:t>
                  </w:r>
                </w:p>
              </w:tc>
              <w:tc>
                <w:tcPr>
                  <w:tcW w:w="1551" w:type="dxa"/>
                  <w:vAlign w:val="center"/>
                </w:tcPr>
                <w:p w14:paraId="7F17DF87">
                  <w:pPr>
                    <w:pStyle w:val="29"/>
                    <w:rPr>
                      <w:bCs/>
                    </w:rPr>
                  </w:pPr>
                  <w:r>
                    <w:rPr>
                      <w:bCs/>
                    </w:rPr>
                    <w:t>频发</w:t>
                  </w:r>
                </w:p>
              </w:tc>
              <w:tc>
                <w:tcPr>
                  <w:tcW w:w="850" w:type="dxa"/>
                  <w:vMerge w:val="continue"/>
                  <w:vAlign w:val="center"/>
                </w:tcPr>
                <w:p w14:paraId="51E73434">
                  <w:pPr>
                    <w:pStyle w:val="29"/>
                    <w:rPr>
                      <w:bCs/>
                    </w:rPr>
                  </w:pPr>
                </w:p>
              </w:tc>
              <w:tc>
                <w:tcPr>
                  <w:tcW w:w="815" w:type="dxa"/>
                  <w:vMerge w:val="continue"/>
                  <w:vAlign w:val="center"/>
                </w:tcPr>
                <w:p w14:paraId="2DCA99F7">
                  <w:pPr>
                    <w:pStyle w:val="29"/>
                    <w:rPr>
                      <w:bCs/>
                    </w:rPr>
                  </w:pPr>
                </w:p>
              </w:tc>
            </w:tr>
            <w:tr w14:paraId="62C654D9">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227" w:hRule="atLeast"/>
              </w:trPr>
              <w:tc>
                <w:tcPr>
                  <w:tcW w:w="2441" w:type="dxa"/>
                  <w:vAlign w:val="center"/>
                </w:tcPr>
                <w:p w14:paraId="227EDA1C">
                  <w:pPr>
                    <w:pStyle w:val="29"/>
                    <w:rPr>
                      <w:bCs/>
                    </w:rPr>
                  </w:pPr>
                  <w:r>
                    <w:rPr>
                      <w:bCs/>
                    </w:rPr>
                    <w:t>风机</w:t>
                  </w:r>
                </w:p>
              </w:tc>
              <w:tc>
                <w:tcPr>
                  <w:tcW w:w="1134" w:type="dxa"/>
                  <w:vAlign w:val="center"/>
                </w:tcPr>
                <w:p w14:paraId="77821A91">
                  <w:pPr>
                    <w:pStyle w:val="29"/>
                    <w:rPr>
                      <w:bCs/>
                    </w:rPr>
                  </w:pPr>
                  <w:r>
                    <w:rPr>
                      <w:bCs/>
                    </w:rPr>
                    <w:t>1</w:t>
                  </w:r>
                </w:p>
              </w:tc>
              <w:tc>
                <w:tcPr>
                  <w:tcW w:w="1052" w:type="dxa"/>
                  <w:vAlign w:val="center"/>
                </w:tcPr>
                <w:p w14:paraId="554227EF">
                  <w:pPr>
                    <w:pStyle w:val="29"/>
                    <w:rPr>
                      <w:bCs/>
                    </w:rPr>
                  </w:pPr>
                  <w:r>
                    <w:rPr>
                      <w:bCs/>
                    </w:rPr>
                    <w:t>75</w:t>
                  </w:r>
                </w:p>
              </w:tc>
              <w:tc>
                <w:tcPr>
                  <w:tcW w:w="1179" w:type="dxa"/>
                  <w:vAlign w:val="center"/>
                </w:tcPr>
                <w:p w14:paraId="6602CE05">
                  <w:pPr>
                    <w:pStyle w:val="29"/>
                    <w:rPr>
                      <w:bCs/>
                    </w:rPr>
                  </w:pPr>
                  <w:r>
                    <w:rPr>
                      <w:bCs/>
                    </w:rPr>
                    <w:t>16</w:t>
                  </w:r>
                </w:p>
              </w:tc>
              <w:tc>
                <w:tcPr>
                  <w:tcW w:w="1551" w:type="dxa"/>
                  <w:vAlign w:val="center"/>
                </w:tcPr>
                <w:p w14:paraId="14A679A0">
                  <w:pPr>
                    <w:pStyle w:val="29"/>
                    <w:rPr>
                      <w:bCs/>
                    </w:rPr>
                  </w:pPr>
                  <w:r>
                    <w:rPr>
                      <w:bCs/>
                    </w:rPr>
                    <w:t>频发</w:t>
                  </w:r>
                </w:p>
              </w:tc>
              <w:tc>
                <w:tcPr>
                  <w:tcW w:w="850" w:type="dxa"/>
                  <w:vAlign w:val="center"/>
                </w:tcPr>
                <w:p w14:paraId="5194A081">
                  <w:pPr>
                    <w:pStyle w:val="29"/>
                    <w:rPr>
                      <w:bCs/>
                    </w:rPr>
                  </w:pPr>
                  <w:r>
                    <w:rPr>
                      <w:bCs/>
                    </w:rPr>
                    <w:t>厂区外</w:t>
                  </w:r>
                </w:p>
              </w:tc>
              <w:tc>
                <w:tcPr>
                  <w:tcW w:w="815" w:type="dxa"/>
                  <w:vAlign w:val="center"/>
                </w:tcPr>
                <w:p w14:paraId="4DDE433D">
                  <w:pPr>
                    <w:pStyle w:val="29"/>
                    <w:rPr>
                      <w:bCs/>
                    </w:rPr>
                  </w:pPr>
                  <w:r>
                    <w:rPr>
                      <w:bCs/>
                    </w:rPr>
                    <w:t>/</w:t>
                  </w:r>
                </w:p>
              </w:tc>
            </w:tr>
          </w:tbl>
          <w:p w14:paraId="6327B257">
            <w:pPr>
              <w:ind w:firstLine="480"/>
              <w:rPr>
                <w:rFonts w:asciiTheme="majorBidi" w:hAnsiTheme="majorBidi" w:eastAsiaTheme="minorEastAsia" w:cstheme="majorBidi"/>
                <w:bCs/>
                <w:color w:val="000000" w:themeColor="text1"/>
                <w14:textFill>
                  <w14:solidFill>
                    <w14:schemeClr w14:val="tx1"/>
                  </w14:solidFill>
                </w14:textFill>
              </w:rPr>
            </w:pPr>
            <w:r>
              <w:rPr>
                <w:rFonts w:asciiTheme="majorBidi" w:hAnsiTheme="majorBidi" w:eastAsiaTheme="minorEastAsia" w:cstheme="majorBidi"/>
                <w:bCs/>
                <w:color w:val="000000" w:themeColor="text1"/>
                <w14:textFill>
                  <w14:solidFill>
                    <w14:schemeClr w14:val="tx1"/>
                  </w14:solidFill>
                </w14:textFill>
              </w:rPr>
              <w:t>2.噪声源强核算</w:t>
            </w:r>
          </w:p>
          <w:p w14:paraId="6CF43DCA">
            <w:pPr>
              <w:ind w:firstLine="480"/>
              <w:rPr>
                <w:bCs/>
              </w:rPr>
            </w:pPr>
            <w:r>
              <w:rPr>
                <w:bCs/>
              </w:rPr>
              <w:t>根据《环境噪声控制》（作者刘惠玲主编，出版日期：2002年10月第一版）隔振处理降噪效果达5~25dB（A），标准厂房噪声经墙体隔声、距离衰减可降低5～15dB（A），项目隔声、减振降噪值取15dB（A）。</w:t>
            </w:r>
          </w:p>
          <w:p w14:paraId="70F36F8E">
            <w:pPr>
              <w:ind w:firstLine="480"/>
              <w:rPr>
                <w:bCs/>
              </w:rPr>
            </w:pPr>
            <w:r>
              <w:rPr>
                <w:bCs/>
              </w:rPr>
              <w:t>根据《环境影响评价技术导则 声环境》（HJ2.4-2021）中附录A推荐的计算模式：噪声源有室外和室内两种声源，应分别计算。一般来讲，进行环境噪声预测时所使用的噪声源都可按点声源处理。</w:t>
            </w:r>
          </w:p>
          <w:p w14:paraId="460BA07C">
            <w:pPr>
              <w:ind w:firstLine="480"/>
              <w:rPr>
                <w:bCs/>
              </w:rPr>
            </w:pPr>
            <w:r>
              <w:rPr>
                <w:bCs/>
              </w:rPr>
              <w:t>（1）室内声源：</w:t>
            </w:r>
          </w:p>
          <w:p w14:paraId="47187F4D">
            <w:pPr>
              <w:ind w:firstLine="480"/>
              <w:rPr>
                <w:bCs/>
              </w:rPr>
            </w:pPr>
            <w:r>
              <w:rPr>
                <w:rFonts w:ascii="Cambria Math" w:hAnsi="Cambria Math" w:cs="Cambria Math"/>
                <w:bCs/>
              </w:rPr>
              <w:t>①</w:t>
            </w:r>
            <w:r>
              <w:rPr>
                <w:bCs/>
              </w:rPr>
              <w:t>如下图所示，首先计算出某个室内靠近围护结构处的倍频带声压级：</w:t>
            </w:r>
          </w:p>
          <w:p w14:paraId="11D8870A">
            <w:pPr>
              <w:ind w:firstLine="480"/>
              <w:rPr>
                <w:rFonts w:asciiTheme="majorBidi" w:hAnsiTheme="majorBidi" w:eastAsiaTheme="minorEastAsia" w:cstheme="majorBidi"/>
                <w:bCs/>
                <w:color w:val="000000" w:themeColor="text1"/>
                <w14:textFill>
                  <w14:solidFill>
                    <w14:schemeClr w14:val="tx1"/>
                  </w14:solidFill>
                </w14:textFill>
              </w:rPr>
            </w:pPr>
            <w:r>
              <w:rPr>
                <w:rFonts w:asciiTheme="majorBidi" w:hAnsiTheme="majorBidi" w:eastAsiaTheme="minorEastAsia" w:cstheme="majorBidi"/>
                <w:bCs/>
                <w:color w:val="000000" w:themeColor="text1"/>
                <w:position w:val="-24"/>
                <w14:textFill>
                  <w14:solidFill>
                    <w14:schemeClr w14:val="tx1"/>
                  </w14:solidFill>
                </w14:textFill>
              </w:rPr>
              <w:object>
                <v:shape id="_x0000_i1025" o:spt="75" type="#_x0000_t75" style="height:28.05pt;width:136.5pt;" o:ole="t" filled="f" coordsize="21600,21600">
                  <v:path/>
                  <v:fill on="f" focussize="0,0"/>
                  <v:stroke/>
                  <v:imagedata r:id="rId35" o:title=""/>
                  <o:lock v:ext="edit" aspectratio="t"/>
                  <w10:wrap type="none"/>
                  <w10:anchorlock/>
                </v:shape>
                <o:OLEObject Type="Embed" ProgID="Equation.3" ShapeID="_x0000_i1025" DrawAspect="Content" ObjectID="_1468075725" r:id="rId34">
                  <o:LockedField>false</o:LockedField>
                </o:OLEObject>
              </w:object>
            </w:r>
          </w:p>
          <w:p w14:paraId="3AC14AD9">
            <w:pPr>
              <w:ind w:firstLine="480"/>
              <w:rPr>
                <w:bCs/>
              </w:rPr>
            </w:pPr>
            <w:r>
              <w:rPr>
                <w:bCs/>
              </w:rPr>
              <w:t>式中：L</w:t>
            </w:r>
            <w:r>
              <w:rPr>
                <w:bCs/>
                <w:vertAlign w:val="subscript"/>
              </w:rPr>
              <w:t>pl</w:t>
            </w:r>
            <w:r>
              <w:rPr>
                <w:bCs/>
              </w:rPr>
              <w:t>为某个室内声源在靠近围护结构处产生的倍频带声压级，L</w:t>
            </w:r>
            <w:r>
              <w:rPr>
                <w:bCs/>
                <w:vertAlign w:val="subscript"/>
              </w:rPr>
              <w:t>w</w:t>
            </w:r>
            <w:r>
              <w:rPr>
                <w:bCs/>
              </w:rPr>
              <w:t>为某个声源的倍频带声功率级，r为室内某个声源与靠近围护结构处的距离，R为房间常数，Q为方向因子。</w:t>
            </w:r>
          </w:p>
          <w:p w14:paraId="246133DC">
            <w:pPr>
              <w:ind w:firstLine="480"/>
              <w:jc w:val="center"/>
              <w:rPr>
                <w:rFonts w:asciiTheme="majorBidi" w:hAnsiTheme="majorBidi" w:eastAsiaTheme="minorEastAsia" w:cstheme="majorBidi"/>
                <w:bCs/>
                <w:color w:val="000000" w:themeColor="text1"/>
                <w14:textFill>
                  <w14:solidFill>
                    <w14:schemeClr w14:val="tx1"/>
                  </w14:solidFill>
                </w14:textFill>
              </w:rPr>
            </w:pPr>
            <w:r>
              <w:rPr>
                <w:rFonts w:asciiTheme="majorBidi" w:hAnsiTheme="majorBidi" w:eastAsiaTheme="minorEastAsia" w:cstheme="majorBidi"/>
                <w:bCs/>
                <w:color w:val="000000" w:themeColor="text1"/>
                <w14:textFill>
                  <w14:solidFill>
                    <w14:schemeClr w14:val="tx1"/>
                  </w14:solidFill>
                </w14:textFill>
              </w:rPr>
              <w:drawing>
                <wp:inline distT="0" distB="0" distL="0" distR="0">
                  <wp:extent cx="3175635" cy="1504315"/>
                  <wp:effectExtent l="0" t="0" r="0" b="0"/>
                  <wp:docPr id="1600023079" name="图片 1600023079"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00023079" name="图片 1600023079" descr="IMG_256"/>
                          <pic:cNvPicPr>
                            <a:picLocks noChangeAspect="1" noChangeArrowheads="1"/>
                          </pic:cNvPicPr>
                        </pic:nvPicPr>
                        <pic:blipFill>
                          <a:blip r:embed="rId36" cstate="print"/>
                          <a:srcRect l="23399" r="10001"/>
                          <a:stretch>
                            <a:fillRect/>
                          </a:stretch>
                        </pic:blipFill>
                        <pic:spPr>
                          <a:xfrm>
                            <a:off x="0" y="0"/>
                            <a:ext cx="3175635" cy="1504315"/>
                          </a:xfrm>
                          <a:prstGeom prst="rect">
                            <a:avLst/>
                          </a:prstGeom>
                          <a:noFill/>
                          <a:ln>
                            <a:noFill/>
                          </a:ln>
                        </pic:spPr>
                      </pic:pic>
                    </a:graphicData>
                  </a:graphic>
                </wp:inline>
              </w:drawing>
            </w:r>
          </w:p>
          <w:p w14:paraId="400F4E45">
            <w:pPr>
              <w:ind w:firstLine="480"/>
              <w:rPr>
                <w:bCs/>
              </w:rPr>
            </w:pPr>
            <w:r>
              <w:rPr>
                <w:rFonts w:ascii="Cambria Math" w:hAnsi="Cambria Math" w:cs="Cambria Math"/>
                <w:bCs/>
              </w:rPr>
              <w:t>②</w:t>
            </w:r>
            <w:r>
              <w:rPr>
                <w:bCs/>
              </w:rPr>
              <w:t>计算出所有室内声源在靠近围护结构处产生的总倍频带声压级：</w:t>
            </w:r>
          </w:p>
          <w:p w14:paraId="263A949F">
            <w:pPr>
              <w:ind w:firstLine="480"/>
              <w:jc w:val="center"/>
              <w:rPr>
                <w:rFonts w:asciiTheme="majorBidi" w:hAnsiTheme="majorBidi" w:eastAsiaTheme="minorEastAsia" w:cstheme="majorBidi"/>
                <w:bCs/>
                <w:color w:val="000000" w:themeColor="text1"/>
                <w14:textFill>
                  <w14:solidFill>
                    <w14:schemeClr w14:val="tx1"/>
                  </w14:solidFill>
                </w14:textFill>
              </w:rPr>
            </w:pPr>
            <w:r>
              <w:rPr>
                <w:rFonts w:asciiTheme="majorBidi" w:hAnsiTheme="majorBidi" w:eastAsiaTheme="minorEastAsia" w:cstheme="majorBidi"/>
                <w:bCs/>
                <w:color w:val="000000" w:themeColor="text1"/>
                <w:position w:val="-32"/>
                <w14:textFill>
                  <w14:solidFill>
                    <w14:schemeClr w14:val="tx1"/>
                  </w14:solidFill>
                </w14:textFill>
              </w:rPr>
              <w:object>
                <v:shape id="_x0000_i1026" o:spt="75" type="#_x0000_t75" style="height:36.45pt;width:136.5pt;" o:ole="t" filled="f" coordsize="21600,21600">
                  <v:path/>
                  <v:fill on="f" focussize="0,0"/>
                  <v:stroke/>
                  <v:imagedata r:id="rId38" o:title=""/>
                  <o:lock v:ext="edit" aspectratio="t"/>
                  <w10:wrap type="none"/>
                  <w10:anchorlock/>
                </v:shape>
                <o:OLEObject Type="Embed" ProgID="Equation.3" ShapeID="_x0000_i1026" DrawAspect="Content" ObjectID="_1468075726" r:id="rId37">
                  <o:LockedField>false</o:LockedField>
                </o:OLEObject>
              </w:object>
            </w:r>
          </w:p>
          <w:p w14:paraId="30644C4A">
            <w:pPr>
              <w:ind w:firstLine="480"/>
              <w:rPr>
                <w:bCs/>
              </w:rPr>
            </w:pPr>
            <w:r>
              <w:rPr>
                <w:rFonts w:ascii="Cambria Math" w:hAnsi="Cambria Math" w:cs="Cambria Math"/>
                <w:bCs/>
              </w:rPr>
              <w:t>③</w:t>
            </w:r>
            <w:r>
              <w:rPr>
                <w:bCs/>
              </w:rPr>
              <w:t>计算出室外靠近围护结构处的声压级：</w:t>
            </w:r>
          </w:p>
          <w:p w14:paraId="12CF7306">
            <w:pPr>
              <w:ind w:firstLine="480"/>
              <w:jc w:val="center"/>
              <w:rPr>
                <w:rFonts w:asciiTheme="majorBidi" w:hAnsiTheme="majorBidi" w:eastAsiaTheme="minorEastAsia" w:cstheme="majorBidi"/>
                <w:bCs/>
                <w:color w:val="000000" w:themeColor="text1"/>
                <w14:textFill>
                  <w14:solidFill>
                    <w14:schemeClr w14:val="tx1"/>
                  </w14:solidFill>
                </w14:textFill>
              </w:rPr>
            </w:pPr>
            <w:r>
              <w:rPr>
                <w:rFonts w:asciiTheme="majorBidi" w:hAnsiTheme="majorBidi" w:eastAsiaTheme="minorEastAsia" w:cstheme="majorBidi"/>
                <w:bCs/>
                <w:color w:val="000000" w:themeColor="text1"/>
                <w:position w:val="-14"/>
                <w14:textFill>
                  <w14:solidFill>
                    <w14:schemeClr w14:val="tx1"/>
                  </w14:solidFill>
                </w14:textFill>
              </w:rPr>
              <w:object>
                <v:shape id="_x0000_i1027" o:spt="75" type="#_x0000_t75" style="height:20.55pt;width:149.6pt;" o:ole="t" filled="f" coordsize="21600,21600">
                  <v:path/>
                  <v:fill on="f" focussize="0,0"/>
                  <v:stroke/>
                  <v:imagedata r:id="rId40" o:title=""/>
                  <o:lock v:ext="edit" aspectratio="t"/>
                  <w10:wrap type="none"/>
                  <w10:anchorlock/>
                </v:shape>
                <o:OLEObject Type="Embed" ProgID="Equation.3" ShapeID="_x0000_i1027" DrawAspect="Content" ObjectID="_1468075727" r:id="rId39">
                  <o:LockedField>false</o:LockedField>
                </o:OLEObject>
              </w:object>
            </w:r>
          </w:p>
          <w:p w14:paraId="3B7C733D">
            <w:pPr>
              <w:ind w:firstLine="480"/>
              <w:rPr>
                <w:bCs/>
              </w:rPr>
            </w:pPr>
            <w:r>
              <w:rPr>
                <w:rFonts w:ascii="Cambria Math" w:hAnsi="Cambria Math" w:cs="Cambria Math"/>
                <w:bCs/>
              </w:rPr>
              <w:t>④</w:t>
            </w:r>
            <w:r>
              <w:rPr>
                <w:bCs/>
              </w:rPr>
              <w:t>将室外声级和透声面积换算成等效的室外声源，计算出中心位置位于透声（S）处的等效声源的倍频带声功率级：</w:t>
            </w:r>
          </w:p>
          <w:p w14:paraId="305DBEA2">
            <w:pPr>
              <w:ind w:firstLine="480"/>
              <w:jc w:val="center"/>
              <w:rPr>
                <w:rFonts w:asciiTheme="majorBidi" w:hAnsiTheme="majorBidi" w:eastAsiaTheme="minorEastAsia" w:cstheme="majorBidi"/>
                <w:bCs/>
                <w:color w:val="000000" w:themeColor="text1"/>
                <w14:textFill>
                  <w14:solidFill>
                    <w14:schemeClr w14:val="tx1"/>
                  </w14:solidFill>
                </w14:textFill>
              </w:rPr>
            </w:pPr>
            <w:r>
              <w:rPr>
                <w:rFonts w:asciiTheme="majorBidi" w:hAnsiTheme="majorBidi" w:eastAsiaTheme="minorEastAsia" w:cstheme="majorBidi"/>
                <w:bCs/>
                <w:color w:val="000000" w:themeColor="text1"/>
                <w:position w:val="-14"/>
                <w14:textFill>
                  <w14:solidFill>
                    <w14:schemeClr w14:val="tx1"/>
                  </w14:solidFill>
                </w14:textFill>
              </w:rPr>
              <w:object>
                <v:shape id="_x0000_i1028" o:spt="75" type="#_x0000_t75" style="height:20.55pt;width:108.45pt;" o:ole="t" filled="f" coordsize="21600,21600">
                  <v:path/>
                  <v:fill on="f" focussize="0,0"/>
                  <v:stroke/>
                  <v:imagedata r:id="rId42" o:title=""/>
                  <o:lock v:ext="edit" aspectratio="t"/>
                  <w10:wrap type="none"/>
                  <w10:anchorlock/>
                </v:shape>
                <o:OLEObject Type="Embed" ProgID="Equation.3" ShapeID="_x0000_i1028" DrawAspect="Content" ObjectID="_1468075728" r:id="rId41">
                  <o:LockedField>false</o:LockedField>
                </o:OLEObject>
              </w:object>
            </w:r>
          </w:p>
          <w:p w14:paraId="17670DAB">
            <w:pPr>
              <w:ind w:firstLine="480"/>
              <w:jc w:val="center"/>
              <w:rPr>
                <w:rFonts w:asciiTheme="majorBidi" w:hAnsiTheme="majorBidi" w:eastAsiaTheme="minorEastAsia" w:cstheme="majorBidi"/>
                <w:bCs/>
                <w:color w:val="000000" w:themeColor="text1"/>
                <w14:textFill>
                  <w14:solidFill>
                    <w14:schemeClr w14:val="tx1"/>
                  </w14:solidFill>
                </w14:textFill>
              </w:rPr>
            </w:pPr>
            <w:r>
              <w:rPr>
                <w:rFonts w:asciiTheme="majorBidi" w:hAnsiTheme="majorBidi" w:eastAsiaTheme="minorEastAsia" w:cstheme="majorBidi"/>
                <w:bCs/>
                <w:color w:val="000000" w:themeColor="text1"/>
                <w14:textFill>
                  <w14:solidFill>
                    <w14:schemeClr w14:val="tx1"/>
                  </w14:solidFill>
                </w14:textFill>
              </w:rPr>
              <w:t>式中：S为透声面积,m</w:t>
            </w:r>
            <w:r>
              <w:rPr>
                <w:rFonts w:asciiTheme="majorBidi" w:hAnsiTheme="majorBidi" w:eastAsiaTheme="minorEastAsia" w:cstheme="majorBidi"/>
                <w:bCs/>
                <w:color w:val="000000" w:themeColor="text1"/>
                <w:vertAlign w:val="superscript"/>
                <w14:textFill>
                  <w14:solidFill>
                    <w14:schemeClr w14:val="tx1"/>
                  </w14:solidFill>
                </w14:textFill>
              </w:rPr>
              <w:t>2</w:t>
            </w:r>
            <w:r>
              <w:rPr>
                <w:rFonts w:asciiTheme="majorBidi" w:hAnsiTheme="majorBidi" w:eastAsiaTheme="minorEastAsia" w:cstheme="majorBidi"/>
                <w:bCs/>
                <w:color w:val="000000" w:themeColor="text1"/>
                <w14:textFill>
                  <w14:solidFill>
                    <w14:schemeClr w14:val="tx1"/>
                  </w14:solidFill>
                </w14:textFill>
              </w:rPr>
              <w:t>。</w:t>
            </w:r>
          </w:p>
          <w:p w14:paraId="6784112A">
            <w:pPr>
              <w:ind w:firstLine="480"/>
              <w:rPr>
                <w:bCs/>
              </w:rPr>
            </w:pPr>
            <w:r>
              <w:rPr>
                <w:rFonts w:ascii="Cambria Math" w:hAnsi="Cambria Math" w:cs="Cambria Math"/>
                <w:bCs/>
              </w:rPr>
              <w:t>⑤</w:t>
            </w:r>
            <w:r>
              <w:rPr>
                <w:bCs/>
              </w:rPr>
              <w:t>等效室外声源的位置为围护结构的位置，其倍频带声功率级为L</w:t>
            </w:r>
            <w:r>
              <w:rPr>
                <w:bCs/>
                <w:vertAlign w:val="subscript"/>
              </w:rPr>
              <w:t>w</w:t>
            </w:r>
            <w:r>
              <w:rPr>
                <w:bCs/>
              </w:rPr>
              <w:t>，由此按室外声源方法计算等效室外声源在预测点产生的声级。</w:t>
            </w:r>
          </w:p>
          <w:p w14:paraId="5093735D">
            <w:pPr>
              <w:ind w:firstLine="480"/>
              <w:rPr>
                <w:bCs/>
              </w:rPr>
            </w:pPr>
            <w:r>
              <w:rPr>
                <w:bCs/>
              </w:rPr>
              <w:t>（2）室外声源：</w:t>
            </w:r>
          </w:p>
          <w:p w14:paraId="43BDA155">
            <w:pPr>
              <w:ind w:firstLine="480"/>
              <w:rPr>
                <w:bCs/>
              </w:rPr>
            </w:pPr>
            <w:r>
              <w:rPr>
                <w:bCs/>
              </w:rPr>
              <w:t>将室内声源等效为室外声源后，可将声源按点声源处理，且声源多位于地面，可近似认为是半自由场的球面波扩散，仅考虑距离衰减，不考虑地面及空气吸收等因素。预测模式为：</w:t>
            </w:r>
          </w:p>
          <w:p w14:paraId="5CE31EF5">
            <w:pPr>
              <w:ind w:firstLine="480"/>
              <w:jc w:val="center"/>
              <w:rPr>
                <w:rFonts w:asciiTheme="majorBidi" w:hAnsiTheme="majorBidi" w:eastAsiaTheme="minorEastAsia" w:cstheme="majorBidi"/>
                <w:bCs/>
                <w:color w:val="000000" w:themeColor="text1"/>
                <w:position w:val="-14"/>
                <w14:textFill>
                  <w14:solidFill>
                    <w14:schemeClr w14:val="tx1"/>
                  </w14:solidFill>
                </w14:textFill>
              </w:rPr>
            </w:pPr>
            <w:r>
              <w:rPr>
                <w:rFonts w:asciiTheme="majorBidi" w:hAnsiTheme="majorBidi" w:eastAsiaTheme="minorEastAsia" w:cstheme="majorBidi"/>
                <w:bCs/>
                <w:color w:val="000000" w:themeColor="text1"/>
                <w:position w:val="-12"/>
                <w14:textFill>
                  <w14:solidFill>
                    <w14:schemeClr w14:val="tx1"/>
                  </w14:solidFill>
                </w14:textFill>
              </w:rPr>
              <w:object>
                <v:shape id="_x0000_i1029" o:spt="75" type="#_x0000_t75" style="height:20.55pt;width:149.6pt;" o:ole="t" filled="f" coordsize="21600,21600">
                  <v:path/>
                  <v:fill on="f" focussize="0,0"/>
                  <v:stroke/>
                  <v:imagedata r:id="rId44" o:title=""/>
                  <o:lock v:ext="edit" aspectratio="t"/>
                  <w10:wrap type="none"/>
                  <w10:anchorlock/>
                </v:shape>
                <o:OLEObject Type="Embed" ProgID="Equation.3" ShapeID="_x0000_i1029" DrawAspect="Content" ObjectID="_1468075729" r:id="rId43">
                  <o:LockedField>false</o:LockedField>
                </o:OLEObject>
              </w:object>
            </w:r>
          </w:p>
          <w:p w14:paraId="1027781F">
            <w:pPr>
              <w:ind w:firstLine="480"/>
              <w:rPr>
                <w:bCs/>
              </w:rPr>
            </w:pPr>
            <w:r>
              <w:rPr>
                <w:bCs/>
              </w:rPr>
              <w:t>式中：L</w:t>
            </w:r>
            <w:r>
              <w:rPr>
                <w:bCs/>
                <w:vertAlign w:val="subscript"/>
              </w:rPr>
              <w:t>A</w:t>
            </w:r>
            <w:r>
              <w:rPr>
                <w:bCs/>
              </w:rPr>
              <w:t>（r）--距声源r处的A声级，dB（A）；</w:t>
            </w:r>
          </w:p>
          <w:p w14:paraId="5537EBF1">
            <w:pPr>
              <w:ind w:firstLine="480"/>
              <w:rPr>
                <w:bCs/>
              </w:rPr>
            </w:pPr>
            <w:r>
              <w:rPr>
                <w:bCs/>
              </w:rPr>
              <w:t>L</w:t>
            </w:r>
            <w:r>
              <w:rPr>
                <w:bCs/>
                <w:vertAlign w:val="subscript"/>
              </w:rPr>
              <w:t>A</w:t>
            </w:r>
            <w:r>
              <w:rPr>
                <w:bCs/>
              </w:rPr>
              <w:t>（r</w:t>
            </w:r>
            <w:r>
              <w:rPr>
                <w:bCs/>
                <w:vertAlign w:val="subscript"/>
              </w:rPr>
              <w:t>0</w:t>
            </w:r>
            <w:r>
              <w:rPr>
                <w:bCs/>
              </w:rPr>
              <w:t>）--参考位置r</w:t>
            </w:r>
            <w:r>
              <w:rPr>
                <w:bCs/>
                <w:vertAlign w:val="subscript"/>
              </w:rPr>
              <w:t>0</w:t>
            </w:r>
            <w:r>
              <w:rPr>
                <w:bCs/>
              </w:rPr>
              <w:t>处的A声级，dB（A）；</w:t>
            </w:r>
          </w:p>
          <w:p w14:paraId="5D635C9B">
            <w:pPr>
              <w:ind w:firstLine="480"/>
              <w:rPr>
                <w:bCs/>
              </w:rPr>
            </w:pPr>
            <w:r>
              <w:rPr>
                <w:bCs/>
              </w:rPr>
              <w:t>r--预测点距声源的距离，m；</w:t>
            </w:r>
          </w:p>
          <w:p w14:paraId="47E4A144">
            <w:pPr>
              <w:ind w:firstLine="480"/>
              <w:rPr>
                <w:bCs/>
              </w:rPr>
            </w:pPr>
            <w:r>
              <w:rPr>
                <w:bCs/>
              </w:rPr>
              <w:t>r</w:t>
            </w:r>
            <w:r>
              <w:rPr>
                <w:bCs/>
                <w:vertAlign w:val="subscript"/>
              </w:rPr>
              <w:t>0</w:t>
            </w:r>
            <w:r>
              <w:rPr>
                <w:bCs/>
              </w:rPr>
              <w:t>--参考位置距声源的距离，m；</w:t>
            </w:r>
          </w:p>
          <w:p w14:paraId="290B8A51">
            <w:pPr>
              <w:ind w:firstLine="480"/>
              <w:rPr>
                <w:bCs/>
              </w:rPr>
            </w:pPr>
            <w:r>
              <w:rPr>
                <w:bCs/>
              </w:rPr>
              <w:t>ΔLA--因各种因素引起的附加衰减量（包括声屏障、遮挡物、空气吸收、地面效应等引起的衰减量，其计算方法详见</w:t>
            </w:r>
            <w:r>
              <w:rPr>
                <w:rFonts w:ascii="宋体" w:hAnsi="宋体"/>
                <w:bCs/>
              </w:rPr>
              <w:t>“</w:t>
            </w:r>
            <w:r>
              <w:rPr>
                <w:bCs/>
              </w:rPr>
              <w:t>导则</w:t>
            </w:r>
            <w:r>
              <w:rPr>
                <w:rFonts w:ascii="宋体" w:hAnsi="宋体"/>
                <w:bCs/>
              </w:rPr>
              <w:t>”</w:t>
            </w:r>
            <w:r>
              <w:rPr>
                <w:bCs/>
              </w:rPr>
              <w:t>正文）），dB（A）。</w:t>
            </w:r>
          </w:p>
          <w:p w14:paraId="3AC60C62">
            <w:pPr>
              <w:ind w:firstLine="480"/>
              <w:rPr>
                <w:bCs/>
              </w:rPr>
            </w:pPr>
            <w:r>
              <w:rPr>
                <w:bCs/>
              </w:rPr>
              <w:t>如果已知声源的倍频带声功率级L</w:t>
            </w:r>
            <w:r>
              <w:rPr>
                <w:bCs/>
                <w:vertAlign w:val="subscript"/>
              </w:rPr>
              <w:t>AW</w:t>
            </w:r>
            <w:r>
              <w:rPr>
                <w:bCs/>
              </w:rPr>
              <w:t>，且声源可看作是位于地面上的，则：</w:t>
            </w:r>
          </w:p>
          <w:p w14:paraId="5AD5E5F7">
            <w:pPr>
              <w:ind w:firstLine="480"/>
              <w:jc w:val="center"/>
              <w:rPr>
                <w:rFonts w:asciiTheme="majorBidi" w:hAnsiTheme="majorBidi" w:eastAsiaTheme="minorEastAsia" w:cstheme="majorBidi"/>
                <w:bCs/>
                <w:color w:val="000000" w:themeColor="text1"/>
                <w14:textFill>
                  <w14:solidFill>
                    <w14:schemeClr w14:val="tx1"/>
                  </w14:solidFill>
                </w14:textFill>
              </w:rPr>
            </w:pPr>
            <w:r>
              <w:rPr>
                <w:rFonts w:asciiTheme="majorBidi" w:hAnsiTheme="majorBidi" w:eastAsiaTheme="minorEastAsia" w:cstheme="majorBidi"/>
                <w:bCs/>
                <w:color w:val="000000" w:themeColor="text1"/>
                <w:position w:val="-14"/>
                <w14:textFill>
                  <w14:solidFill>
                    <w14:schemeClr w14:val="tx1"/>
                  </w14:solidFill>
                </w14:textFill>
              </w:rPr>
              <w:object>
                <v:shape id="_x0000_i1030" o:spt="75" type="#_x0000_t75" style="height:20.55pt;width:158.95pt;" o:ole="t" filled="f" coordsize="21600,21600">
                  <v:path/>
                  <v:fill on="f" focussize="0,0"/>
                  <v:stroke/>
                  <v:imagedata r:id="rId46" o:title=""/>
                  <o:lock v:ext="edit" aspectratio="t"/>
                  <w10:wrap type="none"/>
                  <w10:anchorlock/>
                </v:shape>
                <o:OLEObject Type="Embed" ProgID="Equation.3" ShapeID="_x0000_i1030" DrawAspect="Content" ObjectID="_1468075730" r:id="rId45">
                  <o:LockedField>false</o:LockedField>
                </o:OLEObject>
              </w:object>
            </w:r>
          </w:p>
          <w:p w14:paraId="5AE410D1">
            <w:pPr>
              <w:ind w:firstLine="480"/>
              <w:rPr>
                <w:bCs/>
              </w:rPr>
            </w:pPr>
            <w:r>
              <w:rPr>
                <w:bCs/>
              </w:rPr>
              <w:t>L</w:t>
            </w:r>
            <w:r>
              <w:rPr>
                <w:bCs/>
                <w:vertAlign w:val="subscript"/>
              </w:rPr>
              <w:t>Aw</w:t>
            </w:r>
            <w:r>
              <w:rPr>
                <w:bCs/>
              </w:rPr>
              <w:t>--室外声源或等效室外声源的A声功率级，dB（A）。</w:t>
            </w:r>
          </w:p>
          <w:p w14:paraId="7A6604D4">
            <w:pPr>
              <w:ind w:firstLine="480"/>
              <w:rPr>
                <w:bCs/>
              </w:rPr>
            </w:pPr>
            <w:r>
              <w:rPr>
                <w:bCs/>
              </w:rPr>
              <w:t>计算总声压级：</w:t>
            </w:r>
          </w:p>
          <w:p w14:paraId="36D4303A">
            <w:pPr>
              <w:ind w:firstLine="480"/>
              <w:rPr>
                <w:bCs/>
              </w:rPr>
            </w:pPr>
            <w:r>
              <w:rPr>
                <w:bCs/>
              </w:rPr>
              <w:t>多声源叠加噪声贡献值：</w:t>
            </w:r>
          </w:p>
          <w:p w14:paraId="054AFA9D">
            <w:pPr>
              <w:ind w:firstLine="480"/>
              <w:jc w:val="center"/>
              <w:rPr>
                <w:rFonts w:asciiTheme="majorBidi" w:hAnsiTheme="majorBidi" w:eastAsiaTheme="minorEastAsia" w:cstheme="majorBidi"/>
                <w:bCs/>
                <w:color w:val="000000" w:themeColor="text1"/>
                <w14:textFill>
                  <w14:solidFill>
                    <w14:schemeClr w14:val="tx1"/>
                  </w14:solidFill>
                </w14:textFill>
              </w:rPr>
            </w:pPr>
            <w:r>
              <w:rPr>
                <w:rFonts w:asciiTheme="majorBidi" w:hAnsiTheme="majorBidi" w:eastAsiaTheme="minorEastAsia" w:cstheme="majorBidi"/>
                <w:bCs/>
                <w:color w:val="000000" w:themeColor="text1"/>
                <w:position w:val="-28"/>
                <w14:textFill>
                  <w14:solidFill>
                    <w14:schemeClr w14:val="tx1"/>
                  </w14:solidFill>
                </w14:textFill>
              </w:rPr>
              <w:object>
                <v:shape id="_x0000_i1031" o:spt="75" type="#_x0000_t75" style="height:36.45pt;width:123.45pt;" o:ole="t" filled="f" coordsize="21600,21600">
                  <v:path/>
                  <v:fill on="f" focussize="0,0"/>
                  <v:stroke/>
                  <v:imagedata r:id="rId48" o:title=""/>
                  <o:lock v:ext="edit" aspectratio="t"/>
                  <w10:wrap type="none"/>
                  <w10:anchorlock/>
                </v:shape>
                <o:OLEObject Type="Embed" ProgID="Equation.3" ShapeID="_x0000_i1031" DrawAspect="Content" ObjectID="_1468075731" r:id="rId47">
                  <o:LockedField>false</o:LockedField>
                </o:OLEObject>
              </w:object>
            </w:r>
          </w:p>
          <w:p w14:paraId="287D0ED6">
            <w:pPr>
              <w:ind w:firstLine="480"/>
              <w:rPr>
                <w:bCs/>
              </w:rPr>
            </w:pPr>
            <w:r>
              <w:rPr>
                <w:bCs/>
              </w:rPr>
              <w:t>式中：L</w:t>
            </w:r>
            <w:r>
              <w:rPr>
                <w:bCs/>
                <w:vertAlign w:val="subscript"/>
              </w:rPr>
              <w:t>eqg</w:t>
            </w:r>
            <w:r>
              <w:rPr>
                <w:bCs/>
              </w:rPr>
              <w:t>--预测点的噪声贡献值，dB（A）；</w:t>
            </w:r>
          </w:p>
          <w:p w14:paraId="60AEEB40">
            <w:pPr>
              <w:ind w:firstLine="480"/>
              <w:rPr>
                <w:bCs/>
              </w:rPr>
            </w:pPr>
            <w:r>
              <w:rPr>
                <w:bCs/>
              </w:rPr>
              <w:t>L</w:t>
            </w:r>
            <w:r>
              <w:rPr>
                <w:bCs/>
                <w:vertAlign w:val="subscript"/>
              </w:rPr>
              <w:t>A,i</w:t>
            </w:r>
            <w:r>
              <w:rPr>
                <w:bCs/>
              </w:rPr>
              <w:t>--第i个声源对预测点的噪声贡献值，dB（A）；</w:t>
            </w:r>
          </w:p>
          <w:p w14:paraId="3183E957">
            <w:pPr>
              <w:ind w:firstLine="480"/>
              <w:rPr>
                <w:bCs/>
              </w:rPr>
            </w:pPr>
            <w:r>
              <w:rPr>
                <w:bCs/>
              </w:rPr>
              <w:t>N--声源个数。</w:t>
            </w:r>
          </w:p>
          <w:p w14:paraId="2C9B8872">
            <w:pPr>
              <w:ind w:firstLine="480"/>
              <w:jc w:val="center"/>
              <w:rPr>
                <w:bCs/>
              </w:rPr>
            </w:pPr>
            <w:r>
              <w:rPr>
                <w:bCs/>
              </w:rPr>
              <w:t>多声源叠加噪声预测值：</w:t>
            </w:r>
          </w:p>
          <w:p w14:paraId="65CE4F15">
            <w:pPr>
              <w:pStyle w:val="29"/>
              <w:rPr>
                <w:bCs/>
              </w:rPr>
            </w:pPr>
            <w:r>
              <w:rPr>
                <w:bCs/>
              </w:rPr>
              <w:object>
                <v:shape id="_x0000_i1032" o:spt="75" type="#_x0000_t75" style="height:20.55pt;width:149.6pt;" o:ole="t" filled="f" coordsize="21600,21600">
                  <v:path/>
                  <v:fill on="f" focussize="0,0"/>
                  <v:stroke/>
                  <v:imagedata r:id="rId50" o:title=""/>
                  <o:lock v:ext="edit" aspectratio="t"/>
                  <w10:wrap type="none"/>
                  <w10:anchorlock/>
                </v:shape>
                <o:OLEObject Type="Embed" ProgID="Equation.3" ShapeID="_x0000_i1032" DrawAspect="Content" ObjectID="_1468075732" r:id="rId49">
                  <o:LockedField>false</o:LockedField>
                </o:OLEObject>
              </w:object>
            </w:r>
          </w:p>
          <w:p w14:paraId="36BCD862">
            <w:pPr>
              <w:ind w:firstLine="480"/>
              <w:rPr>
                <w:bCs/>
              </w:rPr>
            </w:pPr>
            <w:r>
              <w:rPr>
                <w:bCs/>
              </w:rPr>
              <w:t>式中：L</w:t>
            </w:r>
            <w:r>
              <w:rPr>
                <w:bCs/>
                <w:vertAlign w:val="subscript"/>
              </w:rPr>
              <w:t>eq</w:t>
            </w:r>
            <w:r>
              <w:rPr>
                <w:bCs/>
              </w:rPr>
              <w:t>--预测点的噪声预测值，dB（A）；</w:t>
            </w:r>
          </w:p>
          <w:p w14:paraId="05C5F5D5">
            <w:pPr>
              <w:ind w:firstLine="480"/>
              <w:rPr>
                <w:bCs/>
              </w:rPr>
            </w:pPr>
            <w:r>
              <w:rPr>
                <w:bCs/>
              </w:rPr>
              <w:t>L</w:t>
            </w:r>
            <w:r>
              <w:rPr>
                <w:bCs/>
                <w:vertAlign w:val="subscript"/>
              </w:rPr>
              <w:t>eqq</w:t>
            </w:r>
            <w:r>
              <w:rPr>
                <w:bCs/>
              </w:rPr>
              <w:t>--预测点的噪声贡献值，dB（A）；</w:t>
            </w:r>
          </w:p>
          <w:p w14:paraId="167491C5">
            <w:pPr>
              <w:ind w:firstLine="480"/>
              <w:rPr>
                <w:bCs/>
              </w:rPr>
            </w:pPr>
            <w:r>
              <w:rPr>
                <w:bCs/>
              </w:rPr>
              <w:t>L</w:t>
            </w:r>
            <w:r>
              <w:rPr>
                <w:bCs/>
                <w:vertAlign w:val="subscript"/>
              </w:rPr>
              <w:t>eqb</w:t>
            </w:r>
            <w:r>
              <w:rPr>
                <w:bCs/>
              </w:rPr>
              <w:t>--预测点的噪声背景值，dB（A）。</w:t>
            </w:r>
          </w:p>
          <w:p w14:paraId="1108FE8C">
            <w:pPr>
              <w:ind w:firstLine="480"/>
              <w:rPr>
                <w:bCs/>
              </w:rPr>
            </w:pPr>
            <w:r>
              <w:rPr>
                <w:bCs/>
              </w:rPr>
              <w:t>采用上述公式，噪声预测结果见下表和下图。</w:t>
            </w:r>
          </w:p>
          <w:p w14:paraId="7D39BE89">
            <w:pPr>
              <w:pStyle w:val="11"/>
              <w:numPr>
                <w:ilvl w:val="0"/>
                <w:numId w:val="4"/>
              </w:numPr>
              <w:rPr>
                <w:bCs w:val="0"/>
              </w:rPr>
            </w:pPr>
            <w:r>
              <w:rPr>
                <w:bCs w:val="0"/>
              </w:rPr>
              <w:t>表4-13 噪声预测结果一览表  单位：dB（A）</w:t>
            </w:r>
          </w:p>
          <w:tbl>
            <w:tblPr>
              <w:tblStyle w:val="43"/>
              <w:tblW w:w="5000" w:type="pct"/>
              <w:tblInd w:w="0" w:type="dxa"/>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Layout w:type="fixed"/>
              <w:tblCellMar>
                <w:top w:w="0" w:type="dxa"/>
                <w:left w:w="108" w:type="dxa"/>
                <w:bottom w:w="0" w:type="dxa"/>
                <w:right w:w="108" w:type="dxa"/>
              </w:tblCellMar>
            </w:tblPr>
            <w:tblGrid>
              <w:gridCol w:w="2401"/>
              <w:gridCol w:w="2402"/>
              <w:gridCol w:w="2041"/>
              <w:gridCol w:w="2307"/>
              <w:gridCol w:w="92"/>
            </w:tblGrid>
            <w:tr w14:paraId="19C10D42">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gridAfter w:val="1"/>
                <w:wAfter w:w="50" w:type="pct"/>
                <w:trHeight w:val="283" w:hRule="atLeast"/>
              </w:trPr>
              <w:tc>
                <w:tcPr>
                  <w:tcW w:w="1299" w:type="pct"/>
                  <w:vAlign w:val="center"/>
                </w:tcPr>
                <w:p w14:paraId="7CCD8CC1">
                  <w:pPr>
                    <w:pStyle w:val="29"/>
                    <w:rPr>
                      <w:bCs/>
                    </w:rPr>
                  </w:pPr>
                  <w:r>
                    <w:rPr>
                      <w:bCs/>
                    </w:rPr>
                    <w:t>边界</w:t>
                  </w:r>
                </w:p>
              </w:tc>
              <w:tc>
                <w:tcPr>
                  <w:tcW w:w="1299" w:type="pct"/>
                  <w:vAlign w:val="center"/>
                </w:tcPr>
                <w:p w14:paraId="4BCE899C">
                  <w:pPr>
                    <w:pStyle w:val="29"/>
                    <w:rPr>
                      <w:bCs/>
                    </w:rPr>
                  </w:pPr>
                  <w:r>
                    <w:rPr>
                      <w:bCs/>
                    </w:rPr>
                    <w:t>噪声贡献值(昼间)</w:t>
                  </w:r>
                </w:p>
              </w:tc>
              <w:tc>
                <w:tcPr>
                  <w:tcW w:w="1104" w:type="pct"/>
                  <w:vAlign w:val="center"/>
                </w:tcPr>
                <w:p w14:paraId="4CA5578A">
                  <w:pPr>
                    <w:pStyle w:val="29"/>
                    <w:rPr>
                      <w:bCs/>
                    </w:rPr>
                  </w:pPr>
                  <w:r>
                    <w:rPr>
                      <w:bCs/>
                    </w:rPr>
                    <w:t>执行标准</w:t>
                  </w:r>
                </w:p>
              </w:tc>
              <w:tc>
                <w:tcPr>
                  <w:tcW w:w="1248" w:type="pct"/>
                  <w:vAlign w:val="center"/>
                </w:tcPr>
                <w:p w14:paraId="7E1C2B96">
                  <w:pPr>
                    <w:pStyle w:val="29"/>
                    <w:rPr>
                      <w:bCs/>
                    </w:rPr>
                  </w:pPr>
                  <w:r>
                    <w:rPr>
                      <w:bCs/>
                    </w:rPr>
                    <w:t>达标情况</w:t>
                  </w:r>
                </w:p>
              </w:tc>
            </w:tr>
            <w:tr w14:paraId="355269F5">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283" w:hRule="atLeast"/>
              </w:trPr>
              <w:tc>
                <w:tcPr>
                  <w:tcW w:w="1299" w:type="pct"/>
                  <w:vAlign w:val="center"/>
                </w:tcPr>
                <w:p w14:paraId="09DEC7DB">
                  <w:pPr>
                    <w:pStyle w:val="29"/>
                    <w:rPr>
                      <w:bCs/>
                    </w:rPr>
                  </w:pPr>
                  <w:r>
                    <w:rPr>
                      <w:bCs/>
                    </w:rPr>
                    <w:t>东边界</w:t>
                  </w:r>
                </w:p>
              </w:tc>
              <w:tc>
                <w:tcPr>
                  <w:tcW w:w="1299" w:type="pct"/>
                  <w:vAlign w:val="center"/>
                </w:tcPr>
                <w:p w14:paraId="707AE04C">
                  <w:pPr>
                    <w:pStyle w:val="29"/>
                    <w:rPr>
                      <w:bCs/>
                    </w:rPr>
                  </w:pPr>
                  <w:r>
                    <w:rPr>
                      <w:bCs/>
                    </w:rPr>
                    <w:t>58.70</w:t>
                  </w:r>
                </w:p>
              </w:tc>
              <w:tc>
                <w:tcPr>
                  <w:tcW w:w="1104" w:type="pct"/>
                  <w:vMerge w:val="restart"/>
                  <w:vAlign w:val="center"/>
                </w:tcPr>
                <w:p w14:paraId="38C4DD9F">
                  <w:pPr>
                    <w:pStyle w:val="29"/>
                    <w:rPr>
                      <w:bCs/>
                    </w:rPr>
                  </w:pPr>
                  <w:r>
                    <w:rPr>
                      <w:bCs/>
                    </w:rPr>
                    <w:t>昼间≤60dB（A）</w:t>
                  </w:r>
                </w:p>
              </w:tc>
              <w:tc>
                <w:tcPr>
                  <w:tcW w:w="1298" w:type="pct"/>
                  <w:gridSpan w:val="2"/>
                  <w:vAlign w:val="center"/>
                </w:tcPr>
                <w:p w14:paraId="7376F2ED">
                  <w:pPr>
                    <w:pStyle w:val="29"/>
                    <w:rPr>
                      <w:bCs/>
                    </w:rPr>
                  </w:pPr>
                  <w:r>
                    <w:rPr>
                      <w:bCs/>
                    </w:rPr>
                    <w:t>达标</w:t>
                  </w:r>
                </w:p>
              </w:tc>
            </w:tr>
            <w:tr w14:paraId="7B5442FC">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283" w:hRule="atLeast"/>
              </w:trPr>
              <w:tc>
                <w:tcPr>
                  <w:tcW w:w="1299" w:type="pct"/>
                  <w:vAlign w:val="center"/>
                </w:tcPr>
                <w:p w14:paraId="35B79939">
                  <w:pPr>
                    <w:pStyle w:val="29"/>
                    <w:rPr>
                      <w:bCs/>
                    </w:rPr>
                  </w:pPr>
                  <w:r>
                    <w:rPr>
                      <w:bCs/>
                    </w:rPr>
                    <w:t>北边界</w:t>
                  </w:r>
                </w:p>
              </w:tc>
              <w:tc>
                <w:tcPr>
                  <w:tcW w:w="1299" w:type="pct"/>
                  <w:vAlign w:val="center"/>
                </w:tcPr>
                <w:p w14:paraId="7B68C93B">
                  <w:pPr>
                    <w:pStyle w:val="29"/>
                    <w:rPr>
                      <w:bCs/>
                    </w:rPr>
                  </w:pPr>
                  <w:r>
                    <w:rPr>
                      <w:bCs/>
                    </w:rPr>
                    <w:t>59.68</w:t>
                  </w:r>
                </w:p>
              </w:tc>
              <w:tc>
                <w:tcPr>
                  <w:tcW w:w="1104" w:type="pct"/>
                  <w:vMerge w:val="continue"/>
                  <w:vAlign w:val="center"/>
                </w:tcPr>
                <w:p w14:paraId="68784D3C">
                  <w:pPr>
                    <w:pStyle w:val="29"/>
                    <w:rPr>
                      <w:bCs/>
                    </w:rPr>
                  </w:pPr>
                </w:p>
              </w:tc>
              <w:tc>
                <w:tcPr>
                  <w:tcW w:w="1298" w:type="pct"/>
                  <w:gridSpan w:val="2"/>
                  <w:vAlign w:val="center"/>
                </w:tcPr>
                <w:p w14:paraId="6A37D787">
                  <w:pPr>
                    <w:pStyle w:val="29"/>
                    <w:rPr>
                      <w:bCs/>
                    </w:rPr>
                  </w:pPr>
                  <w:r>
                    <w:rPr>
                      <w:bCs/>
                    </w:rPr>
                    <w:t>达标</w:t>
                  </w:r>
                </w:p>
              </w:tc>
            </w:tr>
            <w:tr w14:paraId="22A25B52">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283" w:hRule="atLeast"/>
              </w:trPr>
              <w:tc>
                <w:tcPr>
                  <w:tcW w:w="1299" w:type="pct"/>
                  <w:vAlign w:val="center"/>
                </w:tcPr>
                <w:p w14:paraId="6A9AC1CB">
                  <w:pPr>
                    <w:pStyle w:val="29"/>
                    <w:rPr>
                      <w:bCs/>
                    </w:rPr>
                  </w:pPr>
                  <w:r>
                    <w:rPr>
                      <w:bCs/>
                    </w:rPr>
                    <w:t>南边界</w:t>
                  </w:r>
                </w:p>
              </w:tc>
              <w:tc>
                <w:tcPr>
                  <w:tcW w:w="1299" w:type="pct"/>
                  <w:vAlign w:val="center"/>
                </w:tcPr>
                <w:p w14:paraId="5C877E97">
                  <w:pPr>
                    <w:pStyle w:val="29"/>
                    <w:rPr>
                      <w:bCs/>
                      <w:highlight w:val="yellow"/>
                    </w:rPr>
                  </w:pPr>
                  <w:r>
                    <w:rPr>
                      <w:bCs/>
                    </w:rPr>
                    <w:t>58.02</w:t>
                  </w:r>
                </w:p>
              </w:tc>
              <w:tc>
                <w:tcPr>
                  <w:tcW w:w="1104" w:type="pct"/>
                  <w:vMerge w:val="continue"/>
                  <w:vAlign w:val="center"/>
                </w:tcPr>
                <w:p w14:paraId="6C3B3693">
                  <w:pPr>
                    <w:pStyle w:val="29"/>
                    <w:rPr>
                      <w:bCs/>
                    </w:rPr>
                  </w:pPr>
                </w:p>
              </w:tc>
              <w:tc>
                <w:tcPr>
                  <w:tcW w:w="1298" w:type="pct"/>
                  <w:gridSpan w:val="2"/>
                  <w:vAlign w:val="center"/>
                </w:tcPr>
                <w:p w14:paraId="36A99413">
                  <w:pPr>
                    <w:pStyle w:val="29"/>
                    <w:rPr>
                      <w:bCs/>
                    </w:rPr>
                  </w:pPr>
                  <w:r>
                    <w:rPr>
                      <w:bCs/>
                    </w:rPr>
                    <w:t>达标</w:t>
                  </w:r>
                </w:p>
              </w:tc>
            </w:tr>
            <w:tr w14:paraId="3EC5BD07">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283" w:hRule="atLeast"/>
              </w:trPr>
              <w:tc>
                <w:tcPr>
                  <w:tcW w:w="1299" w:type="pct"/>
                  <w:vAlign w:val="center"/>
                </w:tcPr>
                <w:p w14:paraId="49961807">
                  <w:pPr>
                    <w:pStyle w:val="29"/>
                    <w:rPr>
                      <w:bCs/>
                    </w:rPr>
                  </w:pPr>
                  <w:r>
                    <w:rPr>
                      <w:bCs/>
                    </w:rPr>
                    <w:t>西边界</w:t>
                  </w:r>
                </w:p>
              </w:tc>
              <w:tc>
                <w:tcPr>
                  <w:tcW w:w="1299" w:type="pct"/>
                  <w:vAlign w:val="center"/>
                </w:tcPr>
                <w:p w14:paraId="7F9D5318">
                  <w:pPr>
                    <w:pStyle w:val="29"/>
                    <w:rPr>
                      <w:bCs/>
                      <w:highlight w:val="yellow"/>
                    </w:rPr>
                  </w:pPr>
                  <w:r>
                    <w:rPr>
                      <w:bCs/>
                    </w:rPr>
                    <w:t>58.62</w:t>
                  </w:r>
                </w:p>
              </w:tc>
              <w:tc>
                <w:tcPr>
                  <w:tcW w:w="1104" w:type="pct"/>
                  <w:vMerge w:val="continue"/>
                  <w:vAlign w:val="center"/>
                </w:tcPr>
                <w:p w14:paraId="2DE7C339">
                  <w:pPr>
                    <w:pStyle w:val="29"/>
                    <w:rPr>
                      <w:bCs/>
                    </w:rPr>
                  </w:pPr>
                </w:p>
              </w:tc>
              <w:tc>
                <w:tcPr>
                  <w:tcW w:w="1298" w:type="pct"/>
                  <w:gridSpan w:val="2"/>
                  <w:vAlign w:val="center"/>
                </w:tcPr>
                <w:p w14:paraId="2F392824">
                  <w:pPr>
                    <w:pStyle w:val="29"/>
                    <w:rPr>
                      <w:bCs/>
                    </w:rPr>
                  </w:pPr>
                  <w:r>
                    <w:rPr>
                      <w:bCs/>
                    </w:rPr>
                    <w:t>达标</w:t>
                  </w:r>
                </w:p>
              </w:tc>
            </w:tr>
          </w:tbl>
          <w:p w14:paraId="57F0FCAD">
            <w:pPr>
              <w:pStyle w:val="29"/>
              <w:rPr>
                <w:rFonts w:eastAsiaTheme="minorEastAsia"/>
                <w:bCs/>
              </w:rPr>
            </w:pPr>
            <w:r>
              <w:rPr>
                <w:bCs/>
              </w:rPr>
              <w:drawing>
                <wp:inline distT="0" distB="0" distL="0" distR="0">
                  <wp:extent cx="5730875" cy="3729355"/>
                  <wp:effectExtent l="0" t="0" r="3175" b="4445"/>
                  <wp:docPr id="1262372923"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62372923" name="图片 1"/>
                          <pic:cNvPicPr>
                            <a:picLocks noChangeAspect="1"/>
                          </pic:cNvPicPr>
                        </pic:nvPicPr>
                        <pic:blipFill>
                          <a:blip r:embed="rId51"/>
                          <a:stretch>
                            <a:fillRect/>
                          </a:stretch>
                        </pic:blipFill>
                        <pic:spPr>
                          <a:xfrm>
                            <a:off x="0" y="0"/>
                            <a:ext cx="5739877" cy="3735102"/>
                          </a:xfrm>
                          <a:prstGeom prst="rect">
                            <a:avLst/>
                          </a:prstGeom>
                        </pic:spPr>
                      </pic:pic>
                    </a:graphicData>
                  </a:graphic>
                </wp:inline>
              </w:drawing>
            </w:r>
          </w:p>
          <w:p w14:paraId="377DB219">
            <w:pPr>
              <w:pStyle w:val="11"/>
              <w:rPr>
                <w:bCs w:val="0"/>
              </w:rPr>
            </w:pPr>
            <w:r>
              <w:rPr>
                <w:bCs w:val="0"/>
              </w:rPr>
              <w:t>图4-1项目噪声昼间贡献值预测结果图</w:t>
            </w:r>
          </w:p>
          <w:p w14:paraId="330D58F7">
            <w:pPr>
              <w:ind w:firstLine="480"/>
              <w:rPr>
                <w:rFonts w:asciiTheme="majorBidi" w:hAnsiTheme="majorBidi" w:eastAsiaTheme="minorEastAsia" w:cstheme="majorBidi"/>
                <w:bCs/>
                <w:color w:val="000000" w:themeColor="text1"/>
                <w14:textFill>
                  <w14:solidFill>
                    <w14:schemeClr w14:val="tx1"/>
                  </w14:solidFill>
                </w14:textFill>
              </w:rPr>
            </w:pPr>
            <w:r>
              <w:rPr>
                <w:rFonts w:asciiTheme="majorBidi" w:hAnsiTheme="majorBidi" w:eastAsiaTheme="minorEastAsia" w:cstheme="majorBidi"/>
                <w:bCs/>
                <w:color w:val="000000" w:themeColor="text1"/>
                <w14:textFill>
                  <w14:solidFill>
                    <w14:schemeClr w14:val="tx1"/>
                  </w14:solidFill>
                </w14:textFill>
              </w:rPr>
              <w:t>3.噪声污染治理措施</w:t>
            </w:r>
          </w:p>
          <w:p w14:paraId="42F1881D">
            <w:pPr>
              <w:ind w:firstLine="480"/>
              <w:rPr>
                <w:bCs/>
              </w:rPr>
            </w:pPr>
            <w:r>
              <w:rPr>
                <w:bCs/>
              </w:rPr>
              <w:t>本项目主要生产设备均布置在厂房内部，投入使用后，生产设备噪声源采取减振、消声、墙体隔声等相应的噪声污染治理措施后，其噪声可得到有效控制，加上空间衰减等因素，本项目四周厂界噪声贡献值均符合《工业企业厂界环境噪声排放标准》（GB12348-2008）中2类标准（昼间≤60dB（A））。</w:t>
            </w:r>
          </w:p>
          <w:p w14:paraId="46FFA0D1">
            <w:pPr>
              <w:ind w:firstLine="480"/>
              <w:rPr>
                <w:bCs/>
              </w:rPr>
            </w:pPr>
            <w:r>
              <w:rPr>
                <w:bCs/>
              </w:rPr>
              <w:t>为进一步降低项目设备运行噪声对周围环境的影响，建议采取以下措施：</w:t>
            </w:r>
          </w:p>
          <w:p w14:paraId="57C95B6C">
            <w:pPr>
              <w:ind w:firstLine="480"/>
              <w:rPr>
                <w:bCs/>
              </w:rPr>
            </w:pPr>
            <w:r>
              <w:rPr>
                <w:bCs/>
              </w:rPr>
              <w:t>（1）在设备选型方面，在满足工艺生产的前提下，选用精度高、装配质量好、噪声低的设备；对于某些设备运行时由振动产生的噪声，应对设备基础进行减振，能降低噪声级10-15dB（A）。</w:t>
            </w:r>
          </w:p>
          <w:p w14:paraId="62C534D8">
            <w:pPr>
              <w:ind w:firstLine="480"/>
              <w:rPr>
                <w:bCs/>
              </w:rPr>
            </w:pPr>
            <w:r>
              <w:rPr>
                <w:bCs/>
              </w:rPr>
              <w:t>（2）对高噪声设备进行消音、隔音和减振等措施，如在设备与基础之间安装减振器等。</w:t>
            </w:r>
          </w:p>
          <w:p w14:paraId="428930EA">
            <w:pPr>
              <w:ind w:firstLine="480"/>
              <w:rPr>
                <w:bCs/>
              </w:rPr>
            </w:pPr>
            <w:r>
              <w:rPr>
                <w:bCs/>
              </w:rPr>
              <w:t>（3）加强管理建立设备定期维护、保养的管理制度，以防止设备故障形成的非生产噪声，同时确保环保措施发挥最有效的功能；加强职工环保意识教育，提倡文明生产，防止人为噪声。</w:t>
            </w:r>
          </w:p>
          <w:p w14:paraId="242650CF">
            <w:pPr>
              <w:ind w:firstLine="480"/>
              <w:rPr>
                <w:bCs/>
              </w:rPr>
            </w:pPr>
            <w:r>
              <w:rPr>
                <w:bCs/>
              </w:rPr>
              <w:t>（4）合理安排生产时间，生产时关闭门窗，通过厂房墙体的阻隔和距离的自然衰减降低噪声影响。</w:t>
            </w:r>
          </w:p>
          <w:p w14:paraId="6CF6D9D5">
            <w:pPr>
              <w:ind w:firstLine="480"/>
              <w:rPr>
                <w:rFonts w:asciiTheme="majorBidi" w:hAnsiTheme="majorBidi" w:eastAsiaTheme="minorEastAsia" w:cstheme="majorBidi"/>
                <w:bCs/>
                <w:color w:val="000000" w:themeColor="text1"/>
                <w14:textFill>
                  <w14:solidFill>
                    <w14:schemeClr w14:val="tx1"/>
                  </w14:solidFill>
                </w14:textFill>
              </w:rPr>
            </w:pPr>
            <w:r>
              <w:rPr>
                <w:rFonts w:asciiTheme="majorBidi" w:hAnsiTheme="majorBidi" w:eastAsiaTheme="minorEastAsia" w:cstheme="majorBidi"/>
                <w:bCs/>
                <w:color w:val="000000" w:themeColor="text1"/>
                <w14:textFill>
                  <w14:solidFill>
                    <w14:schemeClr w14:val="tx1"/>
                  </w14:solidFill>
                </w14:textFill>
              </w:rPr>
              <w:t>在采取以上降噪措施后，可确保各厂界达到《工业企业厂界环境噪声排放标准》（GB12348-2008）2类标准要求。在此条件下，项目噪声对周围环境影响不明显。</w:t>
            </w:r>
          </w:p>
          <w:p w14:paraId="550FA8E7">
            <w:pPr>
              <w:ind w:firstLine="480"/>
              <w:rPr>
                <w:rFonts w:asciiTheme="majorBidi" w:hAnsiTheme="majorBidi" w:eastAsiaTheme="minorEastAsia" w:cstheme="majorBidi"/>
                <w:bCs/>
                <w:color w:val="000000" w:themeColor="text1"/>
                <w:kern w:val="2"/>
                <w14:textFill>
                  <w14:solidFill>
                    <w14:schemeClr w14:val="tx1"/>
                  </w14:solidFill>
                </w14:textFill>
              </w:rPr>
            </w:pPr>
            <w:r>
              <w:rPr>
                <w:rFonts w:asciiTheme="majorBidi" w:hAnsiTheme="majorBidi" w:eastAsiaTheme="minorEastAsia" w:cstheme="majorBidi"/>
                <w:bCs/>
                <w:color w:val="000000" w:themeColor="text1"/>
                <w:kern w:val="2"/>
                <w14:textFill>
                  <w14:solidFill>
                    <w14:schemeClr w14:val="tx1"/>
                  </w14:solidFill>
                </w14:textFill>
              </w:rPr>
              <w:t>4.监测计划</w:t>
            </w:r>
          </w:p>
          <w:p w14:paraId="54CF8EBE">
            <w:pPr>
              <w:ind w:firstLine="480"/>
              <w:rPr>
                <w:bCs/>
              </w:rPr>
            </w:pPr>
            <w:r>
              <w:rPr>
                <w:bCs/>
              </w:rPr>
              <w:t>根据《排污单位自行监测技术指南 橡胶和塑料制品》（HJ1207-2021）和《排污许可证申请与核发技术规范 工业噪声》（HJ1301-2023），本项目监测计划详见下表。</w:t>
            </w:r>
          </w:p>
          <w:p w14:paraId="39A3ED49">
            <w:pPr>
              <w:pStyle w:val="11"/>
              <w:numPr>
                <w:ilvl w:val="0"/>
                <w:numId w:val="4"/>
              </w:numPr>
              <w:rPr>
                <w:bCs w:val="0"/>
              </w:rPr>
            </w:pPr>
            <w:r>
              <w:rPr>
                <w:bCs w:val="0"/>
              </w:rPr>
              <w:t>表4-14营运期环境噪声监测计划一览表</w:t>
            </w:r>
          </w:p>
          <w:tbl>
            <w:tblPr>
              <w:tblStyle w:val="43"/>
              <w:tblW w:w="5000" w:type="pct"/>
              <w:tblInd w:w="0" w:type="dxa"/>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Layout w:type="fixed"/>
              <w:tblCellMar>
                <w:top w:w="0" w:type="dxa"/>
                <w:left w:w="108" w:type="dxa"/>
                <w:bottom w:w="0" w:type="dxa"/>
                <w:right w:w="108" w:type="dxa"/>
              </w:tblCellMar>
            </w:tblPr>
            <w:tblGrid>
              <w:gridCol w:w="2310"/>
              <w:gridCol w:w="2310"/>
              <w:gridCol w:w="2311"/>
              <w:gridCol w:w="2311"/>
            </w:tblGrid>
            <w:tr w14:paraId="2BE44115">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340" w:hRule="atLeast"/>
              </w:trPr>
              <w:tc>
                <w:tcPr>
                  <w:tcW w:w="1250" w:type="pct"/>
                  <w:vAlign w:val="center"/>
                </w:tcPr>
                <w:p w14:paraId="60D2D053">
                  <w:pPr>
                    <w:pStyle w:val="29"/>
                    <w:rPr>
                      <w:bCs/>
                    </w:rPr>
                  </w:pPr>
                  <w:r>
                    <w:rPr>
                      <w:bCs/>
                    </w:rPr>
                    <w:t>类别</w:t>
                  </w:r>
                </w:p>
              </w:tc>
              <w:tc>
                <w:tcPr>
                  <w:tcW w:w="1250" w:type="pct"/>
                  <w:vAlign w:val="center"/>
                </w:tcPr>
                <w:p w14:paraId="128EF2F2">
                  <w:pPr>
                    <w:pStyle w:val="29"/>
                    <w:rPr>
                      <w:bCs/>
                    </w:rPr>
                  </w:pPr>
                  <w:r>
                    <w:rPr>
                      <w:bCs/>
                    </w:rPr>
                    <w:t>监测点位</w:t>
                  </w:r>
                </w:p>
              </w:tc>
              <w:tc>
                <w:tcPr>
                  <w:tcW w:w="1250" w:type="pct"/>
                  <w:vAlign w:val="center"/>
                </w:tcPr>
                <w:p w14:paraId="110AEBE2">
                  <w:pPr>
                    <w:pStyle w:val="29"/>
                    <w:rPr>
                      <w:bCs/>
                    </w:rPr>
                  </w:pPr>
                  <w:r>
                    <w:rPr>
                      <w:bCs/>
                    </w:rPr>
                    <w:t>监测因子</w:t>
                  </w:r>
                </w:p>
              </w:tc>
              <w:tc>
                <w:tcPr>
                  <w:tcW w:w="1250" w:type="pct"/>
                  <w:vAlign w:val="center"/>
                </w:tcPr>
                <w:p w14:paraId="6B07F8E4">
                  <w:pPr>
                    <w:pStyle w:val="29"/>
                    <w:rPr>
                      <w:bCs/>
                    </w:rPr>
                  </w:pPr>
                  <w:r>
                    <w:rPr>
                      <w:bCs/>
                    </w:rPr>
                    <w:t>监测频次</w:t>
                  </w:r>
                </w:p>
              </w:tc>
            </w:tr>
            <w:tr w14:paraId="6495EF36">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340" w:hRule="atLeast"/>
              </w:trPr>
              <w:tc>
                <w:tcPr>
                  <w:tcW w:w="1250" w:type="pct"/>
                  <w:vAlign w:val="center"/>
                </w:tcPr>
                <w:p w14:paraId="6EA19F03">
                  <w:pPr>
                    <w:pStyle w:val="29"/>
                    <w:rPr>
                      <w:bCs/>
                    </w:rPr>
                  </w:pPr>
                  <w:r>
                    <w:rPr>
                      <w:bCs/>
                    </w:rPr>
                    <w:t>噪声</w:t>
                  </w:r>
                </w:p>
              </w:tc>
              <w:tc>
                <w:tcPr>
                  <w:tcW w:w="1250" w:type="pct"/>
                  <w:vAlign w:val="center"/>
                </w:tcPr>
                <w:p w14:paraId="495E34DE">
                  <w:pPr>
                    <w:pStyle w:val="29"/>
                    <w:rPr>
                      <w:bCs/>
                    </w:rPr>
                  </w:pPr>
                  <w:r>
                    <w:rPr>
                      <w:bCs/>
                    </w:rPr>
                    <w:t>厂界</w:t>
                  </w:r>
                </w:p>
              </w:tc>
              <w:tc>
                <w:tcPr>
                  <w:tcW w:w="1250" w:type="pct"/>
                  <w:vAlign w:val="center"/>
                </w:tcPr>
                <w:p w14:paraId="3E1F0F60">
                  <w:pPr>
                    <w:pStyle w:val="29"/>
                    <w:rPr>
                      <w:bCs/>
                    </w:rPr>
                  </w:pPr>
                  <w:r>
                    <w:rPr>
                      <w:bCs/>
                    </w:rPr>
                    <w:t>等效声级，最大声级</w:t>
                  </w:r>
                </w:p>
              </w:tc>
              <w:tc>
                <w:tcPr>
                  <w:tcW w:w="1250" w:type="pct"/>
                  <w:vAlign w:val="center"/>
                </w:tcPr>
                <w:p w14:paraId="489DB0D6">
                  <w:pPr>
                    <w:pStyle w:val="29"/>
                    <w:rPr>
                      <w:bCs/>
                    </w:rPr>
                  </w:pPr>
                  <w:r>
                    <w:rPr>
                      <w:bCs/>
                    </w:rPr>
                    <w:t>1次/季度</w:t>
                  </w:r>
                </w:p>
              </w:tc>
            </w:tr>
          </w:tbl>
          <w:p w14:paraId="66851AF9">
            <w:pPr>
              <w:ind w:firstLine="480"/>
              <w:rPr>
                <w:rFonts w:asciiTheme="majorBidi" w:hAnsiTheme="majorBidi" w:eastAsiaTheme="minorEastAsia" w:cstheme="majorBidi"/>
                <w:bCs/>
                <w:color w:val="000000" w:themeColor="text1"/>
                <w:kern w:val="2"/>
                <w14:textFill>
                  <w14:solidFill>
                    <w14:schemeClr w14:val="tx1"/>
                  </w14:solidFill>
                </w14:textFill>
              </w:rPr>
            </w:pPr>
            <w:r>
              <w:rPr>
                <w:rFonts w:asciiTheme="majorBidi" w:hAnsiTheme="majorBidi" w:eastAsiaTheme="minorEastAsia" w:cstheme="majorBidi"/>
                <w:bCs/>
                <w:color w:val="000000" w:themeColor="text1"/>
                <w:kern w:val="2"/>
                <w14:textFill>
                  <w14:solidFill>
                    <w14:schemeClr w14:val="tx1"/>
                  </w14:solidFill>
                </w14:textFill>
              </w:rPr>
              <w:t>5.厂界和环境保护目标达标情况分析</w:t>
            </w:r>
          </w:p>
          <w:p w14:paraId="4A2C4DDE">
            <w:pPr>
              <w:ind w:firstLine="480"/>
              <w:rPr>
                <w:bCs/>
              </w:rPr>
            </w:pPr>
            <w:r>
              <w:rPr>
                <w:bCs/>
              </w:rPr>
              <w:t>本项目厂界50m范围内无声环境保护目标。项目噪声源经以上防护措施及墙体隔声和距离的自然衰减后，项目四周厂界噪声排放均满足《工业企业厂界环境噪声排放标准》（GB12348-2008）中2类标准要求，不会对周围声环境造成明显影响。</w:t>
            </w:r>
          </w:p>
          <w:p w14:paraId="2EBFAED8">
            <w:pPr>
              <w:ind w:firstLine="480"/>
              <w:rPr>
                <w:rFonts w:asciiTheme="majorBidi" w:hAnsiTheme="majorBidi" w:eastAsiaTheme="minorEastAsia" w:cstheme="majorBidi"/>
                <w:bCs/>
                <w:color w:val="000000" w:themeColor="text1"/>
                <w:kern w:val="2"/>
                <w14:textFill>
                  <w14:solidFill>
                    <w14:schemeClr w14:val="tx1"/>
                  </w14:solidFill>
                </w14:textFill>
              </w:rPr>
            </w:pPr>
            <w:r>
              <w:rPr>
                <w:rFonts w:asciiTheme="majorBidi" w:hAnsiTheme="majorBidi" w:eastAsiaTheme="minorEastAsia" w:cstheme="majorBidi"/>
                <w:bCs/>
                <w:color w:val="000000" w:themeColor="text1"/>
                <w:kern w:val="2"/>
                <w14:textFill>
                  <w14:solidFill>
                    <w14:schemeClr w14:val="tx1"/>
                  </w14:solidFill>
                </w14:textFill>
              </w:rPr>
              <w:t>（四）固体废物</w:t>
            </w:r>
          </w:p>
          <w:p w14:paraId="0AA35EBA">
            <w:pPr>
              <w:ind w:firstLine="480"/>
              <w:rPr>
                <w:rFonts w:asciiTheme="majorBidi" w:hAnsiTheme="majorBidi" w:eastAsiaTheme="minorEastAsia" w:cstheme="majorBidi"/>
                <w:bCs/>
                <w:color w:val="000000" w:themeColor="text1"/>
                <w:kern w:val="2"/>
                <w14:textFill>
                  <w14:solidFill>
                    <w14:schemeClr w14:val="tx1"/>
                  </w14:solidFill>
                </w14:textFill>
              </w:rPr>
            </w:pPr>
            <w:r>
              <w:rPr>
                <w:rFonts w:asciiTheme="majorBidi" w:hAnsiTheme="majorBidi" w:eastAsiaTheme="minorEastAsia" w:cstheme="majorBidi"/>
                <w:bCs/>
                <w:color w:val="000000" w:themeColor="text1"/>
                <w:kern w:val="2"/>
                <w14:textFill>
                  <w14:solidFill>
                    <w14:schemeClr w14:val="tx1"/>
                  </w14:solidFill>
                </w14:textFill>
              </w:rPr>
              <w:t>1.固体废物产生情况</w:t>
            </w:r>
          </w:p>
          <w:p w14:paraId="3875B946">
            <w:pPr>
              <w:ind w:firstLine="480"/>
              <w:rPr>
                <w:bCs/>
              </w:rPr>
            </w:pPr>
            <w:r>
              <w:rPr>
                <w:bCs/>
              </w:rPr>
              <w:t>本项目运营期产生的固体废物主要为生活垃圾、一般固体废物、危险废物。</w:t>
            </w:r>
          </w:p>
          <w:p w14:paraId="175172A5">
            <w:pPr>
              <w:ind w:firstLine="480"/>
              <w:rPr>
                <w:rFonts w:asciiTheme="majorBidi" w:hAnsiTheme="majorBidi" w:eastAsiaTheme="minorEastAsia" w:cstheme="majorBidi"/>
                <w:bCs/>
                <w:color w:val="000000" w:themeColor="text1"/>
                <w:kern w:val="2"/>
                <w14:textFill>
                  <w14:solidFill>
                    <w14:schemeClr w14:val="tx1"/>
                  </w14:solidFill>
                </w14:textFill>
              </w:rPr>
            </w:pPr>
            <w:r>
              <w:rPr>
                <w:rFonts w:asciiTheme="majorBidi" w:hAnsiTheme="majorBidi" w:eastAsiaTheme="minorEastAsia" w:cstheme="majorBidi"/>
                <w:bCs/>
                <w:color w:val="000000" w:themeColor="text1"/>
                <w:kern w:val="2"/>
                <w14:textFill>
                  <w14:solidFill>
                    <w14:schemeClr w14:val="tx1"/>
                  </w14:solidFill>
                </w14:textFill>
              </w:rPr>
              <w:t>（1）生活垃圾</w:t>
            </w:r>
          </w:p>
          <w:p w14:paraId="2AA7F0F8">
            <w:pPr>
              <w:ind w:firstLine="480"/>
              <w:rPr>
                <w:bCs/>
              </w:rPr>
            </w:pPr>
            <w:r>
              <w:rPr>
                <w:bCs/>
                <w:kern w:val="2"/>
              </w:rPr>
              <w:t>生活垃圾主要来自员工日常办公，项目</w:t>
            </w:r>
            <w:r>
              <w:rPr>
                <w:bCs/>
                <w:kern w:val="2"/>
                <w:szCs w:val="21"/>
              </w:rPr>
              <w:t>员工定员60人，</w:t>
            </w:r>
            <w:r>
              <w:rPr>
                <w:bCs/>
              </w:rPr>
              <w:t>人均垃圾产生量按0.5kg/d计算，则垃圾产生量为30kg/d，一年工作300天，则垃圾产生量为9t/a，</w:t>
            </w:r>
            <w:r>
              <w:rPr>
                <w:bCs/>
                <w:kern w:val="2"/>
                <w:szCs w:val="21"/>
              </w:rPr>
              <w:t>定点收集后由当地环卫部门负责清运</w:t>
            </w:r>
            <w:r>
              <w:rPr>
                <w:bCs/>
              </w:rPr>
              <w:t>。根据《固体废物分类与代码目录》（2024年1月19日实施），生活垃圾分类代码为：900-099-S64。</w:t>
            </w:r>
          </w:p>
          <w:p w14:paraId="07D42972">
            <w:pPr>
              <w:adjustRightInd/>
              <w:snapToGrid/>
              <w:ind w:right="120" w:rightChars="50" w:firstLine="480"/>
              <w:rPr>
                <w:rFonts w:asciiTheme="majorBidi" w:hAnsiTheme="majorBidi" w:eastAsiaTheme="minorEastAsia" w:cstheme="majorBidi"/>
                <w:bCs/>
                <w:color w:val="000000" w:themeColor="text1"/>
                <w:kern w:val="2"/>
                <w14:textFill>
                  <w14:solidFill>
                    <w14:schemeClr w14:val="tx1"/>
                  </w14:solidFill>
                </w14:textFill>
              </w:rPr>
            </w:pPr>
            <w:r>
              <w:rPr>
                <w:rFonts w:asciiTheme="majorBidi" w:hAnsiTheme="majorBidi" w:eastAsiaTheme="minorEastAsia" w:cstheme="majorBidi"/>
                <w:bCs/>
                <w:color w:val="000000" w:themeColor="text1"/>
                <w:kern w:val="2"/>
                <w14:textFill>
                  <w14:solidFill>
                    <w14:schemeClr w14:val="tx1"/>
                  </w14:solidFill>
                </w14:textFill>
              </w:rPr>
              <w:t>（2）一般固体废物</w:t>
            </w:r>
          </w:p>
          <w:p w14:paraId="7146BB99">
            <w:pPr>
              <w:ind w:firstLine="480"/>
              <w:rPr>
                <w:bCs/>
              </w:rPr>
            </w:pPr>
            <w:r>
              <w:rPr>
                <w:rFonts w:ascii="Cambria Math" w:hAnsi="Cambria Math" w:cs="Cambria Math"/>
                <w:bCs/>
              </w:rPr>
              <w:t>①</w:t>
            </w:r>
            <w:r>
              <w:rPr>
                <w:bCs/>
              </w:rPr>
              <w:t>废包装材料：项目原料使用产生废包装材料，产生量约为0.1t/a，属于《固体废物分类与代码目录》（生态环境部公告2024年第4号）中SW59其他工业固体废物，废物代码</w:t>
            </w:r>
            <w:r>
              <w:rPr>
                <w:rFonts w:ascii="宋体" w:hAnsi="宋体"/>
                <w:bCs/>
              </w:rPr>
              <w:t>“</w:t>
            </w:r>
            <w:r>
              <w:rPr>
                <w:bCs/>
              </w:rPr>
              <w:t>900-099-S59</w:t>
            </w:r>
            <w:r>
              <w:rPr>
                <w:rFonts w:ascii="宋体" w:hAnsi="宋体"/>
                <w:bCs/>
              </w:rPr>
              <w:t>”</w:t>
            </w:r>
            <w:r>
              <w:rPr>
                <w:bCs/>
              </w:rPr>
              <w:t>，收集后交</w:t>
            </w:r>
            <w:r>
              <w:rPr>
                <w:rFonts w:hint="eastAsia"/>
                <w:bCs/>
                <w:color w:val="EE0000"/>
              </w:rPr>
              <w:t>专业回收公司回收利用</w:t>
            </w:r>
            <w:r>
              <w:rPr>
                <w:bCs/>
              </w:rPr>
              <w:t>。</w:t>
            </w:r>
          </w:p>
          <w:p w14:paraId="15A05C46">
            <w:pPr>
              <w:ind w:firstLine="480"/>
              <w:rPr>
                <w:bCs/>
              </w:rPr>
            </w:pPr>
            <w:r>
              <w:rPr>
                <w:rFonts w:hint="eastAsia"/>
                <w:bCs/>
              </w:rPr>
              <w:t>②</w:t>
            </w:r>
            <w:r>
              <w:rPr>
                <w:bCs/>
              </w:rPr>
              <w:t>金属边角料及碎屑：</w:t>
            </w:r>
            <w:r>
              <w:rPr>
                <w:bCs/>
                <w:szCs w:val="32"/>
              </w:rPr>
              <w:t>项目模具生产过程中会产生少量钢废料，产生量约1.2t/a，</w:t>
            </w:r>
            <w:r>
              <w:rPr>
                <w:bCs/>
              </w:rPr>
              <w:t>属于《固体废物分类与代码目录》（生态环境部公告2024年第4号）中SW17可再生类废物，废物代码</w:t>
            </w:r>
            <w:r>
              <w:rPr>
                <w:rFonts w:ascii="宋体" w:hAnsi="宋体"/>
                <w:bCs/>
              </w:rPr>
              <w:t>“</w:t>
            </w:r>
            <w:r>
              <w:rPr>
                <w:bCs/>
              </w:rPr>
              <w:t>900-001-S17</w:t>
            </w:r>
            <w:r>
              <w:rPr>
                <w:rFonts w:ascii="宋体" w:hAnsi="宋体"/>
                <w:bCs/>
              </w:rPr>
              <w:t>”</w:t>
            </w:r>
            <w:r>
              <w:rPr>
                <w:bCs/>
              </w:rPr>
              <w:t>，收集后</w:t>
            </w:r>
            <w:r>
              <w:rPr>
                <w:rFonts w:hint="eastAsia"/>
                <w:bCs/>
              </w:rPr>
              <w:t>交</w:t>
            </w:r>
            <w:r>
              <w:rPr>
                <w:rFonts w:hint="eastAsia"/>
                <w:bCs/>
                <w:color w:val="EE0000"/>
              </w:rPr>
              <w:t>专业回收公司回收利用</w:t>
            </w:r>
            <w:r>
              <w:rPr>
                <w:bCs/>
              </w:rPr>
              <w:t>。</w:t>
            </w:r>
          </w:p>
          <w:p w14:paraId="418697C6">
            <w:pPr>
              <w:adjustRightInd/>
              <w:snapToGrid/>
              <w:ind w:firstLine="482"/>
              <w:rPr>
                <w:rFonts w:eastAsiaTheme="minorEastAsia"/>
                <w:color w:val="0000FF"/>
                <w:kern w:val="2"/>
              </w:rPr>
            </w:pPr>
            <w:r>
              <w:rPr>
                <w:rFonts w:hint="eastAsia" w:eastAsiaTheme="minorEastAsia"/>
                <w:b/>
                <w:bCs/>
                <w:color w:val="0000FF"/>
              </w:rPr>
              <w:t>③废塑料：</w:t>
            </w:r>
            <w:r>
              <w:rPr>
                <w:rFonts w:hint="eastAsia" w:eastAsiaTheme="minorEastAsia"/>
                <w:color w:val="0000FF"/>
              </w:rPr>
              <w:t>废塑料来源为不合格品和边角料。边角料：来源于项目注塑工序，产生量约为产品产能的</w:t>
            </w:r>
            <w:r>
              <w:rPr>
                <w:rFonts w:eastAsiaTheme="minorEastAsia"/>
                <w:color w:val="0000FF"/>
              </w:rPr>
              <w:t>0.5%</w:t>
            </w:r>
            <w:r>
              <w:rPr>
                <w:rFonts w:hint="eastAsia" w:eastAsiaTheme="minorEastAsia"/>
                <w:color w:val="0000FF"/>
              </w:rPr>
              <w:t>，故其边角料产生量约为3.5t/a，属于《固体废物分类与代码目录》（生态环境部公告2024年第4号）中SW17可再生类废物，废物代码“900-003-S17”，收集后回用于注塑件的生产。</w:t>
            </w:r>
            <w:r>
              <w:rPr>
                <w:rFonts w:eastAsiaTheme="minorEastAsia"/>
                <w:b/>
                <w:bCs/>
                <w:color w:val="0000FF"/>
              </w:rPr>
              <w:t>不合格品</w:t>
            </w:r>
            <w:r>
              <w:rPr>
                <w:rFonts w:eastAsiaTheme="minorEastAsia"/>
                <w:color w:val="0000FF"/>
              </w:rPr>
              <w:t>：项目</w:t>
            </w:r>
            <w:r>
              <w:rPr>
                <w:rFonts w:hint="eastAsia" w:eastAsiaTheme="minorEastAsia"/>
                <w:color w:val="0000FF"/>
              </w:rPr>
              <w:t>注塑、喷涂和烘干、印刷以及</w:t>
            </w:r>
            <w:r>
              <w:rPr>
                <w:rFonts w:eastAsiaTheme="minorEastAsia"/>
                <w:color w:val="0000FF"/>
              </w:rPr>
              <w:t>检测</w:t>
            </w:r>
            <w:r>
              <w:rPr>
                <w:rFonts w:hint="eastAsia" w:eastAsiaTheme="minorEastAsia"/>
                <w:color w:val="0000FF"/>
              </w:rPr>
              <w:t>工序</w:t>
            </w:r>
            <w:r>
              <w:rPr>
                <w:rFonts w:eastAsiaTheme="minorEastAsia"/>
                <w:color w:val="0000FF"/>
              </w:rPr>
              <w:t>中会产生一定量的不合格塑料，产生量约为产品产能</w:t>
            </w:r>
            <w:r>
              <w:rPr>
                <w:rFonts w:hint="eastAsia" w:eastAsiaTheme="minorEastAsia"/>
                <w:color w:val="0000FF"/>
              </w:rPr>
              <w:t>（塑胶台灯120t/a、塑胶包装盒12t/a、塑胶零件8t/a合计140t/a）</w:t>
            </w:r>
            <w:r>
              <w:rPr>
                <w:rFonts w:eastAsiaTheme="minorEastAsia"/>
                <w:color w:val="0000FF"/>
              </w:rPr>
              <w:t>的0.5%，约为0.7t/a。</w:t>
            </w:r>
            <w:r>
              <w:rPr>
                <w:rFonts w:eastAsiaTheme="minorEastAsia"/>
                <w:color w:val="0000FF"/>
                <w:kern w:val="2"/>
              </w:rPr>
              <w:t>属于《固体废物分类与代码目录》（生态环境部公告2024年第4号）中SW17可再生类废物，废物代码“900-003-S17”，</w:t>
            </w:r>
            <w:r>
              <w:rPr>
                <w:rFonts w:hint="eastAsia" w:eastAsiaTheme="minorEastAsia"/>
                <w:color w:val="0000FF"/>
                <w:kern w:val="2"/>
              </w:rPr>
              <w:t>其中塑料台灯</w:t>
            </w:r>
            <w:r>
              <w:rPr>
                <w:rFonts w:eastAsiaTheme="minorEastAsia"/>
                <w:color w:val="0000FF"/>
              </w:rPr>
              <w:t>不合格品</w:t>
            </w:r>
            <w:r>
              <w:rPr>
                <w:rFonts w:hint="eastAsia" w:eastAsiaTheme="minorEastAsia"/>
                <w:color w:val="0000FF"/>
              </w:rPr>
              <w:t>（约0.6t/a）</w:t>
            </w:r>
            <w:r>
              <w:rPr>
                <w:rFonts w:hint="eastAsia" w:eastAsiaTheme="minorEastAsia"/>
                <w:color w:val="0000FF"/>
                <w:kern w:val="2"/>
              </w:rPr>
              <w:t>喷涂后无法回用于生产，使用的油漆为水性油漆不属于危险废物，</w:t>
            </w:r>
            <w:r>
              <w:rPr>
                <w:rFonts w:eastAsiaTheme="minorEastAsia"/>
                <w:color w:val="0000FF"/>
              </w:rPr>
              <w:t>收集后</w:t>
            </w:r>
            <w:r>
              <w:rPr>
                <w:rFonts w:hint="eastAsia" w:eastAsiaTheme="minorEastAsia"/>
                <w:color w:val="0000FF"/>
              </w:rPr>
              <w:t>交专业回收公司回收利用，塑胶包装盒、塑胶零件</w:t>
            </w:r>
            <w:r>
              <w:rPr>
                <w:rFonts w:eastAsiaTheme="minorEastAsia"/>
                <w:color w:val="0000FF"/>
              </w:rPr>
              <w:t>不合格品</w:t>
            </w:r>
            <w:r>
              <w:rPr>
                <w:rFonts w:hint="eastAsia" w:eastAsiaTheme="minorEastAsia"/>
                <w:color w:val="0000FF"/>
              </w:rPr>
              <w:t>（约0.1t/a）破碎</w:t>
            </w:r>
            <w:r>
              <w:rPr>
                <w:rFonts w:eastAsiaTheme="minorEastAsia"/>
                <w:color w:val="0000FF"/>
              </w:rPr>
              <w:t>回用于注塑件的生产。</w:t>
            </w:r>
          </w:p>
          <w:p w14:paraId="36918E9A">
            <w:pPr>
              <w:adjustRightInd/>
              <w:snapToGrid/>
              <w:ind w:firstLine="480"/>
              <w:rPr>
                <w:rFonts w:asciiTheme="majorBidi" w:hAnsiTheme="majorBidi" w:eastAsiaTheme="minorEastAsia" w:cstheme="majorBidi"/>
                <w:bCs/>
                <w:color w:val="000000" w:themeColor="text1"/>
                <w:kern w:val="2"/>
                <w14:textFill>
                  <w14:solidFill>
                    <w14:schemeClr w14:val="tx1"/>
                  </w14:solidFill>
                </w14:textFill>
              </w:rPr>
            </w:pPr>
            <w:r>
              <w:rPr>
                <w:rFonts w:asciiTheme="majorBidi" w:hAnsiTheme="majorBidi" w:eastAsiaTheme="minorEastAsia" w:cstheme="majorBidi"/>
                <w:bCs/>
                <w:color w:val="000000" w:themeColor="text1"/>
                <w:kern w:val="2"/>
                <w14:textFill>
                  <w14:solidFill>
                    <w14:schemeClr w14:val="tx1"/>
                  </w14:solidFill>
                </w14:textFill>
              </w:rPr>
              <w:t>（3）危险废物</w:t>
            </w:r>
          </w:p>
          <w:p w14:paraId="44BF6041">
            <w:pPr>
              <w:ind w:firstLine="480"/>
              <w:rPr>
                <w:bCs/>
              </w:rPr>
            </w:pPr>
            <w:r>
              <w:rPr>
                <w:rFonts w:ascii="Cambria Math" w:hAnsi="Cambria Math" w:cs="Cambria Math"/>
                <w:bCs/>
              </w:rPr>
              <w:t>①</w:t>
            </w:r>
            <w:r>
              <w:rPr>
                <w:bCs/>
              </w:rPr>
              <w:t>废机油：项目使用机油会产生废机油，产生量为0.012t/a，属于《国家危险废物名录》（2025年）</w:t>
            </w:r>
            <w:r>
              <w:rPr>
                <w:rFonts w:ascii="宋体" w:hAnsi="宋体"/>
                <w:bCs/>
              </w:rPr>
              <w:t>“</w:t>
            </w:r>
            <w:r>
              <w:rPr>
                <w:bCs/>
              </w:rPr>
              <w:t>HW08废矿物油与含矿物油废物</w:t>
            </w:r>
            <w:r>
              <w:rPr>
                <w:rFonts w:ascii="宋体" w:hAnsi="宋体"/>
                <w:bCs/>
              </w:rPr>
              <w:t>”</w:t>
            </w:r>
            <w:r>
              <w:rPr>
                <w:bCs/>
              </w:rPr>
              <w:t>，代码</w:t>
            </w:r>
            <w:r>
              <w:rPr>
                <w:rFonts w:ascii="宋体" w:hAnsi="宋体"/>
                <w:bCs/>
              </w:rPr>
              <w:t>“</w:t>
            </w:r>
            <w:r>
              <w:rPr>
                <w:bCs/>
              </w:rPr>
              <w:t>900-217-08</w:t>
            </w:r>
            <w:r>
              <w:rPr>
                <w:rFonts w:ascii="宋体" w:hAnsi="宋体"/>
                <w:bCs/>
              </w:rPr>
              <w:t>”</w:t>
            </w:r>
            <w:r>
              <w:rPr>
                <w:bCs/>
              </w:rPr>
              <w:t>中的危险废物，收集后定期交由有危险废物处置资质单位处理。</w:t>
            </w:r>
          </w:p>
          <w:p w14:paraId="2F66A16A">
            <w:pPr>
              <w:ind w:firstLine="480"/>
              <w:rPr>
                <w:bCs/>
              </w:rPr>
            </w:pPr>
            <w:r>
              <w:rPr>
                <w:rFonts w:ascii="Cambria Math" w:hAnsi="Cambria Math" w:cs="Cambria Math"/>
                <w:bCs/>
              </w:rPr>
              <w:t>②</w:t>
            </w:r>
            <w:r>
              <w:rPr>
                <w:bCs/>
              </w:rPr>
              <w:t>废</w:t>
            </w:r>
            <w:r>
              <w:rPr>
                <w:bCs/>
                <w:color w:val="0000FF"/>
              </w:rPr>
              <w:t>电火花机</w:t>
            </w:r>
            <w:r>
              <w:rPr>
                <w:bCs/>
              </w:rPr>
              <w:t>油：项目模具</w:t>
            </w:r>
            <w:r>
              <w:rPr>
                <w:bCs/>
                <w:color w:val="0000FF"/>
              </w:rPr>
              <w:t>电火花机</w:t>
            </w:r>
            <w:r>
              <w:rPr>
                <w:bCs/>
              </w:rPr>
              <w:t>加工使用</w:t>
            </w:r>
            <w:r>
              <w:rPr>
                <w:bCs/>
                <w:color w:val="0000FF"/>
              </w:rPr>
              <w:t>电火花机</w:t>
            </w:r>
            <w:r>
              <w:rPr>
                <w:bCs/>
              </w:rPr>
              <w:t>油会产生废</w:t>
            </w:r>
            <w:r>
              <w:rPr>
                <w:bCs/>
                <w:color w:val="0000FF"/>
              </w:rPr>
              <w:t>电火花机</w:t>
            </w:r>
            <w:r>
              <w:rPr>
                <w:bCs/>
              </w:rPr>
              <w:t>油，产生量为0.008t/a，属于《国家危险废物名录》（2025年）</w:t>
            </w:r>
            <w:r>
              <w:rPr>
                <w:rFonts w:ascii="宋体" w:hAnsi="宋体"/>
                <w:bCs/>
              </w:rPr>
              <w:t>“</w:t>
            </w:r>
            <w:r>
              <w:rPr>
                <w:bCs/>
              </w:rPr>
              <w:t>HW08废矿物油与含矿物油废物</w:t>
            </w:r>
            <w:r>
              <w:rPr>
                <w:rFonts w:ascii="宋体" w:hAnsi="宋体"/>
                <w:bCs/>
              </w:rPr>
              <w:t>”</w:t>
            </w:r>
            <w:r>
              <w:rPr>
                <w:bCs/>
              </w:rPr>
              <w:t>，代码</w:t>
            </w:r>
            <w:r>
              <w:rPr>
                <w:rFonts w:ascii="宋体" w:hAnsi="宋体"/>
                <w:bCs/>
              </w:rPr>
              <w:t>“</w:t>
            </w:r>
            <w:r>
              <w:rPr>
                <w:bCs/>
              </w:rPr>
              <w:t>900-</w:t>
            </w:r>
            <w:r>
              <w:rPr>
                <w:bCs/>
                <w:color w:val="EE0000"/>
              </w:rPr>
              <w:t>2</w:t>
            </w:r>
            <w:r>
              <w:rPr>
                <w:rFonts w:hint="eastAsia"/>
                <w:bCs/>
                <w:color w:val="EE0000"/>
              </w:rPr>
              <w:t>09</w:t>
            </w:r>
            <w:r>
              <w:rPr>
                <w:bCs/>
              </w:rPr>
              <w:t>-08</w:t>
            </w:r>
            <w:r>
              <w:rPr>
                <w:rFonts w:ascii="宋体" w:hAnsi="宋体"/>
                <w:bCs/>
              </w:rPr>
              <w:t>”</w:t>
            </w:r>
            <w:r>
              <w:rPr>
                <w:bCs/>
              </w:rPr>
              <w:t>中的危险废物，收集后定期交由有危险废物处置资质单位处理。</w:t>
            </w:r>
          </w:p>
          <w:p w14:paraId="7CDC8529">
            <w:pPr>
              <w:ind w:firstLine="480"/>
              <w:rPr>
                <w:bCs/>
              </w:rPr>
            </w:pPr>
            <w:r>
              <w:rPr>
                <w:rFonts w:ascii="Cambria Math" w:hAnsi="Cambria Math" w:cs="Cambria Math"/>
                <w:bCs/>
              </w:rPr>
              <w:t>③</w:t>
            </w:r>
            <w:r>
              <w:rPr>
                <w:bCs/>
              </w:rPr>
              <w:t>废油桶：项目会产生废油桶，产生量为0.002t/a，属于《国家危险废物名录》（2025年）</w:t>
            </w:r>
            <w:r>
              <w:rPr>
                <w:rFonts w:ascii="宋体" w:hAnsi="宋体"/>
                <w:bCs/>
              </w:rPr>
              <w:t>“</w:t>
            </w:r>
            <w:r>
              <w:rPr>
                <w:bCs/>
              </w:rPr>
              <w:t>HW08废矿物油与含矿物油废物</w:t>
            </w:r>
            <w:r>
              <w:rPr>
                <w:rFonts w:ascii="宋体" w:hAnsi="宋体"/>
                <w:bCs/>
              </w:rPr>
              <w:t>”</w:t>
            </w:r>
            <w:r>
              <w:rPr>
                <w:bCs/>
              </w:rPr>
              <w:t>，代码</w:t>
            </w:r>
            <w:r>
              <w:rPr>
                <w:rFonts w:ascii="宋体" w:hAnsi="宋体"/>
                <w:bCs/>
              </w:rPr>
              <w:t>“</w:t>
            </w:r>
            <w:r>
              <w:rPr>
                <w:bCs/>
              </w:rPr>
              <w:t>900-249-08</w:t>
            </w:r>
            <w:r>
              <w:rPr>
                <w:rFonts w:ascii="宋体" w:hAnsi="宋体"/>
                <w:bCs/>
              </w:rPr>
              <w:t>”</w:t>
            </w:r>
            <w:r>
              <w:rPr>
                <w:bCs/>
              </w:rPr>
              <w:t>中的危险废物，收集后定期交由有危险废物处置资质单位处理。</w:t>
            </w:r>
          </w:p>
          <w:p w14:paraId="32ED7726">
            <w:pPr>
              <w:ind w:firstLine="480"/>
              <w:rPr>
                <w:bCs/>
              </w:rPr>
            </w:pPr>
            <w:r>
              <w:rPr>
                <w:rFonts w:ascii="Cambria Math" w:hAnsi="Cambria Math" w:cs="Cambria Math"/>
                <w:bCs/>
              </w:rPr>
              <w:t>④</w:t>
            </w:r>
            <w:r>
              <w:rPr>
                <w:bCs/>
              </w:rPr>
              <w:t>废含油抹布及手套：项目设备维护会产生废含油抹布及手套，产生量为0.05t/a，属于《国家危险废物名录》（2025年）</w:t>
            </w:r>
            <w:r>
              <w:rPr>
                <w:rFonts w:ascii="宋体" w:hAnsi="宋体"/>
                <w:bCs/>
              </w:rPr>
              <w:t>“</w:t>
            </w:r>
            <w:r>
              <w:rPr>
                <w:bCs/>
              </w:rPr>
              <w:t>HW49其他</w:t>
            </w:r>
            <w:r>
              <w:rPr>
                <w:rFonts w:ascii="宋体" w:hAnsi="宋体"/>
                <w:bCs/>
              </w:rPr>
              <w:t>”</w:t>
            </w:r>
            <w:r>
              <w:rPr>
                <w:bCs/>
              </w:rPr>
              <w:t>，代码</w:t>
            </w:r>
            <w:r>
              <w:rPr>
                <w:rFonts w:ascii="宋体" w:hAnsi="宋体"/>
                <w:bCs/>
              </w:rPr>
              <w:t>“</w:t>
            </w:r>
            <w:r>
              <w:rPr>
                <w:bCs/>
              </w:rPr>
              <w:t>900-041-49</w:t>
            </w:r>
            <w:r>
              <w:rPr>
                <w:rFonts w:ascii="宋体" w:hAnsi="宋体"/>
                <w:bCs/>
              </w:rPr>
              <w:t>”</w:t>
            </w:r>
            <w:r>
              <w:rPr>
                <w:bCs/>
              </w:rPr>
              <w:t>中的危险废物，收集后定期交由有危险废物处置资质单位处理。</w:t>
            </w:r>
          </w:p>
          <w:p w14:paraId="5B00AD04">
            <w:pPr>
              <w:ind w:firstLine="480"/>
              <w:rPr>
                <w:bCs/>
              </w:rPr>
            </w:pPr>
            <w:r>
              <w:rPr>
                <w:rFonts w:ascii="Cambria Math" w:hAnsi="Cambria Math" w:cs="Cambria Math"/>
                <w:bCs/>
              </w:rPr>
              <w:t>⑤</w:t>
            </w:r>
            <w:r>
              <w:rPr>
                <w:bCs/>
              </w:rPr>
              <w:t>废抹布手套：项目印刷工序</w:t>
            </w:r>
            <w:r>
              <w:rPr>
                <w:rFonts w:hint="eastAsia"/>
                <w:bCs/>
                <w:color w:val="0000FF"/>
              </w:rPr>
              <w:t>清洁设备时</w:t>
            </w:r>
            <w:r>
              <w:rPr>
                <w:bCs/>
              </w:rPr>
              <w:t>废抹布及手套，产生量为0.05t/a，属于《国家危险废物名录》（2025年）</w:t>
            </w:r>
            <w:r>
              <w:rPr>
                <w:rFonts w:ascii="宋体" w:hAnsi="宋体"/>
                <w:bCs/>
              </w:rPr>
              <w:t>“</w:t>
            </w:r>
            <w:r>
              <w:rPr>
                <w:bCs/>
              </w:rPr>
              <w:t>HW12染料、涂料废物</w:t>
            </w:r>
            <w:r>
              <w:rPr>
                <w:rFonts w:ascii="宋体" w:hAnsi="宋体"/>
                <w:bCs/>
              </w:rPr>
              <w:t>”</w:t>
            </w:r>
            <w:r>
              <w:rPr>
                <w:bCs/>
              </w:rPr>
              <w:t>，代码</w:t>
            </w:r>
            <w:r>
              <w:rPr>
                <w:rFonts w:ascii="宋体" w:hAnsi="宋体"/>
                <w:bCs/>
              </w:rPr>
              <w:t>“</w:t>
            </w:r>
            <w:r>
              <w:rPr>
                <w:bCs/>
              </w:rPr>
              <w:t>900-253-12</w:t>
            </w:r>
            <w:r>
              <w:rPr>
                <w:rFonts w:ascii="宋体" w:hAnsi="宋体"/>
                <w:bCs/>
              </w:rPr>
              <w:t>”</w:t>
            </w:r>
            <w:r>
              <w:rPr>
                <w:bCs/>
              </w:rPr>
              <w:t>中的危险废物，收集后定期交由有危险废物处置资质单位处理。</w:t>
            </w:r>
          </w:p>
          <w:p w14:paraId="43FA65D8">
            <w:pPr>
              <w:ind w:firstLine="480"/>
              <w:rPr>
                <w:bCs/>
              </w:rPr>
            </w:pPr>
            <w:r>
              <w:rPr>
                <w:rFonts w:ascii="Cambria Math" w:hAnsi="Cambria Math" w:cs="Cambria Math"/>
                <w:bCs/>
              </w:rPr>
              <w:t>⑥</w:t>
            </w:r>
            <w:r>
              <w:rPr>
                <w:bCs/>
              </w:rPr>
              <w:t>废空桶：项目生产过程中使用水性油墨</w:t>
            </w:r>
            <w:r>
              <w:rPr>
                <w:rFonts w:hint="eastAsia"/>
                <w:bCs/>
              </w:rPr>
              <w:t>、</w:t>
            </w:r>
            <w:r>
              <w:rPr>
                <w:bCs/>
              </w:rPr>
              <w:t>水性面漆</w:t>
            </w:r>
            <w:r>
              <w:rPr>
                <w:rFonts w:hint="eastAsia"/>
                <w:bCs/>
              </w:rPr>
              <w:t>相应</w:t>
            </w:r>
            <w:r>
              <w:rPr>
                <w:bCs/>
              </w:rPr>
              <w:t>产生废空桶</w:t>
            </w:r>
            <w:r>
              <w:rPr>
                <w:bCs/>
                <w:color w:val="EE0000"/>
              </w:rPr>
              <w:t>，</w:t>
            </w:r>
            <w:r>
              <w:rPr>
                <w:rFonts w:hint="eastAsia"/>
                <w:bCs/>
                <w:color w:val="EE0000"/>
              </w:rPr>
              <w:t>油墨和面漆约20kg/桶，水性油漆年用量0.1t/a（5桶/a），面漆年用量3t/a（150桶/a），废空桶中残余少量油墨和面漆，根据供应商使用经验，均重约1kg/个，则</w:t>
            </w:r>
            <w:r>
              <w:rPr>
                <w:bCs/>
                <w:color w:val="EE0000"/>
              </w:rPr>
              <w:t>产生量约为0.1</w:t>
            </w:r>
            <w:r>
              <w:rPr>
                <w:rFonts w:hint="eastAsia"/>
                <w:bCs/>
                <w:color w:val="EE0000"/>
              </w:rPr>
              <w:t>55</w:t>
            </w:r>
            <w:r>
              <w:rPr>
                <w:bCs/>
                <w:color w:val="EE0000"/>
              </w:rPr>
              <w:t>t/a</w:t>
            </w:r>
            <w:r>
              <w:rPr>
                <w:bCs/>
              </w:rPr>
              <w:t>，属于《国家危险废物名录》（2025年）</w:t>
            </w:r>
            <w:r>
              <w:rPr>
                <w:rFonts w:ascii="宋体" w:hAnsi="宋体"/>
                <w:bCs/>
              </w:rPr>
              <w:t>“</w:t>
            </w:r>
            <w:r>
              <w:rPr>
                <w:bCs/>
              </w:rPr>
              <w:t>HW49其他</w:t>
            </w:r>
            <w:r>
              <w:rPr>
                <w:rFonts w:ascii="宋体" w:hAnsi="宋体"/>
                <w:bCs/>
              </w:rPr>
              <w:t>”</w:t>
            </w:r>
            <w:r>
              <w:rPr>
                <w:bCs/>
              </w:rPr>
              <w:t>，代码</w:t>
            </w:r>
            <w:r>
              <w:rPr>
                <w:rFonts w:ascii="宋体" w:hAnsi="宋体"/>
                <w:bCs/>
              </w:rPr>
              <w:t>“</w:t>
            </w:r>
            <w:r>
              <w:rPr>
                <w:bCs/>
              </w:rPr>
              <w:t>900-041-49</w:t>
            </w:r>
            <w:r>
              <w:rPr>
                <w:rFonts w:ascii="宋体" w:hAnsi="宋体"/>
                <w:bCs/>
              </w:rPr>
              <w:t>”</w:t>
            </w:r>
            <w:r>
              <w:rPr>
                <w:bCs/>
              </w:rPr>
              <w:t>中的危险废物，收集后定期交由有危险废物处置资质单位处理。</w:t>
            </w:r>
          </w:p>
          <w:p w14:paraId="7821DED1">
            <w:pPr>
              <w:ind w:firstLine="480"/>
              <w:rPr>
                <w:rFonts w:asciiTheme="majorBidi" w:hAnsiTheme="majorBidi" w:eastAsiaTheme="minorEastAsia" w:cstheme="majorBidi"/>
                <w:bCs/>
                <w:color w:val="000000" w:themeColor="text1"/>
                <w:kern w:val="2"/>
                <w14:textFill>
                  <w14:solidFill>
                    <w14:schemeClr w14:val="tx1"/>
                  </w14:solidFill>
                </w14:textFill>
              </w:rPr>
            </w:pPr>
            <w:r>
              <w:rPr>
                <w:rFonts w:ascii="Cambria Math" w:hAnsi="Cambria Math" w:cs="Cambria Math" w:eastAsiaTheme="minorEastAsia"/>
                <w:bCs/>
                <w:color w:val="000000" w:themeColor="text1"/>
                <w:kern w:val="2"/>
                <w14:textFill>
                  <w14:solidFill>
                    <w14:schemeClr w14:val="tx1"/>
                  </w14:solidFill>
                </w14:textFill>
              </w:rPr>
              <w:t>⑦</w:t>
            </w:r>
            <w:r>
              <w:rPr>
                <w:rFonts w:asciiTheme="majorBidi" w:hAnsiTheme="majorBidi" w:eastAsiaTheme="minorEastAsia" w:cstheme="majorBidi"/>
                <w:bCs/>
                <w:color w:val="000000" w:themeColor="text1"/>
                <w:kern w:val="2"/>
                <w14:textFill>
                  <w14:solidFill>
                    <w14:schemeClr w14:val="tx1"/>
                  </w14:solidFill>
                </w14:textFill>
              </w:rPr>
              <w:t>废活性炭：</w:t>
            </w:r>
          </w:p>
          <w:p w14:paraId="250587C5">
            <w:pPr>
              <w:ind w:firstLine="480"/>
              <w:rPr>
                <w:bCs/>
              </w:rPr>
            </w:pPr>
            <w:bookmarkStart w:id="13" w:name="_Hlk194498722"/>
            <w:r>
              <w:rPr>
                <w:bCs/>
              </w:rPr>
              <w:t>项目有机废气处理产生废活性炭，项目活性炭吸附装置活性炭总装填量为</w:t>
            </w:r>
            <w:r>
              <w:rPr>
                <w:bCs/>
                <w:color w:val="0000FF"/>
              </w:rPr>
              <w:t>3.15</w:t>
            </w:r>
            <w:r>
              <w:rPr>
                <w:bCs/>
              </w:rPr>
              <w:t>0t/a。根据前文工程分析，项目需要处理的有机废气量约</w:t>
            </w:r>
            <w:r>
              <w:rPr>
                <w:rFonts w:hint="eastAsia" w:eastAsia="等线"/>
                <w:color w:val="0000FF"/>
              </w:rPr>
              <w:t>0.2529</w:t>
            </w:r>
            <w:r>
              <w:rPr>
                <w:bCs/>
              </w:rPr>
              <w:t>t/a，</w:t>
            </w:r>
            <w:bookmarkEnd w:id="13"/>
            <w:r>
              <w:rPr>
                <w:rFonts w:hint="eastAsia"/>
                <w:bCs/>
                <w:color w:val="0000FF"/>
              </w:rPr>
              <w:t>根据《广东省生态环境厅关于印发工业源挥发性有机物和氮氧化物减排量核算方法的通知》（粤环函〔2023〕538号）表3.3-3废气治理效率参考值中吸附技术“建议直接将“活性炭年更换量×活性炭吸附比例”（活性炭年更换量优先以危废转移量为依据，吸附比例建议取值15%）作为废气处理设施VOCs削减量。”，本项目活性炭设计用量大于“废气处理设施VOCs削减量（0.2529）÷活性炭吸附比例（取值15%）=1.6860t/a”，则本项目活性炭箱使用大于1.6860t/a的活性炭以满足上述吸附效率。</w:t>
            </w:r>
            <w:r>
              <w:rPr>
                <w:bCs/>
              </w:rPr>
              <w:t>项目产生的废活性炭量为更换的活性炭量和处理的有机废气量总合为</w:t>
            </w:r>
            <w:r>
              <w:rPr>
                <w:bCs/>
                <w:color w:val="0000FF"/>
              </w:rPr>
              <w:t>3.15</w:t>
            </w:r>
            <w:r>
              <w:rPr>
                <w:bCs/>
              </w:rPr>
              <w:t>0+</w:t>
            </w:r>
            <w:r>
              <w:rPr>
                <w:rFonts w:hint="eastAsia" w:eastAsia="等线"/>
                <w:color w:val="0000FF"/>
              </w:rPr>
              <w:t>0.2529</w:t>
            </w:r>
            <w:r>
              <w:rPr>
                <w:bCs/>
              </w:rPr>
              <w:t>=</w:t>
            </w:r>
            <w:r>
              <w:rPr>
                <w:bCs/>
                <w:color w:val="0000FF"/>
              </w:rPr>
              <w:t>3.4179</w:t>
            </w:r>
            <w:r>
              <w:rPr>
                <w:bCs/>
              </w:rPr>
              <w:t>t/a。属于《国家危险废物名录》（2025年）</w:t>
            </w:r>
            <w:r>
              <w:rPr>
                <w:rFonts w:ascii="宋体" w:hAnsi="宋体"/>
                <w:bCs/>
              </w:rPr>
              <w:t>“</w:t>
            </w:r>
            <w:r>
              <w:rPr>
                <w:bCs/>
              </w:rPr>
              <w:t>HW49其他废物</w:t>
            </w:r>
            <w:r>
              <w:rPr>
                <w:rFonts w:ascii="宋体" w:hAnsi="宋体"/>
                <w:bCs/>
              </w:rPr>
              <w:t>”</w:t>
            </w:r>
            <w:r>
              <w:rPr>
                <w:bCs/>
              </w:rPr>
              <w:t>，代码</w:t>
            </w:r>
            <w:r>
              <w:rPr>
                <w:rFonts w:ascii="宋体" w:hAnsi="宋体"/>
                <w:bCs/>
              </w:rPr>
              <w:t>“</w:t>
            </w:r>
            <w:r>
              <w:rPr>
                <w:bCs/>
              </w:rPr>
              <w:t>900-039-49</w:t>
            </w:r>
            <w:r>
              <w:rPr>
                <w:rFonts w:ascii="宋体" w:hAnsi="宋体"/>
                <w:bCs/>
              </w:rPr>
              <w:t>”</w:t>
            </w:r>
            <w:r>
              <w:rPr>
                <w:bCs/>
              </w:rPr>
              <w:t>中的危险废物，收集后定期交由有危险废物处置资质单位处理。</w:t>
            </w:r>
          </w:p>
          <w:p w14:paraId="60366802">
            <w:pPr>
              <w:ind w:firstLine="480"/>
              <w:rPr>
                <w:bCs/>
              </w:rPr>
            </w:pPr>
            <w:r>
              <w:rPr>
                <w:rFonts w:ascii="Cambria Math" w:hAnsi="Cambria Math" w:cs="Cambria Math"/>
                <w:bCs/>
              </w:rPr>
              <w:t>⑧</w:t>
            </w:r>
            <w:r>
              <w:rPr>
                <w:bCs/>
              </w:rPr>
              <w:t>水帘柜废液：项目水帘柜的水三个月更换一次，水帘柜废液产生量为32t/a。属于《国家危险废物名录》（2025年）</w:t>
            </w:r>
            <w:r>
              <w:rPr>
                <w:rFonts w:ascii="宋体" w:hAnsi="宋体"/>
                <w:bCs/>
              </w:rPr>
              <w:t>“</w:t>
            </w:r>
            <w:r>
              <w:rPr>
                <w:bCs/>
              </w:rPr>
              <w:t>HW</w:t>
            </w:r>
            <w:r>
              <w:rPr>
                <w:rFonts w:hint="eastAsia"/>
                <w:bCs/>
                <w:color w:val="EE0000"/>
              </w:rPr>
              <w:t>09</w:t>
            </w:r>
            <w:r>
              <w:rPr>
                <w:bCs/>
                <w:color w:val="EE0000"/>
              </w:rPr>
              <w:t>油/水、烃/水混合物或者乳化液</w:t>
            </w:r>
            <w:r>
              <w:rPr>
                <w:rFonts w:ascii="宋体" w:hAnsi="宋体"/>
                <w:bCs/>
              </w:rPr>
              <w:t>”</w:t>
            </w:r>
            <w:r>
              <w:rPr>
                <w:bCs/>
              </w:rPr>
              <w:t>，代码</w:t>
            </w:r>
            <w:r>
              <w:rPr>
                <w:rFonts w:ascii="宋体" w:hAnsi="宋体"/>
                <w:bCs/>
              </w:rPr>
              <w:t>“</w:t>
            </w:r>
            <w:r>
              <w:rPr>
                <w:bCs/>
              </w:rPr>
              <w:t>900-</w:t>
            </w:r>
            <w:r>
              <w:rPr>
                <w:rFonts w:hint="eastAsia"/>
                <w:bCs/>
                <w:color w:val="EE0000"/>
              </w:rPr>
              <w:t>007</w:t>
            </w:r>
            <w:r>
              <w:rPr>
                <w:bCs/>
                <w:color w:val="EE0000"/>
              </w:rPr>
              <w:t>-</w:t>
            </w:r>
            <w:r>
              <w:rPr>
                <w:rFonts w:hint="eastAsia"/>
                <w:bCs/>
                <w:color w:val="EE0000"/>
              </w:rPr>
              <w:t>09</w:t>
            </w:r>
            <w:r>
              <w:rPr>
                <w:rFonts w:ascii="宋体" w:hAnsi="宋体"/>
                <w:bCs/>
              </w:rPr>
              <w:t>”</w:t>
            </w:r>
            <w:r>
              <w:rPr>
                <w:bCs/>
              </w:rPr>
              <w:t>中的危险废物，收集后交由有危险废物处置资质的单位处理。</w:t>
            </w:r>
          </w:p>
          <w:p w14:paraId="2240ED98">
            <w:pPr>
              <w:ind w:firstLine="480"/>
              <w:rPr>
                <w:bCs/>
              </w:rPr>
            </w:pPr>
            <w:r>
              <w:rPr>
                <w:rFonts w:ascii="Cambria Math" w:hAnsi="Cambria Math" w:cs="Cambria Math"/>
                <w:bCs/>
              </w:rPr>
              <w:t>⑨</w:t>
            </w:r>
            <w:r>
              <w:rPr>
                <w:bCs/>
              </w:rPr>
              <w:t>喷枪清洗废液：项目喷枪清洗废液产生量为</w:t>
            </w:r>
            <w:r>
              <w:rPr>
                <w:rFonts w:hint="eastAsia"/>
                <w:bCs/>
                <w:color w:val="EE0000"/>
              </w:rPr>
              <w:t>0.6</w:t>
            </w:r>
            <w:r>
              <w:rPr>
                <w:bCs/>
              </w:rPr>
              <w:t>t/a，属于《国家危险废物名录》（2025年）</w:t>
            </w:r>
            <w:r>
              <w:rPr>
                <w:rFonts w:ascii="宋体" w:hAnsi="宋体"/>
                <w:bCs/>
              </w:rPr>
              <w:t>“</w:t>
            </w:r>
            <w:r>
              <w:rPr>
                <w:bCs/>
              </w:rPr>
              <w:t>HW</w:t>
            </w:r>
            <w:r>
              <w:rPr>
                <w:rFonts w:hint="eastAsia"/>
                <w:bCs/>
                <w:color w:val="EE0000"/>
              </w:rPr>
              <w:t>09</w:t>
            </w:r>
            <w:r>
              <w:rPr>
                <w:bCs/>
                <w:color w:val="EE0000"/>
              </w:rPr>
              <w:t>油/水、烃/水混合物或者乳化液</w:t>
            </w:r>
            <w:r>
              <w:rPr>
                <w:rFonts w:ascii="宋体" w:hAnsi="宋体"/>
                <w:bCs/>
              </w:rPr>
              <w:t>”</w:t>
            </w:r>
            <w:r>
              <w:rPr>
                <w:bCs/>
              </w:rPr>
              <w:t>，代码</w:t>
            </w:r>
            <w:r>
              <w:rPr>
                <w:rFonts w:ascii="宋体" w:hAnsi="宋体"/>
                <w:bCs/>
              </w:rPr>
              <w:t>“</w:t>
            </w:r>
            <w:r>
              <w:rPr>
                <w:bCs/>
              </w:rPr>
              <w:t>900-</w:t>
            </w:r>
            <w:r>
              <w:rPr>
                <w:bCs/>
                <w:color w:val="EE0000"/>
              </w:rPr>
              <w:t>007-09</w:t>
            </w:r>
            <w:r>
              <w:rPr>
                <w:rFonts w:ascii="宋体" w:hAnsi="宋体"/>
                <w:bCs/>
              </w:rPr>
              <w:t>”</w:t>
            </w:r>
            <w:r>
              <w:rPr>
                <w:bCs/>
              </w:rPr>
              <w:t>中的危险废物，收集后交由有危险废物处置资质的单位处理。</w:t>
            </w:r>
          </w:p>
          <w:p w14:paraId="2FE7A408">
            <w:pPr>
              <w:ind w:firstLine="480"/>
              <w:rPr>
                <w:bCs/>
              </w:rPr>
            </w:pPr>
            <w:r>
              <w:rPr>
                <w:rFonts w:ascii="Cambria Math" w:hAnsi="Cambria Math" w:cs="Cambria Math"/>
                <w:bCs/>
              </w:rPr>
              <w:t>⑩</w:t>
            </w:r>
            <w:r>
              <w:rPr>
                <w:bCs/>
              </w:rPr>
              <w:t>喷淋塔废液：项目喷淋塔水槽水定期更换，喷淋塔废液产生量为</w:t>
            </w:r>
            <w:r>
              <w:rPr>
                <w:rFonts w:hint="eastAsia"/>
                <w:bCs/>
                <w:color w:val="EE0000"/>
              </w:rPr>
              <w:t>4.5</w:t>
            </w:r>
            <w:r>
              <w:rPr>
                <w:bCs/>
              </w:rPr>
              <w:t>t/a，属于《国家危险废物名录》（2025年）</w:t>
            </w:r>
            <w:r>
              <w:rPr>
                <w:rFonts w:ascii="宋体" w:hAnsi="宋体"/>
                <w:bCs/>
              </w:rPr>
              <w:t>“</w:t>
            </w:r>
            <w:r>
              <w:rPr>
                <w:bCs/>
              </w:rPr>
              <w:t>HW</w:t>
            </w:r>
            <w:r>
              <w:rPr>
                <w:rFonts w:hint="eastAsia"/>
                <w:bCs/>
                <w:color w:val="EE0000"/>
              </w:rPr>
              <w:t>09</w:t>
            </w:r>
            <w:r>
              <w:rPr>
                <w:bCs/>
                <w:color w:val="EE0000"/>
              </w:rPr>
              <w:t>油/水、烃/水混合物或者乳化液</w:t>
            </w:r>
            <w:r>
              <w:rPr>
                <w:rFonts w:ascii="宋体" w:hAnsi="宋体"/>
                <w:bCs/>
              </w:rPr>
              <w:t>”</w:t>
            </w:r>
            <w:r>
              <w:rPr>
                <w:bCs/>
              </w:rPr>
              <w:t>，代码</w:t>
            </w:r>
            <w:r>
              <w:rPr>
                <w:rFonts w:ascii="宋体" w:hAnsi="宋体"/>
                <w:bCs/>
              </w:rPr>
              <w:t>“</w:t>
            </w:r>
            <w:r>
              <w:rPr>
                <w:bCs/>
              </w:rPr>
              <w:t>900-</w:t>
            </w:r>
            <w:r>
              <w:rPr>
                <w:bCs/>
                <w:color w:val="EE0000"/>
              </w:rPr>
              <w:t>007-09</w:t>
            </w:r>
            <w:r>
              <w:rPr>
                <w:rFonts w:ascii="宋体" w:hAnsi="宋体"/>
                <w:bCs/>
              </w:rPr>
              <w:t>”</w:t>
            </w:r>
            <w:r>
              <w:rPr>
                <w:bCs/>
              </w:rPr>
              <w:t>中的危险废物，收集后交由有危险废物处置资质的单位处理。</w:t>
            </w:r>
          </w:p>
          <w:p w14:paraId="6308C6CF">
            <w:pPr>
              <w:ind w:firstLine="480"/>
              <w:rPr>
                <w:bCs/>
              </w:rPr>
            </w:pPr>
            <w:r>
              <w:rPr>
                <w:rFonts w:ascii="Cambria Math" w:hAnsi="Cambria Math" w:cs="Cambria Math"/>
                <w:bCs/>
              </w:rPr>
              <w:t>⑪</w:t>
            </w:r>
            <w:r>
              <w:rPr>
                <w:bCs/>
              </w:rPr>
              <w:t>漆渣：项目漆渣产生量0.84t/a，属于《国家危险废物名录》（2025年）</w:t>
            </w:r>
            <w:r>
              <w:rPr>
                <w:rFonts w:ascii="宋体" w:hAnsi="宋体"/>
                <w:bCs/>
              </w:rPr>
              <w:t>“</w:t>
            </w:r>
            <w:r>
              <w:rPr>
                <w:bCs/>
              </w:rPr>
              <w:t>HW12染料、涂料废物</w:t>
            </w:r>
            <w:r>
              <w:rPr>
                <w:rFonts w:ascii="宋体" w:hAnsi="宋体"/>
                <w:bCs/>
              </w:rPr>
              <w:t>”</w:t>
            </w:r>
            <w:r>
              <w:rPr>
                <w:bCs/>
              </w:rPr>
              <w:t>，代码</w:t>
            </w:r>
            <w:r>
              <w:rPr>
                <w:rFonts w:ascii="宋体" w:hAnsi="宋体"/>
                <w:bCs/>
              </w:rPr>
              <w:t>“</w:t>
            </w:r>
            <w:r>
              <w:rPr>
                <w:bCs/>
              </w:rPr>
              <w:t>900-</w:t>
            </w:r>
            <w:r>
              <w:rPr>
                <w:bCs/>
                <w:color w:val="0000FF"/>
              </w:rPr>
              <w:t>252</w:t>
            </w:r>
            <w:r>
              <w:rPr>
                <w:bCs/>
              </w:rPr>
              <w:t>-12</w:t>
            </w:r>
            <w:r>
              <w:rPr>
                <w:rFonts w:ascii="宋体" w:hAnsi="宋体"/>
                <w:bCs/>
              </w:rPr>
              <w:t>”</w:t>
            </w:r>
            <w:r>
              <w:rPr>
                <w:bCs/>
              </w:rPr>
              <w:t>中的危险废物，收集后交由有危险废物处置资质的单位处理。</w:t>
            </w:r>
          </w:p>
          <w:p w14:paraId="648C8924">
            <w:pPr>
              <w:ind w:firstLine="480"/>
              <w:rPr>
                <w:bCs/>
              </w:rPr>
            </w:pPr>
            <w:r>
              <w:rPr>
                <w:rFonts w:ascii="Cambria Math" w:hAnsi="Cambria Math" w:cs="Cambria Math"/>
                <w:bCs/>
              </w:rPr>
              <w:t>⑫</w:t>
            </w:r>
            <w:r>
              <w:rPr>
                <w:bCs/>
              </w:rPr>
              <w:t>废过滤棉：项目干式过滤器更换产生废过滤棉，产生量为0.01t/a，属于《国家危险废物名录》（2025年）</w:t>
            </w:r>
            <w:r>
              <w:rPr>
                <w:rFonts w:ascii="宋体" w:hAnsi="宋体"/>
                <w:bCs/>
              </w:rPr>
              <w:t>“</w:t>
            </w:r>
            <w:r>
              <w:rPr>
                <w:bCs/>
              </w:rPr>
              <w:t>HW49其他废物</w:t>
            </w:r>
            <w:r>
              <w:rPr>
                <w:rFonts w:ascii="宋体" w:hAnsi="宋体"/>
                <w:bCs/>
              </w:rPr>
              <w:t>”</w:t>
            </w:r>
            <w:r>
              <w:rPr>
                <w:bCs/>
              </w:rPr>
              <w:t>，代码</w:t>
            </w:r>
            <w:r>
              <w:rPr>
                <w:rFonts w:ascii="宋体" w:hAnsi="宋体"/>
                <w:bCs/>
              </w:rPr>
              <w:t>“</w:t>
            </w:r>
            <w:r>
              <w:rPr>
                <w:bCs/>
              </w:rPr>
              <w:t>900-041-49</w:t>
            </w:r>
            <w:r>
              <w:rPr>
                <w:rFonts w:ascii="宋体" w:hAnsi="宋体"/>
                <w:bCs/>
              </w:rPr>
              <w:t>”</w:t>
            </w:r>
            <w:r>
              <w:rPr>
                <w:bCs/>
              </w:rPr>
              <w:t>中的危险废物，收集后定期交由有危险废物处置资质单位处理。</w:t>
            </w:r>
          </w:p>
          <w:p w14:paraId="63FA442E">
            <w:pPr>
              <w:ind w:firstLine="480"/>
            </w:pPr>
            <w:r>
              <w:rPr>
                <w:rFonts w:ascii="Cambria Math" w:hAnsi="Cambria Math" w:cs="Cambria Math"/>
                <w:bCs/>
                <w:color w:val="EE0000"/>
              </w:rPr>
              <w:t>⑬</w:t>
            </w:r>
            <w:r>
              <w:rPr>
                <w:rFonts w:hint="eastAsia" w:ascii="Cambria Math" w:hAnsi="Cambria Math" w:cs="Cambria Math"/>
                <w:bCs/>
                <w:color w:val="EE0000"/>
              </w:rPr>
              <w:t>废清洗剂：</w:t>
            </w:r>
            <w:r>
              <w:rPr>
                <w:rFonts w:hint="eastAsia"/>
                <w:color w:val="EE0000"/>
              </w:rPr>
              <w:t>清洗剂使用方式为浸泡印刷机出墨口和局部擦拭，其使用量需以过量估计，全年需使用0.01t清洗剂，</w:t>
            </w:r>
            <w:r>
              <w:rPr>
                <w:rFonts w:hint="eastAsia" w:ascii="Cambria Math" w:hAnsi="Cambria Math" w:cs="Cambria Math"/>
                <w:bCs/>
                <w:color w:val="EE0000"/>
              </w:rPr>
              <w:t>根据清洗剂中的成分，喷枪清洗剂不含卤素、苯、苯乙烯、丁醇、丙酮等，属于《国家危险废物名录》（</w:t>
            </w:r>
            <w:r>
              <w:rPr>
                <w:rFonts w:hint="eastAsia"/>
                <w:color w:val="EE0000"/>
              </w:rPr>
              <w:t>2025</w:t>
            </w:r>
            <w:r>
              <w:rPr>
                <w:rFonts w:hint="eastAsia" w:ascii="Cambria Math" w:hAnsi="Cambria Math" w:cs="Cambria Math"/>
                <w:bCs/>
                <w:color w:val="EE0000"/>
              </w:rPr>
              <w:t>年版）中废物代码为</w:t>
            </w:r>
            <w:r>
              <w:rPr>
                <w:rFonts w:hint="eastAsia"/>
                <w:color w:val="EE0000"/>
              </w:rPr>
              <w:t>900-404-06</w:t>
            </w:r>
            <w:r>
              <w:rPr>
                <w:rFonts w:hint="eastAsia" w:ascii="Cambria Math" w:hAnsi="Cambria Math" w:cs="Cambria Math"/>
                <w:bCs/>
                <w:color w:val="EE0000"/>
              </w:rPr>
              <w:t>的废有机溶剂与含有机溶剂废物。</w:t>
            </w:r>
          </w:p>
          <w:p w14:paraId="7E7619CB">
            <w:pPr>
              <w:pStyle w:val="11"/>
              <w:numPr>
                <w:ilvl w:val="0"/>
                <w:numId w:val="4"/>
              </w:numPr>
              <w:rPr>
                <w:bCs w:val="0"/>
              </w:rPr>
            </w:pPr>
            <w:r>
              <w:rPr>
                <w:bCs w:val="0"/>
              </w:rPr>
              <w:t>表4-16 项目危险废物产生及处置统计表</w:t>
            </w:r>
          </w:p>
          <w:tbl>
            <w:tblPr>
              <w:tblStyle w:val="21"/>
              <w:tblW w:w="8842" w:type="dxa"/>
              <w:tblInd w:w="80" w:type="dxa"/>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28" w:type="dxa"/>
                <w:bottom w:w="0" w:type="dxa"/>
                <w:right w:w="28" w:type="dxa"/>
              </w:tblCellMar>
            </w:tblPr>
            <w:tblGrid>
              <w:gridCol w:w="271"/>
              <w:gridCol w:w="930"/>
              <w:gridCol w:w="944"/>
              <w:gridCol w:w="1355"/>
              <w:gridCol w:w="808"/>
              <w:gridCol w:w="1031"/>
              <w:gridCol w:w="541"/>
              <w:gridCol w:w="773"/>
              <w:gridCol w:w="845"/>
              <w:gridCol w:w="532"/>
              <w:gridCol w:w="812"/>
            </w:tblGrid>
            <w:tr w14:paraId="7AE33AD4">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567" w:hRule="atLeast"/>
              </w:trPr>
              <w:tc>
                <w:tcPr>
                  <w:tcW w:w="153" w:type="pct"/>
                  <w:vAlign w:val="center"/>
                </w:tcPr>
                <w:p w14:paraId="13C87A48">
                  <w:pPr>
                    <w:pStyle w:val="29"/>
                    <w:rPr>
                      <w:bCs/>
                    </w:rPr>
                  </w:pPr>
                  <w:r>
                    <w:rPr>
                      <w:bCs/>
                    </w:rPr>
                    <w:t>序号</w:t>
                  </w:r>
                </w:p>
              </w:tc>
              <w:tc>
                <w:tcPr>
                  <w:tcW w:w="526" w:type="pct"/>
                  <w:vAlign w:val="center"/>
                </w:tcPr>
                <w:p w14:paraId="0D07E79D">
                  <w:pPr>
                    <w:pStyle w:val="29"/>
                    <w:rPr>
                      <w:bCs/>
                    </w:rPr>
                  </w:pPr>
                  <w:r>
                    <w:rPr>
                      <w:bCs/>
                    </w:rPr>
                    <w:t>危险</w:t>
                  </w:r>
                </w:p>
                <w:p w14:paraId="034D2225">
                  <w:pPr>
                    <w:pStyle w:val="29"/>
                    <w:rPr>
                      <w:bCs/>
                    </w:rPr>
                  </w:pPr>
                  <w:r>
                    <w:rPr>
                      <w:bCs/>
                    </w:rPr>
                    <w:t>废物</w:t>
                  </w:r>
                </w:p>
              </w:tc>
              <w:tc>
                <w:tcPr>
                  <w:tcW w:w="534" w:type="pct"/>
                  <w:vAlign w:val="center"/>
                </w:tcPr>
                <w:p w14:paraId="41238A15">
                  <w:pPr>
                    <w:pStyle w:val="29"/>
                    <w:rPr>
                      <w:bCs/>
                    </w:rPr>
                  </w:pPr>
                  <w:r>
                    <w:rPr>
                      <w:bCs/>
                    </w:rPr>
                    <w:t>危险废物类别</w:t>
                  </w:r>
                </w:p>
              </w:tc>
              <w:tc>
                <w:tcPr>
                  <w:tcW w:w="766" w:type="pct"/>
                  <w:vAlign w:val="center"/>
                </w:tcPr>
                <w:p w14:paraId="0B751AA8">
                  <w:pPr>
                    <w:pStyle w:val="29"/>
                    <w:rPr>
                      <w:bCs/>
                    </w:rPr>
                  </w:pPr>
                  <w:r>
                    <w:rPr>
                      <w:bCs/>
                    </w:rPr>
                    <w:t>危险废物代码及行业来源</w:t>
                  </w:r>
                </w:p>
              </w:tc>
              <w:tc>
                <w:tcPr>
                  <w:tcW w:w="457" w:type="pct"/>
                  <w:vAlign w:val="center"/>
                </w:tcPr>
                <w:p w14:paraId="268C4D0A">
                  <w:pPr>
                    <w:pStyle w:val="29"/>
                    <w:rPr>
                      <w:bCs/>
                    </w:rPr>
                  </w:pPr>
                  <w:r>
                    <w:rPr>
                      <w:bCs/>
                    </w:rPr>
                    <w:t>产生量t/a</w:t>
                  </w:r>
                </w:p>
              </w:tc>
              <w:tc>
                <w:tcPr>
                  <w:tcW w:w="583" w:type="pct"/>
                  <w:vAlign w:val="center"/>
                </w:tcPr>
                <w:p w14:paraId="6F744056">
                  <w:pPr>
                    <w:pStyle w:val="29"/>
                    <w:rPr>
                      <w:bCs/>
                    </w:rPr>
                  </w:pPr>
                  <w:r>
                    <w:rPr>
                      <w:bCs/>
                    </w:rPr>
                    <w:t>产生工序及装置</w:t>
                  </w:r>
                </w:p>
              </w:tc>
              <w:tc>
                <w:tcPr>
                  <w:tcW w:w="306" w:type="pct"/>
                  <w:vAlign w:val="center"/>
                </w:tcPr>
                <w:p w14:paraId="59D51CED">
                  <w:pPr>
                    <w:pStyle w:val="29"/>
                    <w:rPr>
                      <w:bCs/>
                    </w:rPr>
                  </w:pPr>
                  <w:r>
                    <w:rPr>
                      <w:bCs/>
                    </w:rPr>
                    <w:t>形态</w:t>
                  </w:r>
                </w:p>
              </w:tc>
              <w:tc>
                <w:tcPr>
                  <w:tcW w:w="437" w:type="pct"/>
                  <w:vAlign w:val="center"/>
                </w:tcPr>
                <w:p w14:paraId="5FC38956">
                  <w:pPr>
                    <w:pStyle w:val="29"/>
                    <w:rPr>
                      <w:bCs/>
                    </w:rPr>
                  </w:pPr>
                  <w:r>
                    <w:rPr>
                      <w:bCs/>
                    </w:rPr>
                    <w:t>主要成分</w:t>
                  </w:r>
                </w:p>
              </w:tc>
              <w:tc>
                <w:tcPr>
                  <w:tcW w:w="478" w:type="pct"/>
                  <w:vAlign w:val="center"/>
                </w:tcPr>
                <w:p w14:paraId="6B788EE4">
                  <w:pPr>
                    <w:pStyle w:val="29"/>
                    <w:rPr>
                      <w:bCs/>
                    </w:rPr>
                  </w:pPr>
                  <w:r>
                    <w:rPr>
                      <w:bCs/>
                    </w:rPr>
                    <w:t>产废周期</w:t>
                  </w:r>
                </w:p>
              </w:tc>
              <w:tc>
                <w:tcPr>
                  <w:tcW w:w="301" w:type="pct"/>
                  <w:vAlign w:val="center"/>
                </w:tcPr>
                <w:p w14:paraId="0B0EBB31">
                  <w:pPr>
                    <w:pStyle w:val="29"/>
                    <w:rPr>
                      <w:bCs/>
                    </w:rPr>
                  </w:pPr>
                  <w:r>
                    <w:rPr>
                      <w:bCs/>
                    </w:rPr>
                    <w:t>危险</w:t>
                  </w:r>
                </w:p>
                <w:p w14:paraId="4F2FEBBD">
                  <w:pPr>
                    <w:pStyle w:val="29"/>
                    <w:rPr>
                      <w:bCs/>
                    </w:rPr>
                  </w:pPr>
                  <w:r>
                    <w:rPr>
                      <w:bCs/>
                    </w:rPr>
                    <w:t>特性</w:t>
                  </w:r>
                </w:p>
              </w:tc>
              <w:tc>
                <w:tcPr>
                  <w:tcW w:w="459" w:type="pct"/>
                  <w:vAlign w:val="center"/>
                </w:tcPr>
                <w:p w14:paraId="7C73A08D">
                  <w:pPr>
                    <w:pStyle w:val="29"/>
                    <w:rPr>
                      <w:bCs/>
                    </w:rPr>
                  </w:pPr>
                  <w:r>
                    <w:rPr>
                      <w:bCs/>
                    </w:rPr>
                    <w:t>污染防治措施</w:t>
                  </w:r>
                </w:p>
              </w:tc>
            </w:tr>
            <w:tr w14:paraId="25B5F833">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567" w:hRule="atLeast"/>
              </w:trPr>
              <w:tc>
                <w:tcPr>
                  <w:tcW w:w="153" w:type="pct"/>
                  <w:vAlign w:val="center"/>
                </w:tcPr>
                <w:p w14:paraId="7A54CFB9">
                  <w:pPr>
                    <w:pStyle w:val="29"/>
                    <w:rPr>
                      <w:bCs/>
                    </w:rPr>
                  </w:pPr>
                  <w:r>
                    <w:rPr>
                      <w:bCs/>
                    </w:rPr>
                    <w:t>1</w:t>
                  </w:r>
                </w:p>
              </w:tc>
              <w:tc>
                <w:tcPr>
                  <w:tcW w:w="526" w:type="pct"/>
                  <w:vAlign w:val="center"/>
                </w:tcPr>
                <w:p w14:paraId="22B1DE06">
                  <w:pPr>
                    <w:pStyle w:val="29"/>
                    <w:rPr>
                      <w:bCs/>
                    </w:rPr>
                  </w:pPr>
                  <w:r>
                    <w:rPr>
                      <w:bCs/>
                    </w:rPr>
                    <w:t>废机油</w:t>
                  </w:r>
                </w:p>
              </w:tc>
              <w:tc>
                <w:tcPr>
                  <w:tcW w:w="534" w:type="pct"/>
                  <w:vAlign w:val="center"/>
                </w:tcPr>
                <w:p w14:paraId="1C9F62B9">
                  <w:pPr>
                    <w:pStyle w:val="29"/>
                    <w:rPr>
                      <w:bCs/>
                    </w:rPr>
                  </w:pPr>
                  <w:r>
                    <w:rPr>
                      <w:bCs/>
                    </w:rPr>
                    <w:t>HW08</w:t>
                  </w:r>
                </w:p>
              </w:tc>
              <w:tc>
                <w:tcPr>
                  <w:tcW w:w="766" w:type="pct"/>
                  <w:vAlign w:val="center"/>
                </w:tcPr>
                <w:p w14:paraId="299B252E">
                  <w:pPr>
                    <w:pStyle w:val="29"/>
                    <w:rPr>
                      <w:bCs/>
                    </w:rPr>
                  </w:pPr>
                  <w:r>
                    <w:rPr>
                      <w:bCs/>
                    </w:rPr>
                    <w:t>900-217-08</w:t>
                  </w:r>
                </w:p>
              </w:tc>
              <w:tc>
                <w:tcPr>
                  <w:tcW w:w="457" w:type="pct"/>
                  <w:vAlign w:val="center"/>
                </w:tcPr>
                <w:p w14:paraId="3FEE249C">
                  <w:pPr>
                    <w:pStyle w:val="29"/>
                    <w:rPr>
                      <w:bCs/>
                    </w:rPr>
                  </w:pPr>
                  <w:r>
                    <w:rPr>
                      <w:bCs/>
                    </w:rPr>
                    <w:t>0.012</w:t>
                  </w:r>
                </w:p>
              </w:tc>
              <w:tc>
                <w:tcPr>
                  <w:tcW w:w="583" w:type="pct"/>
                  <w:vAlign w:val="center"/>
                </w:tcPr>
                <w:p w14:paraId="2DFF58C7">
                  <w:pPr>
                    <w:pStyle w:val="29"/>
                    <w:rPr>
                      <w:bCs/>
                    </w:rPr>
                  </w:pPr>
                  <w:r>
                    <w:rPr>
                      <w:bCs/>
                      <w:color w:val="EE0000"/>
                    </w:rPr>
                    <w:t>生产过程</w:t>
                  </w:r>
                </w:p>
              </w:tc>
              <w:tc>
                <w:tcPr>
                  <w:tcW w:w="306" w:type="pct"/>
                  <w:vAlign w:val="center"/>
                </w:tcPr>
                <w:p w14:paraId="37FD978B">
                  <w:pPr>
                    <w:pStyle w:val="29"/>
                    <w:rPr>
                      <w:bCs/>
                    </w:rPr>
                  </w:pPr>
                  <w:r>
                    <w:rPr>
                      <w:bCs/>
                    </w:rPr>
                    <w:t>液态</w:t>
                  </w:r>
                </w:p>
              </w:tc>
              <w:tc>
                <w:tcPr>
                  <w:tcW w:w="437" w:type="pct"/>
                  <w:vMerge w:val="restart"/>
                  <w:vAlign w:val="center"/>
                </w:tcPr>
                <w:p w14:paraId="16AB93C1">
                  <w:pPr>
                    <w:pStyle w:val="29"/>
                    <w:rPr>
                      <w:bCs/>
                    </w:rPr>
                  </w:pPr>
                  <w:r>
                    <w:rPr>
                      <w:bCs/>
                    </w:rPr>
                    <w:t>矿物油</w:t>
                  </w:r>
                </w:p>
              </w:tc>
              <w:tc>
                <w:tcPr>
                  <w:tcW w:w="478" w:type="pct"/>
                  <w:vAlign w:val="center"/>
                </w:tcPr>
                <w:p w14:paraId="4F5007F0">
                  <w:pPr>
                    <w:pStyle w:val="29"/>
                    <w:rPr>
                      <w:bCs/>
                    </w:rPr>
                  </w:pPr>
                  <w:r>
                    <w:rPr>
                      <w:bCs/>
                    </w:rPr>
                    <w:t>每个月一次</w:t>
                  </w:r>
                </w:p>
              </w:tc>
              <w:tc>
                <w:tcPr>
                  <w:tcW w:w="301" w:type="pct"/>
                  <w:vAlign w:val="center"/>
                </w:tcPr>
                <w:p w14:paraId="4C4D5E33">
                  <w:pPr>
                    <w:pStyle w:val="29"/>
                    <w:rPr>
                      <w:bCs/>
                    </w:rPr>
                  </w:pPr>
                  <w:r>
                    <w:rPr>
                      <w:bCs/>
                    </w:rPr>
                    <w:t>T，I</w:t>
                  </w:r>
                </w:p>
              </w:tc>
              <w:tc>
                <w:tcPr>
                  <w:tcW w:w="459" w:type="pct"/>
                  <w:vMerge w:val="restart"/>
                  <w:vAlign w:val="center"/>
                </w:tcPr>
                <w:p w14:paraId="4F23A677">
                  <w:pPr>
                    <w:pStyle w:val="29"/>
                    <w:rPr>
                      <w:bCs/>
                    </w:rPr>
                  </w:pPr>
                  <w:r>
                    <w:rPr>
                      <w:bCs/>
                    </w:rPr>
                    <w:t>交由有危险废物处理资质的单位处理</w:t>
                  </w:r>
                </w:p>
              </w:tc>
            </w:tr>
            <w:tr w14:paraId="4895F189">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567" w:hRule="atLeast"/>
              </w:trPr>
              <w:tc>
                <w:tcPr>
                  <w:tcW w:w="153" w:type="pct"/>
                  <w:vAlign w:val="center"/>
                </w:tcPr>
                <w:p w14:paraId="15416F4E">
                  <w:pPr>
                    <w:pStyle w:val="29"/>
                    <w:rPr>
                      <w:bCs/>
                    </w:rPr>
                  </w:pPr>
                  <w:r>
                    <w:rPr>
                      <w:bCs/>
                    </w:rPr>
                    <w:t>2</w:t>
                  </w:r>
                </w:p>
              </w:tc>
              <w:tc>
                <w:tcPr>
                  <w:tcW w:w="526" w:type="pct"/>
                  <w:vAlign w:val="center"/>
                </w:tcPr>
                <w:p w14:paraId="0A57AF53">
                  <w:pPr>
                    <w:pStyle w:val="29"/>
                    <w:rPr>
                      <w:bCs/>
                    </w:rPr>
                  </w:pPr>
                  <w:r>
                    <w:rPr>
                      <w:bCs/>
                    </w:rPr>
                    <w:t>废</w:t>
                  </w:r>
                  <w:r>
                    <w:rPr>
                      <w:bCs/>
                      <w:color w:val="0000FF"/>
                    </w:rPr>
                    <w:t>电火花机</w:t>
                  </w:r>
                  <w:r>
                    <w:rPr>
                      <w:bCs/>
                    </w:rPr>
                    <w:t>油</w:t>
                  </w:r>
                </w:p>
              </w:tc>
              <w:tc>
                <w:tcPr>
                  <w:tcW w:w="534" w:type="pct"/>
                  <w:vAlign w:val="center"/>
                </w:tcPr>
                <w:p w14:paraId="60EDA82A">
                  <w:pPr>
                    <w:pStyle w:val="29"/>
                    <w:rPr>
                      <w:bCs/>
                    </w:rPr>
                  </w:pPr>
                  <w:r>
                    <w:rPr>
                      <w:bCs/>
                    </w:rPr>
                    <w:t>HW08</w:t>
                  </w:r>
                </w:p>
              </w:tc>
              <w:tc>
                <w:tcPr>
                  <w:tcW w:w="766" w:type="pct"/>
                  <w:vAlign w:val="center"/>
                </w:tcPr>
                <w:p w14:paraId="1859491F">
                  <w:pPr>
                    <w:pStyle w:val="29"/>
                    <w:rPr>
                      <w:bCs/>
                    </w:rPr>
                  </w:pPr>
                  <w:r>
                    <w:rPr>
                      <w:bCs/>
                    </w:rPr>
                    <w:t>900-2</w:t>
                  </w:r>
                  <w:r>
                    <w:rPr>
                      <w:rFonts w:hint="eastAsia"/>
                      <w:bCs/>
                      <w:color w:val="EE0000"/>
                    </w:rPr>
                    <w:t>09</w:t>
                  </w:r>
                  <w:r>
                    <w:rPr>
                      <w:bCs/>
                    </w:rPr>
                    <w:t>-08</w:t>
                  </w:r>
                </w:p>
              </w:tc>
              <w:tc>
                <w:tcPr>
                  <w:tcW w:w="457" w:type="pct"/>
                  <w:vAlign w:val="center"/>
                </w:tcPr>
                <w:p w14:paraId="3456F963">
                  <w:pPr>
                    <w:pStyle w:val="29"/>
                    <w:rPr>
                      <w:bCs/>
                    </w:rPr>
                  </w:pPr>
                  <w:r>
                    <w:rPr>
                      <w:bCs/>
                    </w:rPr>
                    <w:t>0.008</w:t>
                  </w:r>
                </w:p>
              </w:tc>
              <w:tc>
                <w:tcPr>
                  <w:tcW w:w="583" w:type="pct"/>
                  <w:vAlign w:val="center"/>
                </w:tcPr>
                <w:p w14:paraId="07AA1D9D">
                  <w:pPr>
                    <w:pStyle w:val="29"/>
                    <w:rPr>
                      <w:bCs/>
                      <w:color w:val="EE0000"/>
                    </w:rPr>
                  </w:pPr>
                  <w:r>
                    <w:rPr>
                      <w:bCs/>
                      <w:color w:val="EE0000"/>
                    </w:rPr>
                    <w:t>生产过程</w:t>
                  </w:r>
                </w:p>
              </w:tc>
              <w:tc>
                <w:tcPr>
                  <w:tcW w:w="306" w:type="pct"/>
                  <w:vAlign w:val="center"/>
                </w:tcPr>
                <w:p w14:paraId="243ED0ED">
                  <w:pPr>
                    <w:pStyle w:val="29"/>
                    <w:rPr>
                      <w:bCs/>
                    </w:rPr>
                  </w:pPr>
                  <w:r>
                    <w:rPr>
                      <w:bCs/>
                    </w:rPr>
                    <w:t>液态</w:t>
                  </w:r>
                </w:p>
              </w:tc>
              <w:tc>
                <w:tcPr>
                  <w:tcW w:w="437" w:type="pct"/>
                  <w:vMerge w:val="continue"/>
                  <w:vAlign w:val="center"/>
                </w:tcPr>
                <w:p w14:paraId="18E1D31D">
                  <w:pPr>
                    <w:pStyle w:val="29"/>
                    <w:rPr>
                      <w:bCs/>
                    </w:rPr>
                  </w:pPr>
                </w:p>
              </w:tc>
              <w:tc>
                <w:tcPr>
                  <w:tcW w:w="478" w:type="pct"/>
                  <w:vAlign w:val="center"/>
                </w:tcPr>
                <w:p w14:paraId="2A6CD029">
                  <w:pPr>
                    <w:pStyle w:val="29"/>
                    <w:rPr>
                      <w:bCs/>
                    </w:rPr>
                  </w:pPr>
                  <w:r>
                    <w:rPr>
                      <w:bCs/>
                    </w:rPr>
                    <w:t>每个月一次</w:t>
                  </w:r>
                </w:p>
              </w:tc>
              <w:tc>
                <w:tcPr>
                  <w:tcW w:w="301" w:type="pct"/>
                  <w:vAlign w:val="center"/>
                </w:tcPr>
                <w:p w14:paraId="2B7A7975">
                  <w:pPr>
                    <w:pStyle w:val="29"/>
                    <w:rPr>
                      <w:bCs/>
                    </w:rPr>
                  </w:pPr>
                  <w:r>
                    <w:rPr>
                      <w:bCs/>
                    </w:rPr>
                    <w:t>T，I</w:t>
                  </w:r>
                </w:p>
              </w:tc>
              <w:tc>
                <w:tcPr>
                  <w:tcW w:w="459" w:type="pct"/>
                  <w:vMerge w:val="continue"/>
                  <w:vAlign w:val="center"/>
                </w:tcPr>
                <w:p w14:paraId="149238B3">
                  <w:pPr>
                    <w:pStyle w:val="29"/>
                    <w:rPr>
                      <w:bCs/>
                    </w:rPr>
                  </w:pPr>
                </w:p>
              </w:tc>
            </w:tr>
            <w:tr w14:paraId="2F8C48C5">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567" w:hRule="atLeast"/>
              </w:trPr>
              <w:tc>
                <w:tcPr>
                  <w:tcW w:w="153" w:type="pct"/>
                  <w:vAlign w:val="center"/>
                </w:tcPr>
                <w:p w14:paraId="50FF959E">
                  <w:pPr>
                    <w:pStyle w:val="29"/>
                    <w:rPr>
                      <w:bCs/>
                    </w:rPr>
                  </w:pPr>
                  <w:r>
                    <w:rPr>
                      <w:bCs/>
                    </w:rPr>
                    <w:t>3</w:t>
                  </w:r>
                </w:p>
              </w:tc>
              <w:tc>
                <w:tcPr>
                  <w:tcW w:w="526" w:type="pct"/>
                  <w:vAlign w:val="center"/>
                </w:tcPr>
                <w:p w14:paraId="781BA71C">
                  <w:pPr>
                    <w:pStyle w:val="29"/>
                    <w:rPr>
                      <w:bCs/>
                    </w:rPr>
                  </w:pPr>
                  <w:r>
                    <w:rPr>
                      <w:bCs/>
                    </w:rPr>
                    <w:t>废油桶</w:t>
                  </w:r>
                </w:p>
              </w:tc>
              <w:tc>
                <w:tcPr>
                  <w:tcW w:w="534" w:type="pct"/>
                  <w:vAlign w:val="center"/>
                </w:tcPr>
                <w:p w14:paraId="57E6DFC5">
                  <w:pPr>
                    <w:pStyle w:val="29"/>
                    <w:rPr>
                      <w:bCs/>
                    </w:rPr>
                  </w:pPr>
                  <w:r>
                    <w:rPr>
                      <w:bCs/>
                    </w:rPr>
                    <w:t>HW08</w:t>
                  </w:r>
                </w:p>
              </w:tc>
              <w:tc>
                <w:tcPr>
                  <w:tcW w:w="766" w:type="pct"/>
                  <w:vAlign w:val="center"/>
                </w:tcPr>
                <w:p w14:paraId="4F23797C">
                  <w:pPr>
                    <w:pStyle w:val="29"/>
                    <w:rPr>
                      <w:bCs/>
                    </w:rPr>
                  </w:pPr>
                  <w:r>
                    <w:rPr>
                      <w:bCs/>
                    </w:rPr>
                    <w:t>900-249-08</w:t>
                  </w:r>
                </w:p>
              </w:tc>
              <w:tc>
                <w:tcPr>
                  <w:tcW w:w="457" w:type="pct"/>
                  <w:vAlign w:val="center"/>
                </w:tcPr>
                <w:p w14:paraId="1EF859A0">
                  <w:pPr>
                    <w:pStyle w:val="29"/>
                    <w:rPr>
                      <w:bCs/>
                    </w:rPr>
                  </w:pPr>
                  <w:r>
                    <w:rPr>
                      <w:bCs/>
                    </w:rPr>
                    <w:t>0.002</w:t>
                  </w:r>
                </w:p>
              </w:tc>
              <w:tc>
                <w:tcPr>
                  <w:tcW w:w="583" w:type="pct"/>
                  <w:vAlign w:val="center"/>
                </w:tcPr>
                <w:p w14:paraId="3892FEDB">
                  <w:pPr>
                    <w:pStyle w:val="29"/>
                    <w:rPr>
                      <w:bCs/>
                      <w:color w:val="EE0000"/>
                    </w:rPr>
                  </w:pPr>
                  <w:r>
                    <w:rPr>
                      <w:bCs/>
                      <w:color w:val="EE0000"/>
                    </w:rPr>
                    <w:t>原料使用</w:t>
                  </w:r>
                </w:p>
              </w:tc>
              <w:tc>
                <w:tcPr>
                  <w:tcW w:w="306" w:type="pct"/>
                  <w:vAlign w:val="center"/>
                </w:tcPr>
                <w:p w14:paraId="7A47E615">
                  <w:pPr>
                    <w:pStyle w:val="29"/>
                    <w:rPr>
                      <w:bCs/>
                    </w:rPr>
                  </w:pPr>
                  <w:r>
                    <w:rPr>
                      <w:bCs/>
                    </w:rPr>
                    <w:t>固态</w:t>
                  </w:r>
                </w:p>
              </w:tc>
              <w:tc>
                <w:tcPr>
                  <w:tcW w:w="437" w:type="pct"/>
                  <w:vMerge w:val="continue"/>
                  <w:vAlign w:val="center"/>
                </w:tcPr>
                <w:p w14:paraId="33529B41">
                  <w:pPr>
                    <w:pStyle w:val="29"/>
                    <w:rPr>
                      <w:bCs/>
                    </w:rPr>
                  </w:pPr>
                </w:p>
              </w:tc>
              <w:tc>
                <w:tcPr>
                  <w:tcW w:w="478" w:type="pct"/>
                  <w:vAlign w:val="center"/>
                </w:tcPr>
                <w:p w14:paraId="031AEE8C">
                  <w:pPr>
                    <w:pStyle w:val="29"/>
                    <w:rPr>
                      <w:bCs/>
                    </w:rPr>
                  </w:pPr>
                  <w:r>
                    <w:rPr>
                      <w:bCs/>
                    </w:rPr>
                    <w:t>每个月一次</w:t>
                  </w:r>
                </w:p>
              </w:tc>
              <w:tc>
                <w:tcPr>
                  <w:tcW w:w="301" w:type="pct"/>
                  <w:vAlign w:val="center"/>
                </w:tcPr>
                <w:p w14:paraId="3B3E33D9">
                  <w:pPr>
                    <w:pStyle w:val="29"/>
                    <w:rPr>
                      <w:bCs/>
                    </w:rPr>
                  </w:pPr>
                  <w:r>
                    <w:rPr>
                      <w:bCs/>
                    </w:rPr>
                    <w:t>T，I</w:t>
                  </w:r>
                </w:p>
              </w:tc>
              <w:tc>
                <w:tcPr>
                  <w:tcW w:w="459" w:type="pct"/>
                  <w:vMerge w:val="continue"/>
                  <w:vAlign w:val="center"/>
                </w:tcPr>
                <w:p w14:paraId="5C57CE25">
                  <w:pPr>
                    <w:pStyle w:val="29"/>
                    <w:rPr>
                      <w:bCs/>
                    </w:rPr>
                  </w:pPr>
                </w:p>
              </w:tc>
            </w:tr>
            <w:tr w14:paraId="66758082">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567" w:hRule="atLeast"/>
              </w:trPr>
              <w:tc>
                <w:tcPr>
                  <w:tcW w:w="153" w:type="pct"/>
                  <w:vAlign w:val="center"/>
                </w:tcPr>
                <w:p w14:paraId="33D0738D">
                  <w:pPr>
                    <w:pStyle w:val="29"/>
                    <w:rPr>
                      <w:bCs/>
                    </w:rPr>
                  </w:pPr>
                  <w:r>
                    <w:rPr>
                      <w:bCs/>
                    </w:rPr>
                    <w:t>4</w:t>
                  </w:r>
                </w:p>
              </w:tc>
              <w:tc>
                <w:tcPr>
                  <w:tcW w:w="526" w:type="pct"/>
                  <w:vAlign w:val="center"/>
                </w:tcPr>
                <w:p w14:paraId="5EEDB4B9">
                  <w:pPr>
                    <w:pStyle w:val="29"/>
                    <w:rPr>
                      <w:bCs/>
                    </w:rPr>
                  </w:pPr>
                  <w:r>
                    <w:rPr>
                      <w:bCs/>
                    </w:rPr>
                    <w:t>废含油抹布及手套</w:t>
                  </w:r>
                </w:p>
              </w:tc>
              <w:tc>
                <w:tcPr>
                  <w:tcW w:w="534" w:type="pct"/>
                  <w:vAlign w:val="center"/>
                </w:tcPr>
                <w:p w14:paraId="603B0881">
                  <w:pPr>
                    <w:pStyle w:val="29"/>
                    <w:rPr>
                      <w:bCs/>
                    </w:rPr>
                  </w:pPr>
                  <w:r>
                    <w:rPr>
                      <w:bCs/>
                    </w:rPr>
                    <w:t>HW49</w:t>
                  </w:r>
                </w:p>
              </w:tc>
              <w:tc>
                <w:tcPr>
                  <w:tcW w:w="766" w:type="pct"/>
                  <w:vAlign w:val="center"/>
                </w:tcPr>
                <w:p w14:paraId="53C21AE6">
                  <w:pPr>
                    <w:pStyle w:val="29"/>
                    <w:rPr>
                      <w:bCs/>
                    </w:rPr>
                  </w:pPr>
                  <w:r>
                    <w:rPr>
                      <w:bCs/>
                    </w:rPr>
                    <w:t>900-041-49</w:t>
                  </w:r>
                </w:p>
              </w:tc>
              <w:tc>
                <w:tcPr>
                  <w:tcW w:w="457" w:type="pct"/>
                  <w:vAlign w:val="center"/>
                </w:tcPr>
                <w:p w14:paraId="588EC1D2">
                  <w:pPr>
                    <w:pStyle w:val="29"/>
                    <w:rPr>
                      <w:bCs/>
                    </w:rPr>
                  </w:pPr>
                  <w:r>
                    <w:rPr>
                      <w:bCs/>
                    </w:rPr>
                    <w:t>0.05</w:t>
                  </w:r>
                </w:p>
              </w:tc>
              <w:tc>
                <w:tcPr>
                  <w:tcW w:w="583" w:type="pct"/>
                  <w:vAlign w:val="center"/>
                </w:tcPr>
                <w:p w14:paraId="77AE6E13">
                  <w:pPr>
                    <w:pStyle w:val="29"/>
                    <w:rPr>
                      <w:bCs/>
                    </w:rPr>
                  </w:pPr>
                  <w:r>
                    <w:rPr>
                      <w:bCs/>
                    </w:rPr>
                    <w:t>设备维护</w:t>
                  </w:r>
                </w:p>
              </w:tc>
              <w:tc>
                <w:tcPr>
                  <w:tcW w:w="306" w:type="pct"/>
                  <w:vAlign w:val="center"/>
                </w:tcPr>
                <w:p w14:paraId="79C1D878">
                  <w:pPr>
                    <w:pStyle w:val="29"/>
                    <w:rPr>
                      <w:bCs/>
                    </w:rPr>
                  </w:pPr>
                  <w:r>
                    <w:rPr>
                      <w:bCs/>
                    </w:rPr>
                    <w:t>固态</w:t>
                  </w:r>
                </w:p>
              </w:tc>
              <w:tc>
                <w:tcPr>
                  <w:tcW w:w="437" w:type="pct"/>
                  <w:vMerge w:val="continue"/>
                  <w:vAlign w:val="center"/>
                </w:tcPr>
                <w:p w14:paraId="1C9A6051">
                  <w:pPr>
                    <w:pStyle w:val="29"/>
                    <w:rPr>
                      <w:bCs/>
                    </w:rPr>
                  </w:pPr>
                </w:p>
              </w:tc>
              <w:tc>
                <w:tcPr>
                  <w:tcW w:w="478" w:type="pct"/>
                  <w:vAlign w:val="center"/>
                </w:tcPr>
                <w:p w14:paraId="696DCC7B">
                  <w:pPr>
                    <w:pStyle w:val="29"/>
                    <w:rPr>
                      <w:bCs/>
                    </w:rPr>
                  </w:pPr>
                  <w:r>
                    <w:rPr>
                      <w:bCs/>
                    </w:rPr>
                    <w:t>每个月一次</w:t>
                  </w:r>
                </w:p>
              </w:tc>
              <w:tc>
                <w:tcPr>
                  <w:tcW w:w="301" w:type="pct"/>
                  <w:vAlign w:val="center"/>
                </w:tcPr>
                <w:p w14:paraId="344A6858">
                  <w:pPr>
                    <w:pStyle w:val="29"/>
                    <w:rPr>
                      <w:bCs/>
                    </w:rPr>
                  </w:pPr>
                  <w:r>
                    <w:rPr>
                      <w:bCs/>
                    </w:rPr>
                    <w:t>T，I</w:t>
                  </w:r>
                </w:p>
              </w:tc>
              <w:tc>
                <w:tcPr>
                  <w:tcW w:w="459" w:type="pct"/>
                  <w:vMerge w:val="continue"/>
                  <w:vAlign w:val="center"/>
                </w:tcPr>
                <w:p w14:paraId="2591D3C2">
                  <w:pPr>
                    <w:pStyle w:val="29"/>
                    <w:rPr>
                      <w:bCs/>
                    </w:rPr>
                  </w:pPr>
                </w:p>
              </w:tc>
            </w:tr>
            <w:tr w14:paraId="2BC25B34">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567" w:hRule="atLeast"/>
              </w:trPr>
              <w:tc>
                <w:tcPr>
                  <w:tcW w:w="153" w:type="pct"/>
                  <w:vAlign w:val="center"/>
                </w:tcPr>
                <w:p w14:paraId="44CFDC8F">
                  <w:pPr>
                    <w:pStyle w:val="29"/>
                    <w:rPr>
                      <w:bCs/>
                    </w:rPr>
                  </w:pPr>
                  <w:r>
                    <w:rPr>
                      <w:bCs/>
                    </w:rPr>
                    <w:t>5</w:t>
                  </w:r>
                </w:p>
              </w:tc>
              <w:tc>
                <w:tcPr>
                  <w:tcW w:w="526" w:type="pct"/>
                  <w:vAlign w:val="center"/>
                </w:tcPr>
                <w:p w14:paraId="754D31E9">
                  <w:pPr>
                    <w:pStyle w:val="29"/>
                    <w:rPr>
                      <w:bCs/>
                    </w:rPr>
                  </w:pPr>
                  <w:r>
                    <w:rPr>
                      <w:bCs/>
                    </w:rPr>
                    <w:t>废抹布手套</w:t>
                  </w:r>
                </w:p>
              </w:tc>
              <w:tc>
                <w:tcPr>
                  <w:tcW w:w="534" w:type="pct"/>
                  <w:vAlign w:val="center"/>
                </w:tcPr>
                <w:p w14:paraId="2D80C14A">
                  <w:pPr>
                    <w:pStyle w:val="29"/>
                    <w:rPr>
                      <w:bCs/>
                    </w:rPr>
                  </w:pPr>
                  <w:r>
                    <w:rPr>
                      <w:bCs/>
                    </w:rPr>
                    <w:t>HW12</w:t>
                  </w:r>
                </w:p>
              </w:tc>
              <w:tc>
                <w:tcPr>
                  <w:tcW w:w="766" w:type="pct"/>
                  <w:vAlign w:val="center"/>
                </w:tcPr>
                <w:p w14:paraId="3F840149">
                  <w:pPr>
                    <w:pStyle w:val="29"/>
                    <w:rPr>
                      <w:bCs/>
                    </w:rPr>
                  </w:pPr>
                  <w:r>
                    <w:rPr>
                      <w:bCs/>
                    </w:rPr>
                    <w:t>900-253-12</w:t>
                  </w:r>
                </w:p>
              </w:tc>
              <w:tc>
                <w:tcPr>
                  <w:tcW w:w="457" w:type="pct"/>
                  <w:vAlign w:val="center"/>
                </w:tcPr>
                <w:p w14:paraId="46321959">
                  <w:pPr>
                    <w:pStyle w:val="29"/>
                    <w:rPr>
                      <w:bCs/>
                    </w:rPr>
                  </w:pPr>
                  <w:r>
                    <w:rPr>
                      <w:bCs/>
                    </w:rPr>
                    <w:t>0.05</w:t>
                  </w:r>
                </w:p>
              </w:tc>
              <w:tc>
                <w:tcPr>
                  <w:tcW w:w="583" w:type="pct"/>
                  <w:vAlign w:val="center"/>
                </w:tcPr>
                <w:p w14:paraId="0B033E48">
                  <w:pPr>
                    <w:pStyle w:val="29"/>
                    <w:rPr>
                      <w:bCs/>
                    </w:rPr>
                  </w:pPr>
                  <w:r>
                    <w:rPr>
                      <w:bCs/>
                      <w:color w:val="EE0000"/>
                    </w:rPr>
                    <w:t>生产过程</w:t>
                  </w:r>
                </w:p>
              </w:tc>
              <w:tc>
                <w:tcPr>
                  <w:tcW w:w="306" w:type="pct"/>
                  <w:vAlign w:val="center"/>
                </w:tcPr>
                <w:p w14:paraId="1679068F">
                  <w:pPr>
                    <w:pStyle w:val="29"/>
                    <w:rPr>
                      <w:bCs/>
                    </w:rPr>
                  </w:pPr>
                  <w:r>
                    <w:rPr>
                      <w:bCs/>
                    </w:rPr>
                    <w:t>固态</w:t>
                  </w:r>
                </w:p>
              </w:tc>
              <w:tc>
                <w:tcPr>
                  <w:tcW w:w="437" w:type="pct"/>
                  <w:vMerge w:val="restart"/>
                  <w:vAlign w:val="center"/>
                </w:tcPr>
                <w:p w14:paraId="3BFD4A7B">
                  <w:pPr>
                    <w:pStyle w:val="29"/>
                    <w:rPr>
                      <w:bCs/>
                    </w:rPr>
                  </w:pPr>
                  <w:r>
                    <w:rPr>
                      <w:bCs/>
                    </w:rPr>
                    <w:t>水性油墨</w:t>
                  </w:r>
                </w:p>
              </w:tc>
              <w:tc>
                <w:tcPr>
                  <w:tcW w:w="478" w:type="pct"/>
                  <w:vAlign w:val="center"/>
                </w:tcPr>
                <w:p w14:paraId="7F1F22CD">
                  <w:pPr>
                    <w:pStyle w:val="29"/>
                    <w:rPr>
                      <w:bCs/>
                    </w:rPr>
                  </w:pPr>
                  <w:r>
                    <w:rPr>
                      <w:bCs/>
                    </w:rPr>
                    <w:t>每天一次</w:t>
                  </w:r>
                </w:p>
              </w:tc>
              <w:tc>
                <w:tcPr>
                  <w:tcW w:w="301" w:type="pct"/>
                  <w:vAlign w:val="center"/>
                </w:tcPr>
                <w:p w14:paraId="688715AC">
                  <w:pPr>
                    <w:pStyle w:val="29"/>
                    <w:rPr>
                      <w:bCs/>
                    </w:rPr>
                  </w:pPr>
                  <w:r>
                    <w:rPr>
                      <w:bCs/>
                    </w:rPr>
                    <w:t>T，I</w:t>
                  </w:r>
                </w:p>
              </w:tc>
              <w:tc>
                <w:tcPr>
                  <w:tcW w:w="459" w:type="pct"/>
                  <w:vMerge w:val="continue"/>
                  <w:vAlign w:val="center"/>
                </w:tcPr>
                <w:p w14:paraId="2157436C">
                  <w:pPr>
                    <w:pStyle w:val="29"/>
                    <w:rPr>
                      <w:bCs/>
                    </w:rPr>
                  </w:pPr>
                </w:p>
              </w:tc>
            </w:tr>
            <w:tr w14:paraId="6C025BA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567" w:hRule="atLeast"/>
              </w:trPr>
              <w:tc>
                <w:tcPr>
                  <w:tcW w:w="153" w:type="pct"/>
                  <w:vAlign w:val="center"/>
                </w:tcPr>
                <w:p w14:paraId="5A31B2FB">
                  <w:pPr>
                    <w:pStyle w:val="29"/>
                    <w:rPr>
                      <w:bCs/>
                    </w:rPr>
                  </w:pPr>
                  <w:r>
                    <w:rPr>
                      <w:bCs/>
                    </w:rPr>
                    <w:t>6</w:t>
                  </w:r>
                </w:p>
              </w:tc>
              <w:tc>
                <w:tcPr>
                  <w:tcW w:w="526" w:type="pct"/>
                  <w:vAlign w:val="center"/>
                </w:tcPr>
                <w:p w14:paraId="3FAC1FE6">
                  <w:pPr>
                    <w:pStyle w:val="29"/>
                    <w:rPr>
                      <w:bCs/>
                    </w:rPr>
                  </w:pPr>
                  <w:r>
                    <w:rPr>
                      <w:bCs/>
                    </w:rPr>
                    <w:t>废空桶</w:t>
                  </w:r>
                </w:p>
              </w:tc>
              <w:tc>
                <w:tcPr>
                  <w:tcW w:w="534" w:type="pct"/>
                  <w:vAlign w:val="center"/>
                </w:tcPr>
                <w:p w14:paraId="495096CB">
                  <w:pPr>
                    <w:pStyle w:val="29"/>
                    <w:rPr>
                      <w:bCs/>
                    </w:rPr>
                  </w:pPr>
                  <w:r>
                    <w:rPr>
                      <w:bCs/>
                    </w:rPr>
                    <w:t>HW49</w:t>
                  </w:r>
                </w:p>
              </w:tc>
              <w:tc>
                <w:tcPr>
                  <w:tcW w:w="766" w:type="pct"/>
                  <w:vAlign w:val="center"/>
                </w:tcPr>
                <w:p w14:paraId="33B5B43A">
                  <w:pPr>
                    <w:pStyle w:val="29"/>
                    <w:rPr>
                      <w:bCs/>
                    </w:rPr>
                  </w:pPr>
                  <w:r>
                    <w:rPr>
                      <w:bCs/>
                    </w:rPr>
                    <w:t>900-041-49</w:t>
                  </w:r>
                </w:p>
              </w:tc>
              <w:tc>
                <w:tcPr>
                  <w:tcW w:w="457" w:type="pct"/>
                  <w:vAlign w:val="center"/>
                </w:tcPr>
                <w:p w14:paraId="5CCFDDAD">
                  <w:pPr>
                    <w:pStyle w:val="29"/>
                    <w:rPr>
                      <w:bCs/>
                    </w:rPr>
                  </w:pPr>
                  <w:r>
                    <w:rPr>
                      <w:bCs/>
                      <w:color w:val="EE0000"/>
                    </w:rPr>
                    <w:t>0.</w:t>
                  </w:r>
                  <w:r>
                    <w:rPr>
                      <w:rFonts w:hint="eastAsia"/>
                      <w:bCs/>
                      <w:color w:val="EE0000"/>
                    </w:rPr>
                    <w:t>155</w:t>
                  </w:r>
                </w:p>
              </w:tc>
              <w:tc>
                <w:tcPr>
                  <w:tcW w:w="583" w:type="pct"/>
                  <w:vAlign w:val="center"/>
                </w:tcPr>
                <w:p w14:paraId="2D781010">
                  <w:pPr>
                    <w:pStyle w:val="29"/>
                    <w:rPr>
                      <w:bCs/>
                      <w:color w:val="EE0000"/>
                    </w:rPr>
                  </w:pPr>
                  <w:r>
                    <w:rPr>
                      <w:bCs/>
                      <w:color w:val="EE0000"/>
                    </w:rPr>
                    <w:t>生产过程</w:t>
                  </w:r>
                </w:p>
              </w:tc>
              <w:tc>
                <w:tcPr>
                  <w:tcW w:w="306" w:type="pct"/>
                  <w:vAlign w:val="center"/>
                </w:tcPr>
                <w:p w14:paraId="720D03F6">
                  <w:pPr>
                    <w:pStyle w:val="29"/>
                    <w:rPr>
                      <w:bCs/>
                    </w:rPr>
                  </w:pPr>
                  <w:r>
                    <w:rPr>
                      <w:bCs/>
                    </w:rPr>
                    <w:t>固态</w:t>
                  </w:r>
                </w:p>
              </w:tc>
              <w:tc>
                <w:tcPr>
                  <w:tcW w:w="437" w:type="pct"/>
                  <w:vMerge w:val="continue"/>
                  <w:vAlign w:val="center"/>
                </w:tcPr>
                <w:p w14:paraId="785DDF83">
                  <w:pPr>
                    <w:pStyle w:val="29"/>
                    <w:rPr>
                      <w:bCs/>
                    </w:rPr>
                  </w:pPr>
                </w:p>
              </w:tc>
              <w:tc>
                <w:tcPr>
                  <w:tcW w:w="478" w:type="pct"/>
                  <w:vAlign w:val="center"/>
                </w:tcPr>
                <w:p w14:paraId="44549B34">
                  <w:pPr>
                    <w:pStyle w:val="29"/>
                    <w:rPr>
                      <w:bCs/>
                    </w:rPr>
                  </w:pPr>
                  <w:r>
                    <w:rPr>
                      <w:bCs/>
                    </w:rPr>
                    <w:t>每天一次</w:t>
                  </w:r>
                </w:p>
              </w:tc>
              <w:tc>
                <w:tcPr>
                  <w:tcW w:w="301" w:type="pct"/>
                  <w:vAlign w:val="center"/>
                </w:tcPr>
                <w:p w14:paraId="7CD2E20B">
                  <w:pPr>
                    <w:pStyle w:val="29"/>
                    <w:rPr>
                      <w:bCs/>
                    </w:rPr>
                  </w:pPr>
                  <w:r>
                    <w:rPr>
                      <w:bCs/>
                    </w:rPr>
                    <w:t>T，I</w:t>
                  </w:r>
                </w:p>
              </w:tc>
              <w:tc>
                <w:tcPr>
                  <w:tcW w:w="459" w:type="pct"/>
                  <w:vMerge w:val="continue"/>
                  <w:vAlign w:val="center"/>
                </w:tcPr>
                <w:p w14:paraId="4136BD20">
                  <w:pPr>
                    <w:pStyle w:val="29"/>
                    <w:rPr>
                      <w:bCs/>
                    </w:rPr>
                  </w:pPr>
                </w:p>
              </w:tc>
            </w:tr>
            <w:tr w14:paraId="7AD0B47D">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567" w:hRule="atLeast"/>
              </w:trPr>
              <w:tc>
                <w:tcPr>
                  <w:tcW w:w="153" w:type="pct"/>
                  <w:vAlign w:val="center"/>
                </w:tcPr>
                <w:p w14:paraId="3182E624">
                  <w:pPr>
                    <w:pStyle w:val="29"/>
                    <w:rPr>
                      <w:bCs/>
                    </w:rPr>
                  </w:pPr>
                  <w:r>
                    <w:rPr>
                      <w:bCs/>
                    </w:rPr>
                    <w:t>7</w:t>
                  </w:r>
                </w:p>
              </w:tc>
              <w:tc>
                <w:tcPr>
                  <w:tcW w:w="526" w:type="pct"/>
                  <w:vAlign w:val="center"/>
                </w:tcPr>
                <w:p w14:paraId="05C3D038">
                  <w:pPr>
                    <w:pStyle w:val="29"/>
                    <w:rPr>
                      <w:bCs/>
                    </w:rPr>
                  </w:pPr>
                  <w:r>
                    <w:rPr>
                      <w:bCs/>
                    </w:rPr>
                    <w:t>废活性炭</w:t>
                  </w:r>
                </w:p>
              </w:tc>
              <w:tc>
                <w:tcPr>
                  <w:tcW w:w="534" w:type="pct"/>
                  <w:vAlign w:val="center"/>
                </w:tcPr>
                <w:p w14:paraId="44179F5A">
                  <w:pPr>
                    <w:pStyle w:val="29"/>
                    <w:rPr>
                      <w:bCs/>
                    </w:rPr>
                  </w:pPr>
                  <w:r>
                    <w:rPr>
                      <w:bCs/>
                    </w:rPr>
                    <w:t>HW49</w:t>
                  </w:r>
                </w:p>
              </w:tc>
              <w:tc>
                <w:tcPr>
                  <w:tcW w:w="766" w:type="pct"/>
                  <w:vAlign w:val="center"/>
                </w:tcPr>
                <w:p w14:paraId="59492393">
                  <w:pPr>
                    <w:pStyle w:val="29"/>
                    <w:rPr>
                      <w:bCs/>
                    </w:rPr>
                  </w:pPr>
                  <w:r>
                    <w:rPr>
                      <w:bCs/>
                    </w:rPr>
                    <w:t>900-039-49</w:t>
                  </w:r>
                </w:p>
              </w:tc>
              <w:tc>
                <w:tcPr>
                  <w:tcW w:w="457" w:type="pct"/>
                  <w:vAlign w:val="center"/>
                </w:tcPr>
                <w:p w14:paraId="65E69D1C">
                  <w:pPr>
                    <w:pStyle w:val="29"/>
                    <w:rPr>
                      <w:bCs/>
                    </w:rPr>
                  </w:pPr>
                  <w:r>
                    <w:rPr>
                      <w:bCs/>
                      <w:color w:val="0000FF"/>
                    </w:rPr>
                    <w:t>3.4179</w:t>
                  </w:r>
                </w:p>
              </w:tc>
              <w:tc>
                <w:tcPr>
                  <w:tcW w:w="583" w:type="pct"/>
                  <w:vAlign w:val="center"/>
                </w:tcPr>
                <w:p w14:paraId="5B262BCA">
                  <w:pPr>
                    <w:pStyle w:val="29"/>
                    <w:rPr>
                      <w:bCs/>
                    </w:rPr>
                  </w:pPr>
                  <w:r>
                    <w:rPr>
                      <w:bCs/>
                    </w:rPr>
                    <w:t>废气处理</w:t>
                  </w:r>
                </w:p>
              </w:tc>
              <w:tc>
                <w:tcPr>
                  <w:tcW w:w="306" w:type="pct"/>
                  <w:vAlign w:val="center"/>
                </w:tcPr>
                <w:p w14:paraId="626ABE72">
                  <w:pPr>
                    <w:pStyle w:val="29"/>
                    <w:rPr>
                      <w:bCs/>
                    </w:rPr>
                  </w:pPr>
                  <w:r>
                    <w:rPr>
                      <w:bCs/>
                    </w:rPr>
                    <w:t>固态</w:t>
                  </w:r>
                </w:p>
              </w:tc>
              <w:tc>
                <w:tcPr>
                  <w:tcW w:w="437" w:type="pct"/>
                  <w:vAlign w:val="center"/>
                </w:tcPr>
                <w:p w14:paraId="341901FE">
                  <w:pPr>
                    <w:pStyle w:val="29"/>
                    <w:rPr>
                      <w:bCs/>
                    </w:rPr>
                  </w:pPr>
                  <w:r>
                    <w:rPr>
                      <w:bCs/>
                    </w:rPr>
                    <w:t>活性炭</w:t>
                  </w:r>
                </w:p>
              </w:tc>
              <w:tc>
                <w:tcPr>
                  <w:tcW w:w="478" w:type="pct"/>
                  <w:vAlign w:val="center"/>
                </w:tcPr>
                <w:p w14:paraId="3E6E3A4D">
                  <w:pPr>
                    <w:pStyle w:val="29"/>
                    <w:rPr>
                      <w:bCs/>
                    </w:rPr>
                  </w:pPr>
                  <w:r>
                    <w:rPr>
                      <w:bCs/>
                    </w:rPr>
                    <w:t>三个月一次</w:t>
                  </w:r>
                </w:p>
              </w:tc>
              <w:tc>
                <w:tcPr>
                  <w:tcW w:w="301" w:type="pct"/>
                  <w:vAlign w:val="center"/>
                </w:tcPr>
                <w:p w14:paraId="25BF6B53">
                  <w:pPr>
                    <w:pStyle w:val="29"/>
                    <w:rPr>
                      <w:bCs/>
                    </w:rPr>
                  </w:pPr>
                  <w:r>
                    <w:rPr>
                      <w:bCs/>
                    </w:rPr>
                    <w:t>T</w:t>
                  </w:r>
                </w:p>
              </w:tc>
              <w:tc>
                <w:tcPr>
                  <w:tcW w:w="459" w:type="pct"/>
                  <w:vMerge w:val="continue"/>
                  <w:vAlign w:val="center"/>
                </w:tcPr>
                <w:p w14:paraId="3B851057">
                  <w:pPr>
                    <w:pStyle w:val="29"/>
                    <w:rPr>
                      <w:bCs/>
                    </w:rPr>
                  </w:pPr>
                </w:p>
              </w:tc>
            </w:tr>
            <w:tr w14:paraId="7DC04688">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567" w:hRule="atLeast"/>
              </w:trPr>
              <w:tc>
                <w:tcPr>
                  <w:tcW w:w="153" w:type="pct"/>
                  <w:vAlign w:val="center"/>
                </w:tcPr>
                <w:p w14:paraId="33A92C47">
                  <w:pPr>
                    <w:pStyle w:val="29"/>
                    <w:rPr>
                      <w:bCs/>
                    </w:rPr>
                  </w:pPr>
                  <w:r>
                    <w:rPr>
                      <w:bCs/>
                    </w:rPr>
                    <w:t>8</w:t>
                  </w:r>
                </w:p>
              </w:tc>
              <w:tc>
                <w:tcPr>
                  <w:tcW w:w="526" w:type="pct"/>
                  <w:vAlign w:val="center"/>
                </w:tcPr>
                <w:p w14:paraId="7C1465D9">
                  <w:pPr>
                    <w:pStyle w:val="29"/>
                    <w:rPr>
                      <w:bCs/>
                    </w:rPr>
                  </w:pPr>
                  <w:r>
                    <w:rPr>
                      <w:bCs/>
                    </w:rPr>
                    <w:t>水帘柜废液</w:t>
                  </w:r>
                </w:p>
              </w:tc>
              <w:tc>
                <w:tcPr>
                  <w:tcW w:w="534" w:type="pct"/>
                  <w:vAlign w:val="center"/>
                </w:tcPr>
                <w:p w14:paraId="35942FAB">
                  <w:pPr>
                    <w:pStyle w:val="29"/>
                    <w:rPr>
                      <w:bCs/>
                      <w:color w:val="EE0000"/>
                    </w:rPr>
                  </w:pPr>
                  <w:r>
                    <w:rPr>
                      <w:bCs/>
                      <w:color w:val="EE0000"/>
                    </w:rPr>
                    <w:t>HW09</w:t>
                  </w:r>
                </w:p>
              </w:tc>
              <w:tc>
                <w:tcPr>
                  <w:tcW w:w="766" w:type="pct"/>
                  <w:vAlign w:val="center"/>
                </w:tcPr>
                <w:p w14:paraId="10F57416">
                  <w:pPr>
                    <w:pStyle w:val="29"/>
                    <w:rPr>
                      <w:bCs/>
                      <w:color w:val="EE0000"/>
                    </w:rPr>
                  </w:pPr>
                  <w:r>
                    <w:rPr>
                      <w:bCs/>
                      <w:color w:val="EE0000"/>
                    </w:rPr>
                    <w:t>900-007-09</w:t>
                  </w:r>
                </w:p>
              </w:tc>
              <w:tc>
                <w:tcPr>
                  <w:tcW w:w="457" w:type="pct"/>
                  <w:vAlign w:val="center"/>
                </w:tcPr>
                <w:p w14:paraId="337335FA">
                  <w:pPr>
                    <w:pStyle w:val="29"/>
                    <w:rPr>
                      <w:bCs/>
                    </w:rPr>
                  </w:pPr>
                  <w:r>
                    <w:rPr>
                      <w:bCs/>
                    </w:rPr>
                    <w:t>32</w:t>
                  </w:r>
                </w:p>
              </w:tc>
              <w:tc>
                <w:tcPr>
                  <w:tcW w:w="583" w:type="pct"/>
                  <w:vAlign w:val="center"/>
                </w:tcPr>
                <w:p w14:paraId="65EA8452">
                  <w:pPr>
                    <w:pStyle w:val="29"/>
                    <w:rPr>
                      <w:bCs/>
                    </w:rPr>
                  </w:pPr>
                  <w:r>
                    <w:rPr>
                      <w:bCs/>
                    </w:rPr>
                    <w:t>生产过程</w:t>
                  </w:r>
                </w:p>
              </w:tc>
              <w:tc>
                <w:tcPr>
                  <w:tcW w:w="306" w:type="pct"/>
                  <w:vAlign w:val="center"/>
                </w:tcPr>
                <w:p w14:paraId="70E32915">
                  <w:pPr>
                    <w:pStyle w:val="29"/>
                    <w:rPr>
                      <w:bCs/>
                    </w:rPr>
                  </w:pPr>
                  <w:r>
                    <w:rPr>
                      <w:bCs/>
                    </w:rPr>
                    <w:t>液态</w:t>
                  </w:r>
                </w:p>
              </w:tc>
              <w:tc>
                <w:tcPr>
                  <w:tcW w:w="437" w:type="pct"/>
                  <w:vAlign w:val="center"/>
                </w:tcPr>
                <w:p w14:paraId="55AC0F07">
                  <w:pPr>
                    <w:pStyle w:val="29"/>
                    <w:rPr>
                      <w:bCs/>
                    </w:rPr>
                  </w:pPr>
                  <w:r>
                    <w:rPr>
                      <w:bCs/>
                    </w:rPr>
                    <w:t>水性漆</w:t>
                  </w:r>
                </w:p>
              </w:tc>
              <w:tc>
                <w:tcPr>
                  <w:tcW w:w="478" w:type="pct"/>
                  <w:vAlign w:val="center"/>
                </w:tcPr>
                <w:p w14:paraId="44C957E2">
                  <w:pPr>
                    <w:pStyle w:val="29"/>
                    <w:rPr>
                      <w:bCs/>
                    </w:rPr>
                  </w:pPr>
                  <w:r>
                    <w:rPr>
                      <w:bCs/>
                    </w:rPr>
                    <w:t>三个月一次</w:t>
                  </w:r>
                </w:p>
              </w:tc>
              <w:tc>
                <w:tcPr>
                  <w:tcW w:w="301" w:type="pct"/>
                  <w:vAlign w:val="center"/>
                </w:tcPr>
                <w:p w14:paraId="7B3D58DB">
                  <w:pPr>
                    <w:pStyle w:val="29"/>
                    <w:rPr>
                      <w:bCs/>
                    </w:rPr>
                  </w:pPr>
                  <w:r>
                    <w:rPr>
                      <w:bCs/>
                    </w:rPr>
                    <w:t>T</w:t>
                  </w:r>
                </w:p>
              </w:tc>
              <w:tc>
                <w:tcPr>
                  <w:tcW w:w="459" w:type="pct"/>
                  <w:vMerge w:val="continue"/>
                  <w:vAlign w:val="center"/>
                </w:tcPr>
                <w:p w14:paraId="7B86CF01">
                  <w:pPr>
                    <w:pStyle w:val="29"/>
                    <w:rPr>
                      <w:bCs/>
                    </w:rPr>
                  </w:pPr>
                </w:p>
              </w:tc>
            </w:tr>
            <w:tr w14:paraId="263C295D">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567" w:hRule="atLeast"/>
              </w:trPr>
              <w:tc>
                <w:tcPr>
                  <w:tcW w:w="153" w:type="pct"/>
                  <w:vAlign w:val="center"/>
                </w:tcPr>
                <w:p w14:paraId="545EC245">
                  <w:pPr>
                    <w:pStyle w:val="29"/>
                    <w:rPr>
                      <w:bCs/>
                    </w:rPr>
                  </w:pPr>
                  <w:r>
                    <w:rPr>
                      <w:bCs/>
                    </w:rPr>
                    <w:t>9</w:t>
                  </w:r>
                </w:p>
              </w:tc>
              <w:tc>
                <w:tcPr>
                  <w:tcW w:w="526" w:type="pct"/>
                  <w:vAlign w:val="center"/>
                </w:tcPr>
                <w:p w14:paraId="524FBC70">
                  <w:pPr>
                    <w:pStyle w:val="29"/>
                    <w:rPr>
                      <w:bCs/>
                    </w:rPr>
                  </w:pPr>
                  <w:r>
                    <w:rPr>
                      <w:bCs/>
                    </w:rPr>
                    <w:t>喷枪清洗废液</w:t>
                  </w:r>
                </w:p>
              </w:tc>
              <w:tc>
                <w:tcPr>
                  <w:tcW w:w="534" w:type="pct"/>
                  <w:vAlign w:val="center"/>
                </w:tcPr>
                <w:p w14:paraId="57FCF9B1">
                  <w:pPr>
                    <w:pStyle w:val="29"/>
                    <w:rPr>
                      <w:bCs/>
                      <w:color w:val="EE0000"/>
                    </w:rPr>
                  </w:pPr>
                  <w:r>
                    <w:rPr>
                      <w:bCs/>
                      <w:color w:val="EE0000"/>
                    </w:rPr>
                    <w:t>HW09</w:t>
                  </w:r>
                </w:p>
              </w:tc>
              <w:tc>
                <w:tcPr>
                  <w:tcW w:w="766" w:type="pct"/>
                  <w:vAlign w:val="center"/>
                </w:tcPr>
                <w:p w14:paraId="1F03CF73">
                  <w:pPr>
                    <w:pStyle w:val="29"/>
                    <w:rPr>
                      <w:bCs/>
                    </w:rPr>
                  </w:pPr>
                  <w:r>
                    <w:rPr>
                      <w:bCs/>
                    </w:rPr>
                    <w:t>900-</w:t>
                  </w:r>
                  <w:r>
                    <w:rPr>
                      <w:bCs/>
                      <w:color w:val="EE0000"/>
                    </w:rPr>
                    <w:t>007-09</w:t>
                  </w:r>
                </w:p>
              </w:tc>
              <w:tc>
                <w:tcPr>
                  <w:tcW w:w="457" w:type="pct"/>
                  <w:vAlign w:val="center"/>
                </w:tcPr>
                <w:p w14:paraId="703A2193">
                  <w:pPr>
                    <w:pStyle w:val="29"/>
                    <w:rPr>
                      <w:bCs/>
                    </w:rPr>
                  </w:pPr>
                  <w:r>
                    <w:rPr>
                      <w:rFonts w:hint="eastAsia"/>
                      <w:bCs/>
                      <w:color w:val="EE0000"/>
                    </w:rPr>
                    <w:t>0.6</w:t>
                  </w:r>
                </w:p>
              </w:tc>
              <w:tc>
                <w:tcPr>
                  <w:tcW w:w="583" w:type="pct"/>
                  <w:vAlign w:val="center"/>
                </w:tcPr>
                <w:p w14:paraId="01270A74">
                  <w:pPr>
                    <w:pStyle w:val="29"/>
                    <w:rPr>
                      <w:bCs/>
                    </w:rPr>
                  </w:pPr>
                  <w:r>
                    <w:rPr>
                      <w:bCs/>
                      <w:color w:val="EE0000"/>
                    </w:rPr>
                    <w:t>设备维护</w:t>
                  </w:r>
                </w:p>
              </w:tc>
              <w:tc>
                <w:tcPr>
                  <w:tcW w:w="306" w:type="pct"/>
                  <w:vAlign w:val="center"/>
                </w:tcPr>
                <w:p w14:paraId="51C8B5F8">
                  <w:pPr>
                    <w:pStyle w:val="29"/>
                    <w:rPr>
                      <w:bCs/>
                    </w:rPr>
                  </w:pPr>
                  <w:r>
                    <w:rPr>
                      <w:bCs/>
                    </w:rPr>
                    <w:t>液态</w:t>
                  </w:r>
                </w:p>
              </w:tc>
              <w:tc>
                <w:tcPr>
                  <w:tcW w:w="437" w:type="pct"/>
                  <w:vAlign w:val="center"/>
                </w:tcPr>
                <w:p w14:paraId="1BF9BCEB">
                  <w:pPr>
                    <w:pStyle w:val="29"/>
                    <w:rPr>
                      <w:bCs/>
                    </w:rPr>
                  </w:pPr>
                  <w:r>
                    <w:rPr>
                      <w:bCs/>
                    </w:rPr>
                    <w:t>水性漆</w:t>
                  </w:r>
                </w:p>
              </w:tc>
              <w:tc>
                <w:tcPr>
                  <w:tcW w:w="478" w:type="pct"/>
                  <w:vAlign w:val="center"/>
                </w:tcPr>
                <w:p w14:paraId="56D14FCC">
                  <w:pPr>
                    <w:pStyle w:val="29"/>
                    <w:rPr>
                      <w:bCs/>
                    </w:rPr>
                  </w:pPr>
                  <w:r>
                    <w:rPr>
                      <w:bCs/>
                    </w:rPr>
                    <w:t>每天一次</w:t>
                  </w:r>
                </w:p>
              </w:tc>
              <w:tc>
                <w:tcPr>
                  <w:tcW w:w="301" w:type="pct"/>
                  <w:vAlign w:val="center"/>
                </w:tcPr>
                <w:p w14:paraId="36EF2970">
                  <w:pPr>
                    <w:pStyle w:val="29"/>
                    <w:rPr>
                      <w:bCs/>
                    </w:rPr>
                  </w:pPr>
                  <w:r>
                    <w:rPr>
                      <w:bCs/>
                    </w:rPr>
                    <w:t>T</w:t>
                  </w:r>
                </w:p>
              </w:tc>
              <w:tc>
                <w:tcPr>
                  <w:tcW w:w="459" w:type="pct"/>
                  <w:vMerge w:val="continue"/>
                  <w:vAlign w:val="center"/>
                </w:tcPr>
                <w:p w14:paraId="10158FD9">
                  <w:pPr>
                    <w:pStyle w:val="29"/>
                    <w:rPr>
                      <w:bCs/>
                    </w:rPr>
                  </w:pPr>
                </w:p>
              </w:tc>
            </w:tr>
            <w:tr w14:paraId="0A1CBBC8">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567" w:hRule="atLeast"/>
              </w:trPr>
              <w:tc>
                <w:tcPr>
                  <w:tcW w:w="153" w:type="pct"/>
                  <w:vAlign w:val="center"/>
                </w:tcPr>
                <w:p w14:paraId="6D0B8ABB">
                  <w:pPr>
                    <w:pStyle w:val="29"/>
                    <w:rPr>
                      <w:bCs/>
                    </w:rPr>
                  </w:pPr>
                  <w:r>
                    <w:rPr>
                      <w:bCs/>
                    </w:rPr>
                    <w:t>10</w:t>
                  </w:r>
                </w:p>
              </w:tc>
              <w:tc>
                <w:tcPr>
                  <w:tcW w:w="526" w:type="pct"/>
                  <w:vAlign w:val="center"/>
                </w:tcPr>
                <w:p w14:paraId="6ED61FBE">
                  <w:pPr>
                    <w:pStyle w:val="29"/>
                    <w:rPr>
                      <w:bCs/>
                    </w:rPr>
                  </w:pPr>
                  <w:r>
                    <w:rPr>
                      <w:bCs/>
                    </w:rPr>
                    <w:t>喷淋塔废液</w:t>
                  </w:r>
                </w:p>
              </w:tc>
              <w:tc>
                <w:tcPr>
                  <w:tcW w:w="534" w:type="pct"/>
                  <w:vAlign w:val="center"/>
                </w:tcPr>
                <w:p w14:paraId="278CA6F3">
                  <w:pPr>
                    <w:pStyle w:val="29"/>
                    <w:rPr>
                      <w:bCs/>
                      <w:color w:val="EE0000"/>
                    </w:rPr>
                  </w:pPr>
                  <w:r>
                    <w:rPr>
                      <w:bCs/>
                      <w:color w:val="EE0000"/>
                    </w:rPr>
                    <w:t>HW09</w:t>
                  </w:r>
                </w:p>
              </w:tc>
              <w:tc>
                <w:tcPr>
                  <w:tcW w:w="766" w:type="pct"/>
                  <w:vAlign w:val="center"/>
                </w:tcPr>
                <w:p w14:paraId="59ED738B">
                  <w:pPr>
                    <w:pStyle w:val="29"/>
                    <w:rPr>
                      <w:bCs/>
                    </w:rPr>
                  </w:pPr>
                  <w:r>
                    <w:rPr>
                      <w:bCs/>
                    </w:rPr>
                    <w:t>900-</w:t>
                  </w:r>
                  <w:r>
                    <w:rPr>
                      <w:bCs/>
                      <w:color w:val="EE0000"/>
                    </w:rPr>
                    <w:t>007-09</w:t>
                  </w:r>
                </w:p>
              </w:tc>
              <w:tc>
                <w:tcPr>
                  <w:tcW w:w="457" w:type="pct"/>
                  <w:vAlign w:val="center"/>
                </w:tcPr>
                <w:p w14:paraId="05768F57">
                  <w:pPr>
                    <w:pStyle w:val="29"/>
                    <w:rPr>
                      <w:bCs/>
                    </w:rPr>
                  </w:pPr>
                  <w:r>
                    <w:rPr>
                      <w:rFonts w:hint="eastAsia"/>
                      <w:bCs/>
                      <w:color w:val="EE0000"/>
                    </w:rPr>
                    <w:t>4.5</w:t>
                  </w:r>
                </w:p>
              </w:tc>
              <w:tc>
                <w:tcPr>
                  <w:tcW w:w="583" w:type="pct"/>
                  <w:vAlign w:val="center"/>
                </w:tcPr>
                <w:p w14:paraId="3065A90A">
                  <w:pPr>
                    <w:pStyle w:val="29"/>
                    <w:rPr>
                      <w:bCs/>
                    </w:rPr>
                  </w:pPr>
                  <w:r>
                    <w:rPr>
                      <w:bCs/>
                    </w:rPr>
                    <w:t>废气处理</w:t>
                  </w:r>
                </w:p>
              </w:tc>
              <w:tc>
                <w:tcPr>
                  <w:tcW w:w="306" w:type="pct"/>
                  <w:vAlign w:val="center"/>
                </w:tcPr>
                <w:p w14:paraId="4712B375">
                  <w:pPr>
                    <w:pStyle w:val="29"/>
                    <w:rPr>
                      <w:bCs/>
                    </w:rPr>
                  </w:pPr>
                  <w:r>
                    <w:rPr>
                      <w:bCs/>
                    </w:rPr>
                    <w:t>液态</w:t>
                  </w:r>
                </w:p>
              </w:tc>
              <w:tc>
                <w:tcPr>
                  <w:tcW w:w="437" w:type="pct"/>
                  <w:vAlign w:val="center"/>
                </w:tcPr>
                <w:p w14:paraId="337B6CA4">
                  <w:pPr>
                    <w:pStyle w:val="29"/>
                    <w:rPr>
                      <w:bCs/>
                    </w:rPr>
                  </w:pPr>
                  <w:r>
                    <w:rPr>
                      <w:bCs/>
                    </w:rPr>
                    <w:t>水性漆</w:t>
                  </w:r>
                </w:p>
              </w:tc>
              <w:tc>
                <w:tcPr>
                  <w:tcW w:w="478" w:type="pct"/>
                  <w:vAlign w:val="center"/>
                </w:tcPr>
                <w:p w14:paraId="2103A0F4">
                  <w:pPr>
                    <w:pStyle w:val="29"/>
                    <w:rPr>
                      <w:bCs/>
                    </w:rPr>
                  </w:pPr>
                  <w:r>
                    <w:rPr>
                      <w:bCs/>
                    </w:rPr>
                    <w:t>三个月一次</w:t>
                  </w:r>
                </w:p>
              </w:tc>
              <w:tc>
                <w:tcPr>
                  <w:tcW w:w="301" w:type="pct"/>
                  <w:vAlign w:val="center"/>
                </w:tcPr>
                <w:p w14:paraId="23426E29">
                  <w:pPr>
                    <w:pStyle w:val="29"/>
                    <w:rPr>
                      <w:bCs/>
                    </w:rPr>
                  </w:pPr>
                  <w:r>
                    <w:rPr>
                      <w:bCs/>
                    </w:rPr>
                    <w:t>T</w:t>
                  </w:r>
                </w:p>
              </w:tc>
              <w:tc>
                <w:tcPr>
                  <w:tcW w:w="459" w:type="pct"/>
                  <w:vMerge w:val="continue"/>
                  <w:vAlign w:val="center"/>
                </w:tcPr>
                <w:p w14:paraId="4688D33E">
                  <w:pPr>
                    <w:pStyle w:val="29"/>
                    <w:rPr>
                      <w:bCs/>
                    </w:rPr>
                  </w:pPr>
                </w:p>
              </w:tc>
            </w:tr>
            <w:tr w14:paraId="1CDDF8C0">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567" w:hRule="atLeast"/>
              </w:trPr>
              <w:tc>
                <w:tcPr>
                  <w:tcW w:w="153" w:type="pct"/>
                  <w:vAlign w:val="center"/>
                </w:tcPr>
                <w:p w14:paraId="20651FBB">
                  <w:pPr>
                    <w:pStyle w:val="29"/>
                    <w:rPr>
                      <w:bCs/>
                    </w:rPr>
                  </w:pPr>
                  <w:r>
                    <w:rPr>
                      <w:bCs/>
                    </w:rPr>
                    <w:t>11</w:t>
                  </w:r>
                </w:p>
              </w:tc>
              <w:tc>
                <w:tcPr>
                  <w:tcW w:w="526" w:type="pct"/>
                  <w:vAlign w:val="center"/>
                </w:tcPr>
                <w:p w14:paraId="627EFC1C">
                  <w:pPr>
                    <w:pStyle w:val="29"/>
                    <w:rPr>
                      <w:bCs/>
                    </w:rPr>
                  </w:pPr>
                  <w:r>
                    <w:rPr>
                      <w:bCs/>
                    </w:rPr>
                    <w:t>漆渣</w:t>
                  </w:r>
                </w:p>
              </w:tc>
              <w:tc>
                <w:tcPr>
                  <w:tcW w:w="534" w:type="pct"/>
                  <w:vAlign w:val="center"/>
                </w:tcPr>
                <w:p w14:paraId="3C9A9A56">
                  <w:pPr>
                    <w:pStyle w:val="29"/>
                    <w:rPr>
                      <w:bCs/>
                      <w:color w:val="EE0000"/>
                    </w:rPr>
                  </w:pPr>
                  <w:r>
                    <w:rPr>
                      <w:bCs/>
                    </w:rPr>
                    <w:t>HW</w:t>
                  </w:r>
                  <w:r>
                    <w:rPr>
                      <w:rFonts w:hint="eastAsia"/>
                      <w:bCs/>
                    </w:rPr>
                    <w:t>12</w:t>
                  </w:r>
                </w:p>
              </w:tc>
              <w:tc>
                <w:tcPr>
                  <w:tcW w:w="766" w:type="pct"/>
                  <w:vAlign w:val="center"/>
                </w:tcPr>
                <w:p w14:paraId="121F98C1">
                  <w:pPr>
                    <w:pStyle w:val="29"/>
                    <w:rPr>
                      <w:bCs/>
                    </w:rPr>
                  </w:pPr>
                  <w:r>
                    <w:rPr>
                      <w:bCs/>
                    </w:rPr>
                    <w:t>900-</w:t>
                  </w:r>
                  <w:r>
                    <w:rPr>
                      <w:bCs/>
                      <w:color w:val="0000FF"/>
                    </w:rPr>
                    <w:t>252</w:t>
                  </w:r>
                  <w:r>
                    <w:rPr>
                      <w:bCs/>
                    </w:rPr>
                    <w:t>-12</w:t>
                  </w:r>
                </w:p>
              </w:tc>
              <w:tc>
                <w:tcPr>
                  <w:tcW w:w="457" w:type="pct"/>
                  <w:vAlign w:val="center"/>
                </w:tcPr>
                <w:p w14:paraId="6133F0D7">
                  <w:pPr>
                    <w:pStyle w:val="29"/>
                    <w:rPr>
                      <w:bCs/>
                    </w:rPr>
                  </w:pPr>
                  <w:r>
                    <w:rPr>
                      <w:bCs/>
                    </w:rPr>
                    <w:t>0.84</w:t>
                  </w:r>
                </w:p>
              </w:tc>
              <w:tc>
                <w:tcPr>
                  <w:tcW w:w="583" w:type="pct"/>
                  <w:vAlign w:val="center"/>
                </w:tcPr>
                <w:p w14:paraId="20AB41F2">
                  <w:pPr>
                    <w:pStyle w:val="29"/>
                    <w:rPr>
                      <w:bCs/>
                    </w:rPr>
                  </w:pPr>
                  <w:r>
                    <w:rPr>
                      <w:bCs/>
                    </w:rPr>
                    <w:t>废气处理</w:t>
                  </w:r>
                </w:p>
              </w:tc>
              <w:tc>
                <w:tcPr>
                  <w:tcW w:w="306" w:type="pct"/>
                  <w:vAlign w:val="center"/>
                </w:tcPr>
                <w:p w14:paraId="650DB295">
                  <w:pPr>
                    <w:pStyle w:val="29"/>
                    <w:rPr>
                      <w:bCs/>
                    </w:rPr>
                  </w:pPr>
                  <w:r>
                    <w:rPr>
                      <w:bCs/>
                    </w:rPr>
                    <w:t>固态</w:t>
                  </w:r>
                </w:p>
              </w:tc>
              <w:tc>
                <w:tcPr>
                  <w:tcW w:w="437" w:type="pct"/>
                  <w:vAlign w:val="center"/>
                </w:tcPr>
                <w:p w14:paraId="5988FDE1">
                  <w:pPr>
                    <w:pStyle w:val="29"/>
                    <w:rPr>
                      <w:bCs/>
                    </w:rPr>
                  </w:pPr>
                  <w:r>
                    <w:rPr>
                      <w:bCs/>
                    </w:rPr>
                    <w:t>水性漆</w:t>
                  </w:r>
                </w:p>
              </w:tc>
              <w:tc>
                <w:tcPr>
                  <w:tcW w:w="478" w:type="pct"/>
                  <w:vAlign w:val="center"/>
                </w:tcPr>
                <w:p w14:paraId="77809553">
                  <w:pPr>
                    <w:pStyle w:val="29"/>
                    <w:rPr>
                      <w:bCs/>
                    </w:rPr>
                  </w:pPr>
                  <w:r>
                    <w:rPr>
                      <w:bCs/>
                    </w:rPr>
                    <w:t>三个月一次</w:t>
                  </w:r>
                </w:p>
              </w:tc>
              <w:tc>
                <w:tcPr>
                  <w:tcW w:w="301" w:type="pct"/>
                  <w:vAlign w:val="center"/>
                </w:tcPr>
                <w:p w14:paraId="1AED8345">
                  <w:pPr>
                    <w:pStyle w:val="29"/>
                    <w:rPr>
                      <w:bCs/>
                    </w:rPr>
                  </w:pPr>
                  <w:r>
                    <w:rPr>
                      <w:bCs/>
                    </w:rPr>
                    <w:t>T</w:t>
                  </w:r>
                </w:p>
              </w:tc>
              <w:tc>
                <w:tcPr>
                  <w:tcW w:w="459" w:type="pct"/>
                  <w:vMerge w:val="continue"/>
                  <w:vAlign w:val="center"/>
                </w:tcPr>
                <w:p w14:paraId="24D1BA1F">
                  <w:pPr>
                    <w:pStyle w:val="29"/>
                    <w:rPr>
                      <w:bCs/>
                    </w:rPr>
                  </w:pPr>
                </w:p>
              </w:tc>
            </w:tr>
            <w:tr w14:paraId="39EB5938">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567" w:hRule="atLeast"/>
              </w:trPr>
              <w:tc>
                <w:tcPr>
                  <w:tcW w:w="153" w:type="pct"/>
                  <w:vAlign w:val="center"/>
                </w:tcPr>
                <w:p w14:paraId="0B5C9B5C">
                  <w:pPr>
                    <w:pStyle w:val="29"/>
                    <w:rPr>
                      <w:bCs/>
                    </w:rPr>
                  </w:pPr>
                  <w:r>
                    <w:rPr>
                      <w:bCs/>
                    </w:rPr>
                    <w:t>12</w:t>
                  </w:r>
                </w:p>
              </w:tc>
              <w:tc>
                <w:tcPr>
                  <w:tcW w:w="526" w:type="pct"/>
                  <w:vAlign w:val="center"/>
                </w:tcPr>
                <w:p w14:paraId="7AC0D8A2">
                  <w:pPr>
                    <w:pStyle w:val="29"/>
                    <w:rPr>
                      <w:bCs/>
                    </w:rPr>
                  </w:pPr>
                  <w:r>
                    <w:rPr>
                      <w:bCs/>
                    </w:rPr>
                    <w:t>废过滤棉</w:t>
                  </w:r>
                </w:p>
              </w:tc>
              <w:tc>
                <w:tcPr>
                  <w:tcW w:w="534" w:type="pct"/>
                  <w:vAlign w:val="center"/>
                </w:tcPr>
                <w:p w14:paraId="5343B23E">
                  <w:pPr>
                    <w:pStyle w:val="29"/>
                    <w:rPr>
                      <w:bCs/>
                    </w:rPr>
                  </w:pPr>
                  <w:r>
                    <w:rPr>
                      <w:bCs/>
                    </w:rPr>
                    <w:t>HW49</w:t>
                  </w:r>
                </w:p>
              </w:tc>
              <w:tc>
                <w:tcPr>
                  <w:tcW w:w="766" w:type="pct"/>
                  <w:vAlign w:val="center"/>
                </w:tcPr>
                <w:p w14:paraId="6719C3DF">
                  <w:pPr>
                    <w:pStyle w:val="29"/>
                    <w:rPr>
                      <w:bCs/>
                    </w:rPr>
                  </w:pPr>
                  <w:r>
                    <w:rPr>
                      <w:bCs/>
                    </w:rPr>
                    <w:t>900-041-49</w:t>
                  </w:r>
                </w:p>
              </w:tc>
              <w:tc>
                <w:tcPr>
                  <w:tcW w:w="457" w:type="pct"/>
                  <w:vAlign w:val="center"/>
                </w:tcPr>
                <w:p w14:paraId="627C2990">
                  <w:pPr>
                    <w:pStyle w:val="29"/>
                    <w:rPr>
                      <w:bCs/>
                    </w:rPr>
                  </w:pPr>
                  <w:r>
                    <w:rPr>
                      <w:bCs/>
                    </w:rPr>
                    <w:t>0.01</w:t>
                  </w:r>
                </w:p>
              </w:tc>
              <w:tc>
                <w:tcPr>
                  <w:tcW w:w="583" w:type="pct"/>
                  <w:vAlign w:val="center"/>
                </w:tcPr>
                <w:p w14:paraId="50535433">
                  <w:pPr>
                    <w:pStyle w:val="29"/>
                    <w:rPr>
                      <w:bCs/>
                    </w:rPr>
                  </w:pPr>
                  <w:r>
                    <w:rPr>
                      <w:bCs/>
                    </w:rPr>
                    <w:t>废气处理</w:t>
                  </w:r>
                </w:p>
              </w:tc>
              <w:tc>
                <w:tcPr>
                  <w:tcW w:w="306" w:type="pct"/>
                  <w:vAlign w:val="center"/>
                </w:tcPr>
                <w:p w14:paraId="27D20F08">
                  <w:pPr>
                    <w:pStyle w:val="29"/>
                    <w:rPr>
                      <w:bCs/>
                    </w:rPr>
                  </w:pPr>
                  <w:r>
                    <w:rPr>
                      <w:bCs/>
                    </w:rPr>
                    <w:t>固态</w:t>
                  </w:r>
                </w:p>
              </w:tc>
              <w:tc>
                <w:tcPr>
                  <w:tcW w:w="437" w:type="pct"/>
                  <w:vAlign w:val="center"/>
                </w:tcPr>
                <w:p w14:paraId="40976BF7">
                  <w:pPr>
                    <w:pStyle w:val="29"/>
                    <w:rPr>
                      <w:bCs/>
                    </w:rPr>
                  </w:pPr>
                  <w:r>
                    <w:rPr>
                      <w:bCs/>
                    </w:rPr>
                    <w:t>过滤棉</w:t>
                  </w:r>
                </w:p>
              </w:tc>
              <w:tc>
                <w:tcPr>
                  <w:tcW w:w="478" w:type="pct"/>
                  <w:vAlign w:val="center"/>
                </w:tcPr>
                <w:p w14:paraId="0C15B634">
                  <w:pPr>
                    <w:pStyle w:val="29"/>
                    <w:rPr>
                      <w:bCs/>
                    </w:rPr>
                  </w:pPr>
                  <w:r>
                    <w:rPr>
                      <w:bCs/>
                    </w:rPr>
                    <w:t>三个月一次</w:t>
                  </w:r>
                </w:p>
              </w:tc>
              <w:tc>
                <w:tcPr>
                  <w:tcW w:w="301" w:type="pct"/>
                  <w:vAlign w:val="center"/>
                </w:tcPr>
                <w:p w14:paraId="37FBA9B4">
                  <w:pPr>
                    <w:pStyle w:val="29"/>
                    <w:rPr>
                      <w:bCs/>
                    </w:rPr>
                  </w:pPr>
                  <w:r>
                    <w:rPr>
                      <w:bCs/>
                    </w:rPr>
                    <w:t>T，I</w:t>
                  </w:r>
                </w:p>
              </w:tc>
              <w:tc>
                <w:tcPr>
                  <w:tcW w:w="459" w:type="pct"/>
                  <w:vMerge w:val="continue"/>
                  <w:vAlign w:val="center"/>
                </w:tcPr>
                <w:p w14:paraId="4CAA3CCD">
                  <w:pPr>
                    <w:pStyle w:val="29"/>
                    <w:rPr>
                      <w:bCs/>
                    </w:rPr>
                  </w:pPr>
                </w:p>
              </w:tc>
            </w:tr>
            <w:tr w14:paraId="600F40BE">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567" w:hRule="atLeast"/>
              </w:trPr>
              <w:tc>
                <w:tcPr>
                  <w:tcW w:w="153" w:type="pct"/>
                  <w:vAlign w:val="center"/>
                </w:tcPr>
                <w:p w14:paraId="0C8AA231">
                  <w:pPr>
                    <w:pStyle w:val="29"/>
                    <w:rPr>
                      <w:bCs/>
                    </w:rPr>
                  </w:pPr>
                  <w:r>
                    <w:rPr>
                      <w:rFonts w:hint="eastAsia"/>
                      <w:bCs/>
                    </w:rPr>
                    <w:t>13</w:t>
                  </w:r>
                </w:p>
              </w:tc>
              <w:tc>
                <w:tcPr>
                  <w:tcW w:w="526" w:type="pct"/>
                  <w:vAlign w:val="center"/>
                </w:tcPr>
                <w:p w14:paraId="3D7CEC3F">
                  <w:pPr>
                    <w:pStyle w:val="29"/>
                    <w:rPr>
                      <w:bCs/>
                    </w:rPr>
                  </w:pPr>
                  <w:r>
                    <w:rPr>
                      <w:rFonts w:hint="eastAsia" w:ascii="Cambria Math" w:hAnsi="Cambria Math" w:cs="Cambria Math"/>
                      <w:bCs/>
                      <w:color w:val="EE0000"/>
                    </w:rPr>
                    <w:t>废清洗剂</w:t>
                  </w:r>
                </w:p>
              </w:tc>
              <w:tc>
                <w:tcPr>
                  <w:tcW w:w="534" w:type="pct"/>
                  <w:vAlign w:val="center"/>
                </w:tcPr>
                <w:p w14:paraId="7C7FFA6F">
                  <w:pPr>
                    <w:pStyle w:val="29"/>
                    <w:rPr>
                      <w:bCs/>
                      <w:color w:val="EE0000"/>
                    </w:rPr>
                  </w:pPr>
                  <w:r>
                    <w:rPr>
                      <w:bCs/>
                      <w:color w:val="EE0000"/>
                    </w:rPr>
                    <w:t>HW</w:t>
                  </w:r>
                  <w:r>
                    <w:rPr>
                      <w:rFonts w:hint="eastAsia"/>
                      <w:bCs/>
                      <w:color w:val="EE0000"/>
                    </w:rPr>
                    <w:t>06</w:t>
                  </w:r>
                </w:p>
              </w:tc>
              <w:tc>
                <w:tcPr>
                  <w:tcW w:w="766" w:type="pct"/>
                  <w:vAlign w:val="center"/>
                </w:tcPr>
                <w:p w14:paraId="54B77473">
                  <w:pPr>
                    <w:pStyle w:val="29"/>
                    <w:rPr>
                      <w:bCs/>
                      <w:color w:val="EE0000"/>
                    </w:rPr>
                  </w:pPr>
                  <w:r>
                    <w:rPr>
                      <w:rFonts w:hint="eastAsia"/>
                      <w:color w:val="EE0000"/>
                    </w:rPr>
                    <w:t>900-404-06</w:t>
                  </w:r>
                </w:p>
              </w:tc>
              <w:tc>
                <w:tcPr>
                  <w:tcW w:w="457" w:type="pct"/>
                  <w:vAlign w:val="center"/>
                </w:tcPr>
                <w:p w14:paraId="1CFB50FF">
                  <w:pPr>
                    <w:pStyle w:val="29"/>
                    <w:rPr>
                      <w:bCs/>
                      <w:color w:val="EE0000"/>
                    </w:rPr>
                  </w:pPr>
                  <w:r>
                    <w:rPr>
                      <w:bCs/>
                      <w:color w:val="EE0000"/>
                    </w:rPr>
                    <w:t>0.01</w:t>
                  </w:r>
                </w:p>
              </w:tc>
              <w:tc>
                <w:tcPr>
                  <w:tcW w:w="583" w:type="pct"/>
                  <w:vAlign w:val="center"/>
                </w:tcPr>
                <w:p w14:paraId="705F0BB8">
                  <w:pPr>
                    <w:pStyle w:val="29"/>
                    <w:rPr>
                      <w:bCs/>
                      <w:color w:val="EE0000"/>
                    </w:rPr>
                  </w:pPr>
                  <w:r>
                    <w:rPr>
                      <w:bCs/>
                      <w:color w:val="EE0000"/>
                    </w:rPr>
                    <w:t>设备维护</w:t>
                  </w:r>
                </w:p>
              </w:tc>
              <w:tc>
                <w:tcPr>
                  <w:tcW w:w="306" w:type="pct"/>
                  <w:vAlign w:val="center"/>
                </w:tcPr>
                <w:p w14:paraId="09517DD2">
                  <w:pPr>
                    <w:pStyle w:val="29"/>
                    <w:rPr>
                      <w:bCs/>
                      <w:color w:val="EE0000"/>
                    </w:rPr>
                  </w:pPr>
                  <w:r>
                    <w:rPr>
                      <w:bCs/>
                      <w:color w:val="EE0000"/>
                    </w:rPr>
                    <w:t>固态</w:t>
                  </w:r>
                </w:p>
              </w:tc>
              <w:tc>
                <w:tcPr>
                  <w:tcW w:w="437" w:type="pct"/>
                  <w:vAlign w:val="center"/>
                </w:tcPr>
                <w:p w14:paraId="16548B07">
                  <w:pPr>
                    <w:pStyle w:val="29"/>
                    <w:rPr>
                      <w:bCs/>
                      <w:color w:val="EE0000"/>
                    </w:rPr>
                  </w:pPr>
                  <w:r>
                    <w:rPr>
                      <w:rFonts w:hint="eastAsia"/>
                      <w:bCs/>
                      <w:color w:val="EE0000"/>
                    </w:rPr>
                    <w:t>清洗剂</w:t>
                  </w:r>
                </w:p>
              </w:tc>
              <w:tc>
                <w:tcPr>
                  <w:tcW w:w="478" w:type="pct"/>
                  <w:vAlign w:val="center"/>
                </w:tcPr>
                <w:p w14:paraId="446645B0">
                  <w:pPr>
                    <w:pStyle w:val="29"/>
                    <w:rPr>
                      <w:bCs/>
                    </w:rPr>
                  </w:pPr>
                  <w:r>
                    <w:rPr>
                      <w:bCs/>
                    </w:rPr>
                    <w:t>三个月一次</w:t>
                  </w:r>
                </w:p>
              </w:tc>
              <w:tc>
                <w:tcPr>
                  <w:tcW w:w="301" w:type="pct"/>
                  <w:vAlign w:val="center"/>
                </w:tcPr>
                <w:p w14:paraId="228C48FB">
                  <w:pPr>
                    <w:pStyle w:val="29"/>
                    <w:rPr>
                      <w:bCs/>
                    </w:rPr>
                  </w:pPr>
                  <w:r>
                    <w:rPr>
                      <w:bCs/>
                    </w:rPr>
                    <w:t>T，I</w:t>
                  </w:r>
                </w:p>
              </w:tc>
              <w:tc>
                <w:tcPr>
                  <w:tcW w:w="459" w:type="pct"/>
                  <w:vMerge w:val="continue"/>
                  <w:vAlign w:val="center"/>
                </w:tcPr>
                <w:p w14:paraId="7AD88911">
                  <w:pPr>
                    <w:pStyle w:val="29"/>
                    <w:rPr>
                      <w:bCs/>
                    </w:rPr>
                  </w:pPr>
                </w:p>
              </w:tc>
            </w:tr>
            <w:tr w14:paraId="6CD5DC03">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567" w:hRule="atLeast"/>
              </w:trPr>
              <w:tc>
                <w:tcPr>
                  <w:tcW w:w="1979" w:type="pct"/>
                  <w:gridSpan w:val="4"/>
                  <w:vAlign w:val="center"/>
                </w:tcPr>
                <w:p w14:paraId="1CD704F6">
                  <w:pPr>
                    <w:pStyle w:val="29"/>
                    <w:rPr>
                      <w:color w:val="EE0000"/>
                    </w:rPr>
                  </w:pPr>
                  <w:r>
                    <w:rPr>
                      <w:rFonts w:hint="eastAsia"/>
                      <w:color w:val="EE0000"/>
                    </w:rPr>
                    <w:t>合计</w:t>
                  </w:r>
                </w:p>
              </w:tc>
              <w:tc>
                <w:tcPr>
                  <w:tcW w:w="457" w:type="pct"/>
                  <w:vAlign w:val="center"/>
                </w:tcPr>
                <w:p w14:paraId="7FE605BD">
                  <w:pPr>
                    <w:pStyle w:val="29"/>
                    <w:rPr>
                      <w:bCs/>
                      <w:color w:val="EE0000"/>
                    </w:rPr>
                  </w:pPr>
                  <w:r>
                    <w:rPr>
                      <w:rFonts w:hint="eastAsia"/>
                      <w:bCs/>
                      <w:color w:val="EE0000"/>
                    </w:rPr>
                    <w:t>46.3887</w:t>
                  </w:r>
                </w:p>
              </w:tc>
              <w:tc>
                <w:tcPr>
                  <w:tcW w:w="583" w:type="pct"/>
                  <w:vAlign w:val="center"/>
                </w:tcPr>
                <w:p w14:paraId="36772297">
                  <w:pPr>
                    <w:pStyle w:val="29"/>
                    <w:rPr>
                      <w:bCs/>
                      <w:color w:val="EE0000"/>
                    </w:rPr>
                  </w:pPr>
                  <w:r>
                    <w:rPr>
                      <w:rFonts w:hint="eastAsia"/>
                      <w:bCs/>
                      <w:color w:val="EE0000"/>
                    </w:rPr>
                    <w:t>/</w:t>
                  </w:r>
                </w:p>
              </w:tc>
              <w:tc>
                <w:tcPr>
                  <w:tcW w:w="306" w:type="pct"/>
                  <w:vAlign w:val="center"/>
                </w:tcPr>
                <w:p w14:paraId="1376C94F">
                  <w:pPr>
                    <w:pStyle w:val="29"/>
                    <w:rPr>
                      <w:bCs/>
                      <w:color w:val="EE0000"/>
                    </w:rPr>
                  </w:pPr>
                  <w:r>
                    <w:rPr>
                      <w:rFonts w:hint="eastAsia"/>
                      <w:bCs/>
                      <w:color w:val="EE0000"/>
                    </w:rPr>
                    <w:t>/</w:t>
                  </w:r>
                </w:p>
              </w:tc>
              <w:tc>
                <w:tcPr>
                  <w:tcW w:w="437" w:type="pct"/>
                  <w:vAlign w:val="center"/>
                </w:tcPr>
                <w:p w14:paraId="4F1595FE">
                  <w:pPr>
                    <w:pStyle w:val="29"/>
                    <w:rPr>
                      <w:bCs/>
                      <w:color w:val="EE0000"/>
                    </w:rPr>
                  </w:pPr>
                  <w:r>
                    <w:rPr>
                      <w:rFonts w:hint="eastAsia"/>
                      <w:bCs/>
                      <w:color w:val="EE0000"/>
                    </w:rPr>
                    <w:t>/</w:t>
                  </w:r>
                </w:p>
              </w:tc>
              <w:tc>
                <w:tcPr>
                  <w:tcW w:w="478" w:type="pct"/>
                  <w:vAlign w:val="center"/>
                </w:tcPr>
                <w:p w14:paraId="0A281741">
                  <w:pPr>
                    <w:pStyle w:val="29"/>
                    <w:rPr>
                      <w:bCs/>
                    </w:rPr>
                  </w:pPr>
                  <w:r>
                    <w:rPr>
                      <w:rFonts w:hint="eastAsia"/>
                      <w:bCs/>
                      <w:color w:val="EE0000"/>
                    </w:rPr>
                    <w:t>/</w:t>
                  </w:r>
                </w:p>
              </w:tc>
              <w:tc>
                <w:tcPr>
                  <w:tcW w:w="301" w:type="pct"/>
                  <w:vAlign w:val="center"/>
                </w:tcPr>
                <w:p w14:paraId="3F10D442">
                  <w:pPr>
                    <w:pStyle w:val="29"/>
                    <w:rPr>
                      <w:bCs/>
                    </w:rPr>
                  </w:pPr>
                  <w:r>
                    <w:rPr>
                      <w:rFonts w:hint="eastAsia"/>
                      <w:bCs/>
                      <w:color w:val="EE0000"/>
                    </w:rPr>
                    <w:t>/</w:t>
                  </w:r>
                </w:p>
              </w:tc>
              <w:tc>
                <w:tcPr>
                  <w:tcW w:w="459" w:type="pct"/>
                  <w:vMerge w:val="continue"/>
                  <w:vAlign w:val="center"/>
                </w:tcPr>
                <w:p w14:paraId="03ABB1EF">
                  <w:pPr>
                    <w:pStyle w:val="29"/>
                    <w:rPr>
                      <w:bCs/>
                    </w:rPr>
                  </w:pPr>
                </w:p>
              </w:tc>
            </w:tr>
          </w:tbl>
          <w:p w14:paraId="14CA7D88">
            <w:pPr>
              <w:spacing w:line="240" w:lineRule="auto"/>
              <w:ind w:firstLine="440"/>
              <w:rPr>
                <w:bCs/>
                <w:sz w:val="22"/>
                <w:szCs w:val="22"/>
              </w:rPr>
            </w:pPr>
            <w:r>
              <w:rPr>
                <w:bCs/>
                <w:sz w:val="22"/>
                <w:szCs w:val="22"/>
              </w:rPr>
              <w:t>注：危险特性，包括腐蚀性（Corrosivity，C）、毒性（Toxicity，T）、易燃性（Ignitability，I）、反应性（Reactivity，R）和感染性（Infectivity，In）</w:t>
            </w:r>
          </w:p>
          <w:p w14:paraId="373E891F">
            <w:pPr>
              <w:ind w:firstLine="480"/>
              <w:rPr>
                <w:rFonts w:asciiTheme="majorBidi" w:hAnsiTheme="majorBidi" w:eastAsiaTheme="minorEastAsia" w:cstheme="majorBidi"/>
                <w:bCs/>
                <w:color w:val="000000" w:themeColor="text1"/>
                <w:kern w:val="2"/>
                <w14:textFill>
                  <w14:solidFill>
                    <w14:schemeClr w14:val="tx1"/>
                  </w14:solidFill>
                </w14:textFill>
              </w:rPr>
            </w:pPr>
            <w:r>
              <w:rPr>
                <w:rFonts w:asciiTheme="majorBidi" w:hAnsiTheme="majorBidi" w:eastAsiaTheme="minorEastAsia" w:cstheme="majorBidi"/>
                <w:bCs/>
                <w:color w:val="000000" w:themeColor="text1"/>
                <w:kern w:val="2"/>
                <w14:textFill>
                  <w14:solidFill>
                    <w14:schemeClr w14:val="tx1"/>
                  </w14:solidFill>
                </w14:textFill>
              </w:rPr>
              <w:t>2.处置去向及环境管理要求</w:t>
            </w:r>
          </w:p>
          <w:p w14:paraId="751F455F">
            <w:pPr>
              <w:ind w:firstLine="480"/>
              <w:rPr>
                <w:rFonts w:asciiTheme="majorBidi" w:hAnsiTheme="majorBidi" w:eastAsiaTheme="minorEastAsia" w:cstheme="majorBidi"/>
                <w:bCs/>
                <w:color w:val="000000" w:themeColor="text1"/>
                <w:kern w:val="2"/>
                <w14:textFill>
                  <w14:solidFill>
                    <w14:schemeClr w14:val="tx1"/>
                  </w14:solidFill>
                </w14:textFill>
              </w:rPr>
            </w:pPr>
            <w:r>
              <w:rPr>
                <w:rFonts w:asciiTheme="majorBidi" w:hAnsiTheme="majorBidi" w:eastAsiaTheme="minorEastAsia" w:cstheme="majorBidi"/>
                <w:bCs/>
                <w:color w:val="000000" w:themeColor="text1"/>
                <w:kern w:val="2"/>
                <w14:textFill>
                  <w14:solidFill>
                    <w14:schemeClr w14:val="tx1"/>
                  </w14:solidFill>
                </w14:textFill>
              </w:rPr>
              <w:t>（1）生活垃圾</w:t>
            </w:r>
          </w:p>
          <w:p w14:paraId="4BB548EB">
            <w:pPr>
              <w:ind w:firstLine="480"/>
              <w:rPr>
                <w:bCs/>
              </w:rPr>
            </w:pPr>
            <w:r>
              <w:rPr>
                <w:bCs/>
              </w:rPr>
              <w:t>生活垃圾统一收集，交由环卫部门统一处理。</w:t>
            </w:r>
          </w:p>
          <w:p w14:paraId="04BB3F82">
            <w:pPr>
              <w:ind w:firstLine="480"/>
              <w:rPr>
                <w:rFonts w:asciiTheme="majorBidi" w:hAnsiTheme="majorBidi" w:eastAsiaTheme="minorEastAsia" w:cstheme="majorBidi"/>
                <w:bCs/>
                <w:color w:val="000000" w:themeColor="text1"/>
                <w:kern w:val="2"/>
                <w14:textFill>
                  <w14:solidFill>
                    <w14:schemeClr w14:val="tx1"/>
                  </w14:solidFill>
                </w14:textFill>
              </w:rPr>
            </w:pPr>
            <w:r>
              <w:rPr>
                <w:rFonts w:asciiTheme="majorBidi" w:hAnsiTheme="majorBidi" w:eastAsiaTheme="minorEastAsia" w:cstheme="majorBidi"/>
                <w:bCs/>
                <w:color w:val="000000" w:themeColor="text1"/>
                <w:kern w:val="2"/>
                <w14:textFill>
                  <w14:solidFill>
                    <w14:schemeClr w14:val="tx1"/>
                  </w14:solidFill>
                </w14:textFill>
              </w:rPr>
              <w:t>（2）一般固体废物</w:t>
            </w:r>
          </w:p>
          <w:p w14:paraId="1E80136E">
            <w:pPr>
              <w:ind w:firstLine="480"/>
              <w:rPr>
                <w:bCs/>
              </w:rPr>
            </w:pPr>
            <w:r>
              <w:rPr>
                <w:bCs/>
              </w:rPr>
              <w:t>对于一般工业废物，根据《中华人民共和国固体废物污染环境防治法》（2020年修订）、《广东省固体废物污染环境防治条例》（2022年修正）等相关国家及地方法律法规，提出如下环保措施：</w:t>
            </w:r>
          </w:p>
          <w:p w14:paraId="0C4F9CBA">
            <w:pPr>
              <w:ind w:firstLine="480"/>
              <w:rPr>
                <w:bCs/>
              </w:rPr>
            </w:pPr>
            <w:r>
              <w:rPr>
                <w:bCs/>
              </w:rPr>
              <w:t>一般固废物暂存区应满足相应防渗漏、防雨淋、防扬尘等环境保护要求。一般固废物暂存区按GB15562.2设置环境保护图形标志，本项目一般固体废物存放区位于厂区3楼，可满足防风、防晒、防雨要求。</w:t>
            </w:r>
          </w:p>
          <w:p w14:paraId="16F58837">
            <w:pPr>
              <w:ind w:firstLine="480"/>
              <w:rPr>
                <w:bCs/>
              </w:rPr>
            </w:pPr>
            <w:r>
              <w:rPr>
                <w:bCs/>
              </w:rPr>
              <w:t>建立检查维护和档案制度，定期检查，发现异常，及时采取必要措施，以保障正常运行，将厂区内产生的一般工业固体废物的种类和数量，以及检查维护资料详细记录在案，档案保存期限不少于5年。</w:t>
            </w:r>
          </w:p>
          <w:p w14:paraId="64776B5D">
            <w:pPr>
              <w:ind w:firstLine="480"/>
              <w:rPr>
                <w:rFonts w:asciiTheme="majorBidi" w:hAnsiTheme="majorBidi" w:eastAsiaTheme="minorEastAsia" w:cstheme="majorBidi"/>
                <w:bCs/>
                <w:color w:val="000000" w:themeColor="text1"/>
                <w:kern w:val="2"/>
                <w14:textFill>
                  <w14:solidFill>
                    <w14:schemeClr w14:val="tx1"/>
                  </w14:solidFill>
                </w14:textFill>
              </w:rPr>
            </w:pPr>
            <w:r>
              <w:rPr>
                <w:rFonts w:asciiTheme="majorBidi" w:hAnsiTheme="majorBidi" w:eastAsiaTheme="minorEastAsia" w:cstheme="majorBidi"/>
                <w:bCs/>
                <w:color w:val="000000" w:themeColor="text1"/>
                <w:kern w:val="2"/>
                <w14:textFill>
                  <w14:solidFill>
                    <w14:schemeClr w14:val="tx1"/>
                  </w14:solidFill>
                </w14:textFill>
              </w:rPr>
              <w:t>（3）危险废物</w:t>
            </w:r>
          </w:p>
          <w:p w14:paraId="545EB044">
            <w:pPr>
              <w:ind w:firstLine="480"/>
              <w:rPr>
                <w:bCs/>
              </w:rPr>
            </w:pPr>
            <w:r>
              <w:rPr>
                <w:bCs/>
              </w:rPr>
              <w:t>为保证固体废物暂存场内暂存的危险废物不对环境产生污染，依据《危险废物贮存污染控制标准》（GB18597-2023）、《危险废物收集、贮存、运输技术规范》（HJ2025-2012）及相关国家及地方法律法规，项目危险废物的暂存场所设置情况如下表：</w:t>
            </w:r>
          </w:p>
          <w:p w14:paraId="4F9D069B">
            <w:pPr>
              <w:pStyle w:val="11"/>
              <w:numPr>
                <w:ilvl w:val="0"/>
                <w:numId w:val="4"/>
              </w:numPr>
              <w:rPr>
                <w:bCs w:val="0"/>
              </w:rPr>
            </w:pPr>
            <w:r>
              <w:rPr>
                <w:bCs w:val="0"/>
              </w:rPr>
              <w:t>表4-17项目危险废物贮存场所（设施）基本情况表</w:t>
            </w:r>
          </w:p>
          <w:tbl>
            <w:tblPr>
              <w:tblStyle w:val="21"/>
              <w:tblW w:w="9102" w:type="dxa"/>
              <w:tblInd w:w="0" w:type="dxa"/>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28" w:type="dxa"/>
                <w:bottom w:w="0" w:type="dxa"/>
                <w:right w:w="28" w:type="dxa"/>
              </w:tblCellMar>
            </w:tblPr>
            <w:tblGrid>
              <w:gridCol w:w="319"/>
              <w:gridCol w:w="1416"/>
              <w:gridCol w:w="1802"/>
              <w:gridCol w:w="814"/>
              <w:gridCol w:w="1220"/>
              <w:gridCol w:w="542"/>
              <w:gridCol w:w="544"/>
              <w:gridCol w:w="814"/>
              <w:gridCol w:w="814"/>
              <w:gridCol w:w="817"/>
            </w:tblGrid>
            <w:tr w14:paraId="569A4235">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340" w:hRule="atLeast"/>
              </w:trPr>
              <w:tc>
                <w:tcPr>
                  <w:tcW w:w="175" w:type="pct"/>
                  <w:vAlign w:val="center"/>
                </w:tcPr>
                <w:p w14:paraId="56134358">
                  <w:pPr>
                    <w:pStyle w:val="29"/>
                    <w:rPr>
                      <w:bCs/>
                    </w:rPr>
                  </w:pPr>
                  <w:r>
                    <w:rPr>
                      <w:bCs/>
                    </w:rPr>
                    <w:t>序号</w:t>
                  </w:r>
                </w:p>
              </w:tc>
              <w:tc>
                <w:tcPr>
                  <w:tcW w:w="778" w:type="pct"/>
                  <w:vAlign w:val="center"/>
                </w:tcPr>
                <w:p w14:paraId="3C0B7B68">
                  <w:pPr>
                    <w:pStyle w:val="29"/>
                    <w:rPr>
                      <w:bCs/>
                    </w:rPr>
                  </w:pPr>
                  <w:r>
                    <w:rPr>
                      <w:bCs/>
                    </w:rPr>
                    <w:t>贮存场所</w:t>
                  </w:r>
                  <w:r>
                    <w:rPr>
                      <w:rFonts w:hint="eastAsia"/>
                      <w:bCs/>
                    </w:rPr>
                    <w:t>（</w:t>
                  </w:r>
                  <w:r>
                    <w:rPr>
                      <w:bCs/>
                    </w:rPr>
                    <w:t>设施</w:t>
                  </w:r>
                  <w:r>
                    <w:rPr>
                      <w:rFonts w:hint="eastAsia"/>
                      <w:bCs/>
                    </w:rPr>
                    <w:t>）</w:t>
                  </w:r>
                  <w:r>
                    <w:rPr>
                      <w:bCs/>
                    </w:rPr>
                    <w:t>名称</w:t>
                  </w:r>
                </w:p>
              </w:tc>
              <w:tc>
                <w:tcPr>
                  <w:tcW w:w="990" w:type="pct"/>
                  <w:vAlign w:val="center"/>
                </w:tcPr>
                <w:p w14:paraId="1F8A28F6">
                  <w:pPr>
                    <w:pStyle w:val="29"/>
                    <w:rPr>
                      <w:bCs/>
                    </w:rPr>
                  </w:pPr>
                  <w:r>
                    <w:rPr>
                      <w:bCs/>
                    </w:rPr>
                    <w:t>危险废物名称</w:t>
                  </w:r>
                </w:p>
              </w:tc>
              <w:tc>
                <w:tcPr>
                  <w:tcW w:w="447" w:type="pct"/>
                  <w:vAlign w:val="center"/>
                </w:tcPr>
                <w:p w14:paraId="12523997">
                  <w:pPr>
                    <w:pStyle w:val="29"/>
                    <w:rPr>
                      <w:bCs/>
                    </w:rPr>
                  </w:pPr>
                  <w:r>
                    <w:rPr>
                      <w:bCs/>
                    </w:rPr>
                    <w:t>危险废物类别</w:t>
                  </w:r>
                </w:p>
              </w:tc>
              <w:tc>
                <w:tcPr>
                  <w:tcW w:w="670" w:type="pct"/>
                  <w:vAlign w:val="center"/>
                </w:tcPr>
                <w:p w14:paraId="77780F9F">
                  <w:pPr>
                    <w:pStyle w:val="29"/>
                    <w:rPr>
                      <w:bCs/>
                    </w:rPr>
                  </w:pPr>
                  <w:r>
                    <w:rPr>
                      <w:bCs/>
                    </w:rPr>
                    <w:t>危险废物</w:t>
                  </w:r>
                </w:p>
                <w:p w14:paraId="53FC48B0">
                  <w:pPr>
                    <w:pStyle w:val="29"/>
                    <w:rPr>
                      <w:bCs/>
                    </w:rPr>
                  </w:pPr>
                  <w:r>
                    <w:rPr>
                      <w:bCs/>
                    </w:rPr>
                    <w:t>代码</w:t>
                  </w:r>
                </w:p>
              </w:tc>
              <w:tc>
                <w:tcPr>
                  <w:tcW w:w="298" w:type="pct"/>
                  <w:vAlign w:val="center"/>
                </w:tcPr>
                <w:p w14:paraId="107D6095">
                  <w:pPr>
                    <w:pStyle w:val="29"/>
                    <w:rPr>
                      <w:bCs/>
                    </w:rPr>
                  </w:pPr>
                  <w:r>
                    <w:rPr>
                      <w:bCs/>
                    </w:rPr>
                    <w:t>位置</w:t>
                  </w:r>
                </w:p>
              </w:tc>
              <w:tc>
                <w:tcPr>
                  <w:tcW w:w="299" w:type="pct"/>
                  <w:vAlign w:val="center"/>
                </w:tcPr>
                <w:p w14:paraId="34EEE309">
                  <w:pPr>
                    <w:pStyle w:val="29"/>
                    <w:rPr>
                      <w:bCs/>
                    </w:rPr>
                  </w:pPr>
                  <w:r>
                    <w:rPr>
                      <w:bCs/>
                    </w:rPr>
                    <w:t>占地</w:t>
                  </w:r>
                </w:p>
                <w:p w14:paraId="4B889EDE">
                  <w:pPr>
                    <w:pStyle w:val="29"/>
                    <w:rPr>
                      <w:bCs/>
                    </w:rPr>
                  </w:pPr>
                  <w:r>
                    <w:rPr>
                      <w:bCs/>
                    </w:rPr>
                    <w:t>面积</w:t>
                  </w:r>
                </w:p>
              </w:tc>
              <w:tc>
                <w:tcPr>
                  <w:tcW w:w="447" w:type="pct"/>
                  <w:vAlign w:val="center"/>
                </w:tcPr>
                <w:p w14:paraId="5343993E">
                  <w:pPr>
                    <w:pStyle w:val="29"/>
                    <w:rPr>
                      <w:bCs/>
                    </w:rPr>
                  </w:pPr>
                  <w:r>
                    <w:rPr>
                      <w:bCs/>
                    </w:rPr>
                    <w:t>贮存方式</w:t>
                  </w:r>
                </w:p>
              </w:tc>
              <w:tc>
                <w:tcPr>
                  <w:tcW w:w="447" w:type="pct"/>
                  <w:vAlign w:val="center"/>
                </w:tcPr>
                <w:p w14:paraId="635ABD42">
                  <w:pPr>
                    <w:pStyle w:val="29"/>
                    <w:rPr>
                      <w:bCs/>
                    </w:rPr>
                  </w:pPr>
                  <w:r>
                    <w:rPr>
                      <w:bCs/>
                    </w:rPr>
                    <w:t>贮存能力/t</w:t>
                  </w:r>
                </w:p>
              </w:tc>
              <w:tc>
                <w:tcPr>
                  <w:tcW w:w="449" w:type="pct"/>
                  <w:vAlign w:val="center"/>
                </w:tcPr>
                <w:p w14:paraId="2B1B6FBC">
                  <w:pPr>
                    <w:pStyle w:val="29"/>
                    <w:rPr>
                      <w:bCs/>
                    </w:rPr>
                  </w:pPr>
                  <w:r>
                    <w:rPr>
                      <w:bCs/>
                    </w:rPr>
                    <w:t>贮存周期</w:t>
                  </w:r>
                </w:p>
              </w:tc>
            </w:tr>
            <w:tr w14:paraId="1CC6928C">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340" w:hRule="atLeast"/>
              </w:trPr>
              <w:tc>
                <w:tcPr>
                  <w:tcW w:w="175" w:type="pct"/>
                  <w:vAlign w:val="center"/>
                </w:tcPr>
                <w:p w14:paraId="76EACCF5">
                  <w:pPr>
                    <w:pStyle w:val="29"/>
                    <w:rPr>
                      <w:bCs/>
                    </w:rPr>
                  </w:pPr>
                  <w:r>
                    <w:rPr>
                      <w:bCs/>
                    </w:rPr>
                    <w:t>1</w:t>
                  </w:r>
                </w:p>
              </w:tc>
              <w:tc>
                <w:tcPr>
                  <w:tcW w:w="778" w:type="pct"/>
                  <w:vMerge w:val="restart"/>
                  <w:vAlign w:val="center"/>
                </w:tcPr>
                <w:p w14:paraId="28C5CDD0">
                  <w:pPr>
                    <w:pStyle w:val="29"/>
                    <w:rPr>
                      <w:bCs/>
                    </w:rPr>
                  </w:pPr>
                  <w:r>
                    <w:rPr>
                      <w:bCs/>
                    </w:rPr>
                    <w:t>危废暂存间</w:t>
                  </w:r>
                </w:p>
              </w:tc>
              <w:tc>
                <w:tcPr>
                  <w:tcW w:w="990" w:type="pct"/>
                  <w:vAlign w:val="center"/>
                </w:tcPr>
                <w:p w14:paraId="47757350">
                  <w:pPr>
                    <w:pStyle w:val="29"/>
                    <w:rPr>
                      <w:bCs/>
                    </w:rPr>
                  </w:pPr>
                  <w:r>
                    <w:rPr>
                      <w:bCs/>
                    </w:rPr>
                    <w:t>废机油</w:t>
                  </w:r>
                </w:p>
              </w:tc>
              <w:tc>
                <w:tcPr>
                  <w:tcW w:w="447" w:type="pct"/>
                  <w:vAlign w:val="center"/>
                </w:tcPr>
                <w:p w14:paraId="7FD59A3A">
                  <w:pPr>
                    <w:pStyle w:val="29"/>
                    <w:rPr>
                      <w:bCs/>
                    </w:rPr>
                  </w:pPr>
                  <w:r>
                    <w:rPr>
                      <w:bCs/>
                    </w:rPr>
                    <w:t>HW08</w:t>
                  </w:r>
                </w:p>
              </w:tc>
              <w:tc>
                <w:tcPr>
                  <w:tcW w:w="670" w:type="pct"/>
                  <w:vAlign w:val="center"/>
                </w:tcPr>
                <w:p w14:paraId="408A9EED">
                  <w:pPr>
                    <w:pStyle w:val="29"/>
                    <w:rPr>
                      <w:bCs/>
                    </w:rPr>
                  </w:pPr>
                  <w:r>
                    <w:rPr>
                      <w:bCs/>
                    </w:rPr>
                    <w:t>900-217-08</w:t>
                  </w:r>
                </w:p>
              </w:tc>
              <w:tc>
                <w:tcPr>
                  <w:tcW w:w="298" w:type="pct"/>
                  <w:vMerge w:val="restart"/>
                  <w:vAlign w:val="center"/>
                </w:tcPr>
                <w:p w14:paraId="20FFCDAE">
                  <w:pPr>
                    <w:pStyle w:val="29"/>
                    <w:rPr>
                      <w:bCs/>
                    </w:rPr>
                  </w:pPr>
                  <w:r>
                    <w:rPr>
                      <w:bCs/>
                    </w:rPr>
                    <w:t>厂区3楼北侧</w:t>
                  </w:r>
                </w:p>
              </w:tc>
              <w:tc>
                <w:tcPr>
                  <w:tcW w:w="299" w:type="pct"/>
                  <w:vMerge w:val="restart"/>
                  <w:vAlign w:val="center"/>
                </w:tcPr>
                <w:p w14:paraId="10824F0D">
                  <w:pPr>
                    <w:pStyle w:val="29"/>
                    <w:rPr>
                      <w:bCs/>
                    </w:rPr>
                  </w:pPr>
                  <w:r>
                    <w:rPr>
                      <w:bCs/>
                    </w:rPr>
                    <w:t>20平</w:t>
                  </w:r>
                </w:p>
                <w:p w14:paraId="721F5A18">
                  <w:pPr>
                    <w:pStyle w:val="29"/>
                    <w:rPr>
                      <w:bCs/>
                    </w:rPr>
                  </w:pPr>
                  <w:r>
                    <w:rPr>
                      <w:bCs/>
                    </w:rPr>
                    <w:t>方米</w:t>
                  </w:r>
                </w:p>
              </w:tc>
              <w:tc>
                <w:tcPr>
                  <w:tcW w:w="447" w:type="pct"/>
                  <w:vAlign w:val="center"/>
                </w:tcPr>
                <w:p w14:paraId="37D049A6">
                  <w:pPr>
                    <w:pStyle w:val="29"/>
                    <w:rPr>
                      <w:bCs/>
                    </w:rPr>
                  </w:pPr>
                  <w:r>
                    <w:rPr>
                      <w:bCs/>
                    </w:rPr>
                    <w:t>桶装</w:t>
                  </w:r>
                </w:p>
              </w:tc>
              <w:tc>
                <w:tcPr>
                  <w:tcW w:w="447" w:type="pct"/>
                  <w:vAlign w:val="center"/>
                </w:tcPr>
                <w:p w14:paraId="4CA633C1">
                  <w:pPr>
                    <w:pStyle w:val="29"/>
                    <w:rPr>
                      <w:bCs/>
                    </w:rPr>
                  </w:pPr>
                  <w:r>
                    <w:rPr>
                      <w:bCs/>
                    </w:rPr>
                    <w:t>0.02</w:t>
                  </w:r>
                </w:p>
              </w:tc>
              <w:tc>
                <w:tcPr>
                  <w:tcW w:w="449" w:type="pct"/>
                  <w:vAlign w:val="center"/>
                </w:tcPr>
                <w:p w14:paraId="1F1C53C6">
                  <w:pPr>
                    <w:pStyle w:val="29"/>
                    <w:rPr>
                      <w:bCs/>
                    </w:rPr>
                  </w:pPr>
                  <w:r>
                    <w:rPr>
                      <w:bCs/>
                    </w:rPr>
                    <w:t>一年</w:t>
                  </w:r>
                </w:p>
              </w:tc>
            </w:tr>
            <w:tr w14:paraId="5C941158">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340" w:hRule="atLeast"/>
              </w:trPr>
              <w:tc>
                <w:tcPr>
                  <w:tcW w:w="175" w:type="pct"/>
                  <w:vAlign w:val="center"/>
                </w:tcPr>
                <w:p w14:paraId="794E6107">
                  <w:pPr>
                    <w:pStyle w:val="29"/>
                    <w:rPr>
                      <w:bCs/>
                    </w:rPr>
                  </w:pPr>
                  <w:r>
                    <w:rPr>
                      <w:bCs/>
                    </w:rPr>
                    <w:t>2</w:t>
                  </w:r>
                </w:p>
              </w:tc>
              <w:tc>
                <w:tcPr>
                  <w:tcW w:w="778" w:type="pct"/>
                  <w:vMerge w:val="continue"/>
                  <w:vAlign w:val="center"/>
                </w:tcPr>
                <w:p w14:paraId="4EED41CD">
                  <w:pPr>
                    <w:pStyle w:val="29"/>
                    <w:rPr>
                      <w:bCs/>
                    </w:rPr>
                  </w:pPr>
                </w:p>
              </w:tc>
              <w:tc>
                <w:tcPr>
                  <w:tcW w:w="990" w:type="pct"/>
                  <w:vAlign w:val="center"/>
                </w:tcPr>
                <w:p w14:paraId="7F0243D7">
                  <w:pPr>
                    <w:pStyle w:val="29"/>
                    <w:rPr>
                      <w:bCs/>
                    </w:rPr>
                  </w:pPr>
                  <w:r>
                    <w:rPr>
                      <w:bCs/>
                    </w:rPr>
                    <w:t>废</w:t>
                  </w:r>
                  <w:r>
                    <w:rPr>
                      <w:bCs/>
                      <w:color w:val="0000FF"/>
                    </w:rPr>
                    <w:t>电火花机</w:t>
                  </w:r>
                  <w:r>
                    <w:rPr>
                      <w:bCs/>
                    </w:rPr>
                    <w:t>油</w:t>
                  </w:r>
                </w:p>
              </w:tc>
              <w:tc>
                <w:tcPr>
                  <w:tcW w:w="447" w:type="pct"/>
                  <w:vAlign w:val="center"/>
                </w:tcPr>
                <w:p w14:paraId="14F17E4D">
                  <w:pPr>
                    <w:pStyle w:val="29"/>
                    <w:rPr>
                      <w:bCs/>
                    </w:rPr>
                  </w:pPr>
                  <w:r>
                    <w:rPr>
                      <w:bCs/>
                    </w:rPr>
                    <w:t>HW08</w:t>
                  </w:r>
                </w:p>
              </w:tc>
              <w:tc>
                <w:tcPr>
                  <w:tcW w:w="670" w:type="pct"/>
                  <w:vAlign w:val="center"/>
                </w:tcPr>
                <w:p w14:paraId="0F8718BB">
                  <w:pPr>
                    <w:pStyle w:val="29"/>
                    <w:rPr>
                      <w:bCs/>
                    </w:rPr>
                  </w:pPr>
                  <w:r>
                    <w:rPr>
                      <w:bCs/>
                    </w:rPr>
                    <w:t>900-</w:t>
                  </w:r>
                  <w:r>
                    <w:rPr>
                      <w:bCs/>
                      <w:color w:val="EE0000"/>
                    </w:rPr>
                    <w:t>2</w:t>
                  </w:r>
                  <w:r>
                    <w:rPr>
                      <w:rFonts w:hint="eastAsia"/>
                      <w:bCs/>
                      <w:color w:val="EE0000"/>
                    </w:rPr>
                    <w:t>09</w:t>
                  </w:r>
                  <w:r>
                    <w:rPr>
                      <w:bCs/>
                    </w:rPr>
                    <w:t>-08</w:t>
                  </w:r>
                </w:p>
              </w:tc>
              <w:tc>
                <w:tcPr>
                  <w:tcW w:w="298" w:type="pct"/>
                  <w:vMerge w:val="continue"/>
                  <w:vAlign w:val="center"/>
                </w:tcPr>
                <w:p w14:paraId="4CCC7FB8">
                  <w:pPr>
                    <w:pStyle w:val="29"/>
                    <w:rPr>
                      <w:bCs/>
                    </w:rPr>
                  </w:pPr>
                </w:p>
              </w:tc>
              <w:tc>
                <w:tcPr>
                  <w:tcW w:w="299" w:type="pct"/>
                  <w:vMerge w:val="continue"/>
                  <w:vAlign w:val="center"/>
                </w:tcPr>
                <w:p w14:paraId="5C4CA21D">
                  <w:pPr>
                    <w:pStyle w:val="29"/>
                    <w:rPr>
                      <w:bCs/>
                    </w:rPr>
                  </w:pPr>
                </w:p>
              </w:tc>
              <w:tc>
                <w:tcPr>
                  <w:tcW w:w="447" w:type="pct"/>
                  <w:vAlign w:val="center"/>
                </w:tcPr>
                <w:p w14:paraId="02F41E70">
                  <w:pPr>
                    <w:pStyle w:val="29"/>
                    <w:rPr>
                      <w:bCs/>
                    </w:rPr>
                  </w:pPr>
                  <w:r>
                    <w:rPr>
                      <w:bCs/>
                    </w:rPr>
                    <w:t>桶装</w:t>
                  </w:r>
                </w:p>
              </w:tc>
              <w:tc>
                <w:tcPr>
                  <w:tcW w:w="447" w:type="pct"/>
                  <w:vAlign w:val="center"/>
                </w:tcPr>
                <w:p w14:paraId="6A405161">
                  <w:pPr>
                    <w:pStyle w:val="29"/>
                    <w:rPr>
                      <w:bCs/>
                    </w:rPr>
                  </w:pPr>
                  <w:r>
                    <w:rPr>
                      <w:bCs/>
                    </w:rPr>
                    <w:t>0.01</w:t>
                  </w:r>
                </w:p>
              </w:tc>
              <w:tc>
                <w:tcPr>
                  <w:tcW w:w="449" w:type="pct"/>
                  <w:vAlign w:val="center"/>
                </w:tcPr>
                <w:p w14:paraId="407ED3E7">
                  <w:pPr>
                    <w:pStyle w:val="29"/>
                    <w:rPr>
                      <w:bCs/>
                    </w:rPr>
                  </w:pPr>
                  <w:r>
                    <w:rPr>
                      <w:bCs/>
                    </w:rPr>
                    <w:t>一年</w:t>
                  </w:r>
                </w:p>
              </w:tc>
            </w:tr>
            <w:tr w14:paraId="24456DC8">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340" w:hRule="atLeast"/>
              </w:trPr>
              <w:tc>
                <w:tcPr>
                  <w:tcW w:w="175" w:type="pct"/>
                  <w:vAlign w:val="center"/>
                </w:tcPr>
                <w:p w14:paraId="08F0C082">
                  <w:pPr>
                    <w:pStyle w:val="29"/>
                    <w:rPr>
                      <w:bCs/>
                    </w:rPr>
                  </w:pPr>
                  <w:r>
                    <w:rPr>
                      <w:bCs/>
                    </w:rPr>
                    <w:t>3</w:t>
                  </w:r>
                </w:p>
              </w:tc>
              <w:tc>
                <w:tcPr>
                  <w:tcW w:w="778" w:type="pct"/>
                  <w:vMerge w:val="continue"/>
                  <w:vAlign w:val="center"/>
                </w:tcPr>
                <w:p w14:paraId="1715DED2">
                  <w:pPr>
                    <w:pStyle w:val="29"/>
                    <w:rPr>
                      <w:bCs/>
                    </w:rPr>
                  </w:pPr>
                </w:p>
              </w:tc>
              <w:tc>
                <w:tcPr>
                  <w:tcW w:w="990" w:type="pct"/>
                  <w:vAlign w:val="center"/>
                </w:tcPr>
                <w:p w14:paraId="3D11DC7B">
                  <w:pPr>
                    <w:pStyle w:val="29"/>
                    <w:rPr>
                      <w:bCs/>
                    </w:rPr>
                  </w:pPr>
                  <w:r>
                    <w:rPr>
                      <w:bCs/>
                    </w:rPr>
                    <w:t>废油桶</w:t>
                  </w:r>
                </w:p>
              </w:tc>
              <w:tc>
                <w:tcPr>
                  <w:tcW w:w="447" w:type="pct"/>
                  <w:vAlign w:val="center"/>
                </w:tcPr>
                <w:p w14:paraId="71442B61">
                  <w:pPr>
                    <w:pStyle w:val="29"/>
                    <w:rPr>
                      <w:bCs/>
                    </w:rPr>
                  </w:pPr>
                  <w:r>
                    <w:rPr>
                      <w:bCs/>
                    </w:rPr>
                    <w:t>HW08</w:t>
                  </w:r>
                </w:p>
              </w:tc>
              <w:tc>
                <w:tcPr>
                  <w:tcW w:w="670" w:type="pct"/>
                  <w:vAlign w:val="center"/>
                </w:tcPr>
                <w:p w14:paraId="5F411A21">
                  <w:pPr>
                    <w:pStyle w:val="29"/>
                    <w:rPr>
                      <w:bCs/>
                    </w:rPr>
                  </w:pPr>
                  <w:r>
                    <w:rPr>
                      <w:bCs/>
                    </w:rPr>
                    <w:t>900-249-08</w:t>
                  </w:r>
                </w:p>
              </w:tc>
              <w:tc>
                <w:tcPr>
                  <w:tcW w:w="298" w:type="pct"/>
                  <w:vMerge w:val="continue"/>
                  <w:vAlign w:val="center"/>
                </w:tcPr>
                <w:p w14:paraId="5F94416C">
                  <w:pPr>
                    <w:pStyle w:val="29"/>
                    <w:rPr>
                      <w:bCs/>
                    </w:rPr>
                  </w:pPr>
                </w:p>
              </w:tc>
              <w:tc>
                <w:tcPr>
                  <w:tcW w:w="299" w:type="pct"/>
                  <w:vMerge w:val="continue"/>
                  <w:vAlign w:val="center"/>
                </w:tcPr>
                <w:p w14:paraId="559EB97B">
                  <w:pPr>
                    <w:pStyle w:val="29"/>
                    <w:rPr>
                      <w:bCs/>
                    </w:rPr>
                  </w:pPr>
                </w:p>
              </w:tc>
              <w:tc>
                <w:tcPr>
                  <w:tcW w:w="447" w:type="pct"/>
                  <w:vAlign w:val="center"/>
                </w:tcPr>
                <w:p w14:paraId="453E7714">
                  <w:pPr>
                    <w:pStyle w:val="29"/>
                    <w:rPr>
                      <w:bCs/>
                    </w:rPr>
                  </w:pPr>
                  <w:r>
                    <w:rPr>
                      <w:bCs/>
                    </w:rPr>
                    <w:t>桶装</w:t>
                  </w:r>
                </w:p>
              </w:tc>
              <w:tc>
                <w:tcPr>
                  <w:tcW w:w="447" w:type="pct"/>
                  <w:vAlign w:val="center"/>
                </w:tcPr>
                <w:p w14:paraId="086B1A7A">
                  <w:pPr>
                    <w:pStyle w:val="29"/>
                    <w:rPr>
                      <w:bCs/>
                    </w:rPr>
                  </w:pPr>
                  <w:r>
                    <w:rPr>
                      <w:bCs/>
                    </w:rPr>
                    <w:t>0.01</w:t>
                  </w:r>
                </w:p>
              </w:tc>
              <w:tc>
                <w:tcPr>
                  <w:tcW w:w="449" w:type="pct"/>
                  <w:vAlign w:val="center"/>
                </w:tcPr>
                <w:p w14:paraId="0FE3767E">
                  <w:pPr>
                    <w:pStyle w:val="29"/>
                    <w:rPr>
                      <w:bCs/>
                    </w:rPr>
                  </w:pPr>
                  <w:r>
                    <w:rPr>
                      <w:bCs/>
                    </w:rPr>
                    <w:t>一年</w:t>
                  </w:r>
                </w:p>
              </w:tc>
            </w:tr>
            <w:tr w14:paraId="387C1BA5">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340" w:hRule="atLeast"/>
              </w:trPr>
              <w:tc>
                <w:tcPr>
                  <w:tcW w:w="175" w:type="pct"/>
                  <w:vAlign w:val="center"/>
                </w:tcPr>
                <w:p w14:paraId="1691595E">
                  <w:pPr>
                    <w:pStyle w:val="29"/>
                    <w:rPr>
                      <w:bCs/>
                    </w:rPr>
                  </w:pPr>
                  <w:r>
                    <w:rPr>
                      <w:bCs/>
                    </w:rPr>
                    <w:t>4</w:t>
                  </w:r>
                </w:p>
              </w:tc>
              <w:tc>
                <w:tcPr>
                  <w:tcW w:w="778" w:type="pct"/>
                  <w:vMerge w:val="continue"/>
                  <w:vAlign w:val="center"/>
                </w:tcPr>
                <w:p w14:paraId="611E181B">
                  <w:pPr>
                    <w:pStyle w:val="29"/>
                    <w:rPr>
                      <w:bCs/>
                    </w:rPr>
                  </w:pPr>
                </w:p>
              </w:tc>
              <w:tc>
                <w:tcPr>
                  <w:tcW w:w="990" w:type="pct"/>
                  <w:vAlign w:val="center"/>
                </w:tcPr>
                <w:p w14:paraId="5A8F9D0C">
                  <w:pPr>
                    <w:pStyle w:val="29"/>
                    <w:rPr>
                      <w:bCs/>
                    </w:rPr>
                  </w:pPr>
                  <w:r>
                    <w:rPr>
                      <w:bCs/>
                    </w:rPr>
                    <w:t>废含油抹布及手套</w:t>
                  </w:r>
                </w:p>
              </w:tc>
              <w:tc>
                <w:tcPr>
                  <w:tcW w:w="447" w:type="pct"/>
                  <w:vAlign w:val="center"/>
                </w:tcPr>
                <w:p w14:paraId="5288BC03">
                  <w:pPr>
                    <w:pStyle w:val="29"/>
                    <w:rPr>
                      <w:bCs/>
                    </w:rPr>
                  </w:pPr>
                  <w:r>
                    <w:rPr>
                      <w:bCs/>
                    </w:rPr>
                    <w:t>HW49</w:t>
                  </w:r>
                </w:p>
              </w:tc>
              <w:tc>
                <w:tcPr>
                  <w:tcW w:w="670" w:type="pct"/>
                  <w:vAlign w:val="center"/>
                </w:tcPr>
                <w:p w14:paraId="62A19315">
                  <w:pPr>
                    <w:pStyle w:val="29"/>
                    <w:rPr>
                      <w:bCs/>
                    </w:rPr>
                  </w:pPr>
                  <w:r>
                    <w:rPr>
                      <w:bCs/>
                    </w:rPr>
                    <w:t>900-041-49</w:t>
                  </w:r>
                </w:p>
              </w:tc>
              <w:tc>
                <w:tcPr>
                  <w:tcW w:w="298" w:type="pct"/>
                  <w:vMerge w:val="continue"/>
                  <w:vAlign w:val="center"/>
                </w:tcPr>
                <w:p w14:paraId="6B947E38">
                  <w:pPr>
                    <w:pStyle w:val="29"/>
                    <w:rPr>
                      <w:bCs/>
                    </w:rPr>
                  </w:pPr>
                </w:p>
              </w:tc>
              <w:tc>
                <w:tcPr>
                  <w:tcW w:w="299" w:type="pct"/>
                  <w:vMerge w:val="continue"/>
                  <w:vAlign w:val="center"/>
                </w:tcPr>
                <w:p w14:paraId="3ABB1245">
                  <w:pPr>
                    <w:pStyle w:val="29"/>
                    <w:rPr>
                      <w:bCs/>
                    </w:rPr>
                  </w:pPr>
                </w:p>
              </w:tc>
              <w:tc>
                <w:tcPr>
                  <w:tcW w:w="447" w:type="pct"/>
                  <w:vAlign w:val="center"/>
                </w:tcPr>
                <w:p w14:paraId="35B8B882">
                  <w:pPr>
                    <w:pStyle w:val="29"/>
                    <w:rPr>
                      <w:bCs/>
                    </w:rPr>
                  </w:pPr>
                  <w:r>
                    <w:rPr>
                      <w:bCs/>
                    </w:rPr>
                    <w:t>桶装</w:t>
                  </w:r>
                </w:p>
              </w:tc>
              <w:tc>
                <w:tcPr>
                  <w:tcW w:w="447" w:type="pct"/>
                  <w:vAlign w:val="center"/>
                </w:tcPr>
                <w:p w14:paraId="0A8B2C18">
                  <w:pPr>
                    <w:pStyle w:val="29"/>
                    <w:rPr>
                      <w:bCs/>
                    </w:rPr>
                  </w:pPr>
                  <w:r>
                    <w:rPr>
                      <w:bCs/>
                    </w:rPr>
                    <w:t>0.1</w:t>
                  </w:r>
                </w:p>
              </w:tc>
              <w:tc>
                <w:tcPr>
                  <w:tcW w:w="449" w:type="pct"/>
                  <w:vAlign w:val="center"/>
                </w:tcPr>
                <w:p w14:paraId="18275888">
                  <w:pPr>
                    <w:pStyle w:val="29"/>
                    <w:rPr>
                      <w:bCs/>
                    </w:rPr>
                  </w:pPr>
                  <w:r>
                    <w:rPr>
                      <w:bCs/>
                    </w:rPr>
                    <w:t>一年</w:t>
                  </w:r>
                </w:p>
              </w:tc>
            </w:tr>
            <w:tr w14:paraId="64330CD4">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340" w:hRule="atLeast"/>
              </w:trPr>
              <w:tc>
                <w:tcPr>
                  <w:tcW w:w="175" w:type="pct"/>
                  <w:vAlign w:val="center"/>
                </w:tcPr>
                <w:p w14:paraId="0C3D524D">
                  <w:pPr>
                    <w:pStyle w:val="29"/>
                    <w:rPr>
                      <w:bCs/>
                    </w:rPr>
                  </w:pPr>
                  <w:r>
                    <w:rPr>
                      <w:bCs/>
                    </w:rPr>
                    <w:t>5</w:t>
                  </w:r>
                </w:p>
              </w:tc>
              <w:tc>
                <w:tcPr>
                  <w:tcW w:w="778" w:type="pct"/>
                  <w:vMerge w:val="continue"/>
                  <w:vAlign w:val="center"/>
                </w:tcPr>
                <w:p w14:paraId="278B00C8">
                  <w:pPr>
                    <w:pStyle w:val="29"/>
                    <w:rPr>
                      <w:bCs/>
                    </w:rPr>
                  </w:pPr>
                </w:p>
              </w:tc>
              <w:tc>
                <w:tcPr>
                  <w:tcW w:w="990" w:type="pct"/>
                  <w:vAlign w:val="center"/>
                </w:tcPr>
                <w:p w14:paraId="1AA9C3F6">
                  <w:pPr>
                    <w:pStyle w:val="29"/>
                    <w:rPr>
                      <w:bCs/>
                    </w:rPr>
                  </w:pPr>
                  <w:r>
                    <w:rPr>
                      <w:bCs/>
                    </w:rPr>
                    <w:t>废抹布手套</w:t>
                  </w:r>
                </w:p>
              </w:tc>
              <w:tc>
                <w:tcPr>
                  <w:tcW w:w="447" w:type="pct"/>
                  <w:vAlign w:val="center"/>
                </w:tcPr>
                <w:p w14:paraId="7DCF7CE5">
                  <w:pPr>
                    <w:pStyle w:val="29"/>
                    <w:rPr>
                      <w:bCs/>
                    </w:rPr>
                  </w:pPr>
                  <w:r>
                    <w:rPr>
                      <w:bCs/>
                    </w:rPr>
                    <w:t>HW12</w:t>
                  </w:r>
                </w:p>
              </w:tc>
              <w:tc>
                <w:tcPr>
                  <w:tcW w:w="670" w:type="pct"/>
                  <w:vAlign w:val="center"/>
                </w:tcPr>
                <w:p w14:paraId="1BF756CD">
                  <w:pPr>
                    <w:pStyle w:val="29"/>
                    <w:rPr>
                      <w:bCs/>
                    </w:rPr>
                  </w:pPr>
                  <w:r>
                    <w:rPr>
                      <w:bCs/>
                    </w:rPr>
                    <w:t>900-253-12</w:t>
                  </w:r>
                </w:p>
              </w:tc>
              <w:tc>
                <w:tcPr>
                  <w:tcW w:w="298" w:type="pct"/>
                  <w:vMerge w:val="continue"/>
                  <w:vAlign w:val="center"/>
                </w:tcPr>
                <w:p w14:paraId="7AC9C8D1">
                  <w:pPr>
                    <w:pStyle w:val="29"/>
                    <w:rPr>
                      <w:bCs/>
                    </w:rPr>
                  </w:pPr>
                </w:p>
              </w:tc>
              <w:tc>
                <w:tcPr>
                  <w:tcW w:w="299" w:type="pct"/>
                  <w:vMerge w:val="continue"/>
                  <w:vAlign w:val="center"/>
                </w:tcPr>
                <w:p w14:paraId="2A29EBAB">
                  <w:pPr>
                    <w:pStyle w:val="29"/>
                    <w:rPr>
                      <w:bCs/>
                    </w:rPr>
                  </w:pPr>
                </w:p>
              </w:tc>
              <w:tc>
                <w:tcPr>
                  <w:tcW w:w="447" w:type="pct"/>
                  <w:vAlign w:val="center"/>
                </w:tcPr>
                <w:p w14:paraId="2542CEC6">
                  <w:pPr>
                    <w:pStyle w:val="29"/>
                    <w:rPr>
                      <w:bCs/>
                    </w:rPr>
                  </w:pPr>
                  <w:r>
                    <w:rPr>
                      <w:bCs/>
                    </w:rPr>
                    <w:t>桶装</w:t>
                  </w:r>
                </w:p>
              </w:tc>
              <w:tc>
                <w:tcPr>
                  <w:tcW w:w="447" w:type="pct"/>
                  <w:vAlign w:val="center"/>
                </w:tcPr>
                <w:p w14:paraId="0F0338A1">
                  <w:pPr>
                    <w:pStyle w:val="29"/>
                    <w:rPr>
                      <w:bCs/>
                    </w:rPr>
                  </w:pPr>
                  <w:r>
                    <w:rPr>
                      <w:bCs/>
                    </w:rPr>
                    <w:t>0.1</w:t>
                  </w:r>
                </w:p>
              </w:tc>
              <w:tc>
                <w:tcPr>
                  <w:tcW w:w="449" w:type="pct"/>
                  <w:vAlign w:val="center"/>
                </w:tcPr>
                <w:p w14:paraId="09A042E5">
                  <w:pPr>
                    <w:pStyle w:val="29"/>
                    <w:rPr>
                      <w:bCs/>
                    </w:rPr>
                  </w:pPr>
                  <w:r>
                    <w:rPr>
                      <w:bCs/>
                    </w:rPr>
                    <w:t>一年</w:t>
                  </w:r>
                </w:p>
              </w:tc>
            </w:tr>
            <w:tr w14:paraId="584FEC07">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340" w:hRule="atLeast"/>
              </w:trPr>
              <w:tc>
                <w:tcPr>
                  <w:tcW w:w="175" w:type="pct"/>
                  <w:vAlign w:val="center"/>
                </w:tcPr>
                <w:p w14:paraId="157FFF5A">
                  <w:pPr>
                    <w:pStyle w:val="29"/>
                    <w:rPr>
                      <w:bCs/>
                    </w:rPr>
                  </w:pPr>
                  <w:r>
                    <w:rPr>
                      <w:bCs/>
                    </w:rPr>
                    <w:t>6</w:t>
                  </w:r>
                </w:p>
              </w:tc>
              <w:tc>
                <w:tcPr>
                  <w:tcW w:w="778" w:type="pct"/>
                  <w:vMerge w:val="continue"/>
                  <w:vAlign w:val="center"/>
                </w:tcPr>
                <w:p w14:paraId="6A73ED78">
                  <w:pPr>
                    <w:pStyle w:val="29"/>
                    <w:rPr>
                      <w:bCs/>
                    </w:rPr>
                  </w:pPr>
                </w:p>
              </w:tc>
              <w:tc>
                <w:tcPr>
                  <w:tcW w:w="990" w:type="pct"/>
                  <w:vAlign w:val="center"/>
                </w:tcPr>
                <w:p w14:paraId="7C6A0342">
                  <w:pPr>
                    <w:pStyle w:val="29"/>
                    <w:rPr>
                      <w:bCs/>
                    </w:rPr>
                  </w:pPr>
                  <w:r>
                    <w:rPr>
                      <w:bCs/>
                    </w:rPr>
                    <w:t>废空桶</w:t>
                  </w:r>
                </w:p>
              </w:tc>
              <w:tc>
                <w:tcPr>
                  <w:tcW w:w="447" w:type="pct"/>
                  <w:vAlign w:val="center"/>
                </w:tcPr>
                <w:p w14:paraId="0A0C060C">
                  <w:pPr>
                    <w:pStyle w:val="29"/>
                    <w:rPr>
                      <w:bCs/>
                    </w:rPr>
                  </w:pPr>
                  <w:r>
                    <w:rPr>
                      <w:bCs/>
                    </w:rPr>
                    <w:t>HW49</w:t>
                  </w:r>
                </w:p>
              </w:tc>
              <w:tc>
                <w:tcPr>
                  <w:tcW w:w="670" w:type="pct"/>
                  <w:vAlign w:val="center"/>
                </w:tcPr>
                <w:p w14:paraId="0A50B2A2">
                  <w:pPr>
                    <w:pStyle w:val="29"/>
                    <w:rPr>
                      <w:bCs/>
                    </w:rPr>
                  </w:pPr>
                  <w:r>
                    <w:rPr>
                      <w:bCs/>
                    </w:rPr>
                    <w:t>900-041-49</w:t>
                  </w:r>
                </w:p>
              </w:tc>
              <w:tc>
                <w:tcPr>
                  <w:tcW w:w="298" w:type="pct"/>
                  <w:vMerge w:val="continue"/>
                  <w:vAlign w:val="center"/>
                </w:tcPr>
                <w:p w14:paraId="54E1B423">
                  <w:pPr>
                    <w:pStyle w:val="29"/>
                    <w:rPr>
                      <w:bCs/>
                    </w:rPr>
                  </w:pPr>
                </w:p>
              </w:tc>
              <w:tc>
                <w:tcPr>
                  <w:tcW w:w="299" w:type="pct"/>
                  <w:vMerge w:val="continue"/>
                  <w:vAlign w:val="center"/>
                </w:tcPr>
                <w:p w14:paraId="71C880E6">
                  <w:pPr>
                    <w:pStyle w:val="29"/>
                    <w:rPr>
                      <w:bCs/>
                    </w:rPr>
                  </w:pPr>
                </w:p>
              </w:tc>
              <w:tc>
                <w:tcPr>
                  <w:tcW w:w="447" w:type="pct"/>
                  <w:vAlign w:val="center"/>
                </w:tcPr>
                <w:p w14:paraId="3405DDC2">
                  <w:pPr>
                    <w:pStyle w:val="29"/>
                    <w:rPr>
                      <w:bCs/>
                    </w:rPr>
                  </w:pPr>
                  <w:r>
                    <w:rPr>
                      <w:bCs/>
                    </w:rPr>
                    <w:t>堆叠</w:t>
                  </w:r>
                </w:p>
              </w:tc>
              <w:tc>
                <w:tcPr>
                  <w:tcW w:w="447" w:type="pct"/>
                  <w:vAlign w:val="center"/>
                </w:tcPr>
                <w:p w14:paraId="60192C06">
                  <w:pPr>
                    <w:pStyle w:val="29"/>
                    <w:rPr>
                      <w:bCs/>
                    </w:rPr>
                  </w:pPr>
                  <w:r>
                    <w:rPr>
                      <w:bCs/>
                      <w:color w:val="EE0000"/>
                    </w:rPr>
                    <w:t>0.</w:t>
                  </w:r>
                  <w:r>
                    <w:rPr>
                      <w:rFonts w:hint="eastAsia"/>
                      <w:bCs/>
                      <w:color w:val="EE0000"/>
                    </w:rPr>
                    <w:t>2</w:t>
                  </w:r>
                </w:p>
              </w:tc>
              <w:tc>
                <w:tcPr>
                  <w:tcW w:w="449" w:type="pct"/>
                  <w:vAlign w:val="center"/>
                </w:tcPr>
                <w:p w14:paraId="40BAC622">
                  <w:pPr>
                    <w:pStyle w:val="29"/>
                    <w:rPr>
                      <w:bCs/>
                    </w:rPr>
                  </w:pPr>
                  <w:r>
                    <w:rPr>
                      <w:rFonts w:hint="eastAsia"/>
                      <w:bCs/>
                      <w:color w:val="EE0000"/>
                    </w:rPr>
                    <w:t>三个月</w:t>
                  </w:r>
                </w:p>
              </w:tc>
            </w:tr>
            <w:tr w14:paraId="0197D769">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340" w:hRule="atLeast"/>
              </w:trPr>
              <w:tc>
                <w:tcPr>
                  <w:tcW w:w="175" w:type="pct"/>
                  <w:vAlign w:val="center"/>
                </w:tcPr>
                <w:p w14:paraId="0D1EB50B">
                  <w:pPr>
                    <w:pStyle w:val="29"/>
                    <w:rPr>
                      <w:bCs/>
                    </w:rPr>
                  </w:pPr>
                  <w:r>
                    <w:rPr>
                      <w:bCs/>
                    </w:rPr>
                    <w:t>7</w:t>
                  </w:r>
                </w:p>
              </w:tc>
              <w:tc>
                <w:tcPr>
                  <w:tcW w:w="778" w:type="pct"/>
                  <w:vMerge w:val="continue"/>
                  <w:vAlign w:val="center"/>
                </w:tcPr>
                <w:p w14:paraId="6E141B12">
                  <w:pPr>
                    <w:pStyle w:val="29"/>
                    <w:rPr>
                      <w:bCs/>
                    </w:rPr>
                  </w:pPr>
                </w:p>
              </w:tc>
              <w:tc>
                <w:tcPr>
                  <w:tcW w:w="990" w:type="pct"/>
                  <w:vAlign w:val="center"/>
                </w:tcPr>
                <w:p w14:paraId="145F6499">
                  <w:pPr>
                    <w:pStyle w:val="29"/>
                    <w:rPr>
                      <w:bCs/>
                    </w:rPr>
                  </w:pPr>
                  <w:r>
                    <w:rPr>
                      <w:bCs/>
                    </w:rPr>
                    <w:t>废活性炭</w:t>
                  </w:r>
                </w:p>
              </w:tc>
              <w:tc>
                <w:tcPr>
                  <w:tcW w:w="447" w:type="pct"/>
                  <w:vAlign w:val="center"/>
                </w:tcPr>
                <w:p w14:paraId="2AA2FA28">
                  <w:pPr>
                    <w:pStyle w:val="29"/>
                    <w:rPr>
                      <w:bCs/>
                    </w:rPr>
                  </w:pPr>
                  <w:r>
                    <w:rPr>
                      <w:bCs/>
                    </w:rPr>
                    <w:t>HW49</w:t>
                  </w:r>
                </w:p>
              </w:tc>
              <w:tc>
                <w:tcPr>
                  <w:tcW w:w="670" w:type="pct"/>
                  <w:vAlign w:val="center"/>
                </w:tcPr>
                <w:p w14:paraId="49638954">
                  <w:pPr>
                    <w:pStyle w:val="29"/>
                    <w:rPr>
                      <w:bCs/>
                    </w:rPr>
                  </w:pPr>
                  <w:r>
                    <w:rPr>
                      <w:bCs/>
                    </w:rPr>
                    <w:t>900-039-49</w:t>
                  </w:r>
                </w:p>
              </w:tc>
              <w:tc>
                <w:tcPr>
                  <w:tcW w:w="298" w:type="pct"/>
                  <w:vMerge w:val="continue"/>
                  <w:vAlign w:val="center"/>
                </w:tcPr>
                <w:p w14:paraId="0A982938">
                  <w:pPr>
                    <w:pStyle w:val="29"/>
                    <w:rPr>
                      <w:bCs/>
                    </w:rPr>
                  </w:pPr>
                </w:p>
              </w:tc>
              <w:tc>
                <w:tcPr>
                  <w:tcW w:w="299" w:type="pct"/>
                  <w:vMerge w:val="continue"/>
                  <w:vAlign w:val="center"/>
                </w:tcPr>
                <w:p w14:paraId="0A720AAF">
                  <w:pPr>
                    <w:pStyle w:val="29"/>
                    <w:rPr>
                      <w:bCs/>
                    </w:rPr>
                  </w:pPr>
                </w:p>
              </w:tc>
              <w:tc>
                <w:tcPr>
                  <w:tcW w:w="447" w:type="pct"/>
                  <w:vAlign w:val="center"/>
                </w:tcPr>
                <w:p w14:paraId="54109E09">
                  <w:pPr>
                    <w:pStyle w:val="29"/>
                    <w:rPr>
                      <w:bCs/>
                    </w:rPr>
                  </w:pPr>
                  <w:r>
                    <w:rPr>
                      <w:bCs/>
                    </w:rPr>
                    <w:t>桶装</w:t>
                  </w:r>
                </w:p>
              </w:tc>
              <w:tc>
                <w:tcPr>
                  <w:tcW w:w="447" w:type="pct"/>
                  <w:vAlign w:val="center"/>
                </w:tcPr>
                <w:p w14:paraId="1C8B9D88">
                  <w:pPr>
                    <w:pStyle w:val="29"/>
                    <w:rPr>
                      <w:bCs/>
                    </w:rPr>
                  </w:pPr>
                  <w:r>
                    <w:rPr>
                      <w:bCs/>
                    </w:rPr>
                    <w:t>5</w:t>
                  </w:r>
                </w:p>
              </w:tc>
              <w:tc>
                <w:tcPr>
                  <w:tcW w:w="449" w:type="pct"/>
                  <w:vAlign w:val="center"/>
                </w:tcPr>
                <w:p w14:paraId="33273137">
                  <w:pPr>
                    <w:pStyle w:val="29"/>
                    <w:rPr>
                      <w:bCs/>
                    </w:rPr>
                  </w:pPr>
                  <w:r>
                    <w:rPr>
                      <w:bCs/>
                    </w:rPr>
                    <w:t>半年</w:t>
                  </w:r>
                </w:p>
              </w:tc>
            </w:tr>
            <w:tr w14:paraId="7ED970D2">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340" w:hRule="atLeast"/>
              </w:trPr>
              <w:tc>
                <w:tcPr>
                  <w:tcW w:w="175" w:type="pct"/>
                  <w:vAlign w:val="center"/>
                </w:tcPr>
                <w:p w14:paraId="392F951C">
                  <w:pPr>
                    <w:pStyle w:val="29"/>
                    <w:rPr>
                      <w:bCs/>
                    </w:rPr>
                  </w:pPr>
                  <w:r>
                    <w:rPr>
                      <w:bCs/>
                    </w:rPr>
                    <w:t>8</w:t>
                  </w:r>
                </w:p>
              </w:tc>
              <w:tc>
                <w:tcPr>
                  <w:tcW w:w="778" w:type="pct"/>
                  <w:vMerge w:val="continue"/>
                  <w:vAlign w:val="center"/>
                </w:tcPr>
                <w:p w14:paraId="71783554">
                  <w:pPr>
                    <w:pStyle w:val="29"/>
                    <w:rPr>
                      <w:bCs/>
                    </w:rPr>
                  </w:pPr>
                </w:p>
              </w:tc>
              <w:tc>
                <w:tcPr>
                  <w:tcW w:w="990" w:type="pct"/>
                  <w:vAlign w:val="center"/>
                </w:tcPr>
                <w:p w14:paraId="2BA2BADF">
                  <w:pPr>
                    <w:pStyle w:val="29"/>
                    <w:rPr>
                      <w:bCs/>
                    </w:rPr>
                  </w:pPr>
                  <w:r>
                    <w:rPr>
                      <w:bCs/>
                    </w:rPr>
                    <w:t>水帘柜废液</w:t>
                  </w:r>
                </w:p>
              </w:tc>
              <w:tc>
                <w:tcPr>
                  <w:tcW w:w="447" w:type="pct"/>
                  <w:vAlign w:val="center"/>
                </w:tcPr>
                <w:p w14:paraId="1CE7D175">
                  <w:pPr>
                    <w:pStyle w:val="29"/>
                    <w:rPr>
                      <w:bCs/>
                      <w:color w:val="EE0000"/>
                    </w:rPr>
                  </w:pPr>
                  <w:r>
                    <w:rPr>
                      <w:bCs/>
                      <w:color w:val="EE0000"/>
                    </w:rPr>
                    <w:t>HW09</w:t>
                  </w:r>
                </w:p>
              </w:tc>
              <w:tc>
                <w:tcPr>
                  <w:tcW w:w="670" w:type="pct"/>
                  <w:vAlign w:val="center"/>
                </w:tcPr>
                <w:p w14:paraId="045B442F">
                  <w:pPr>
                    <w:pStyle w:val="29"/>
                    <w:rPr>
                      <w:bCs/>
                    </w:rPr>
                  </w:pPr>
                  <w:r>
                    <w:rPr>
                      <w:bCs/>
                    </w:rPr>
                    <w:t>900-</w:t>
                  </w:r>
                  <w:r>
                    <w:rPr>
                      <w:bCs/>
                      <w:color w:val="EE0000"/>
                    </w:rPr>
                    <w:t>007-09</w:t>
                  </w:r>
                </w:p>
              </w:tc>
              <w:tc>
                <w:tcPr>
                  <w:tcW w:w="298" w:type="pct"/>
                  <w:vMerge w:val="continue"/>
                  <w:vAlign w:val="center"/>
                </w:tcPr>
                <w:p w14:paraId="3C5367E9">
                  <w:pPr>
                    <w:pStyle w:val="29"/>
                    <w:rPr>
                      <w:bCs/>
                    </w:rPr>
                  </w:pPr>
                </w:p>
              </w:tc>
              <w:tc>
                <w:tcPr>
                  <w:tcW w:w="299" w:type="pct"/>
                  <w:vMerge w:val="continue"/>
                  <w:vAlign w:val="center"/>
                </w:tcPr>
                <w:p w14:paraId="66C62F42">
                  <w:pPr>
                    <w:pStyle w:val="29"/>
                    <w:rPr>
                      <w:bCs/>
                    </w:rPr>
                  </w:pPr>
                </w:p>
              </w:tc>
              <w:tc>
                <w:tcPr>
                  <w:tcW w:w="447" w:type="pct"/>
                  <w:vAlign w:val="center"/>
                </w:tcPr>
                <w:p w14:paraId="5C0FDA1B">
                  <w:pPr>
                    <w:pStyle w:val="29"/>
                    <w:rPr>
                      <w:bCs/>
                    </w:rPr>
                  </w:pPr>
                  <w:r>
                    <w:rPr>
                      <w:bCs/>
                    </w:rPr>
                    <w:t>桶装</w:t>
                  </w:r>
                </w:p>
              </w:tc>
              <w:tc>
                <w:tcPr>
                  <w:tcW w:w="447" w:type="pct"/>
                  <w:vAlign w:val="center"/>
                </w:tcPr>
                <w:p w14:paraId="672F238F">
                  <w:pPr>
                    <w:pStyle w:val="29"/>
                    <w:rPr>
                      <w:bCs/>
                    </w:rPr>
                  </w:pPr>
                  <w:r>
                    <w:rPr>
                      <w:bCs/>
                    </w:rPr>
                    <w:t>8</w:t>
                  </w:r>
                </w:p>
              </w:tc>
              <w:tc>
                <w:tcPr>
                  <w:tcW w:w="449" w:type="pct"/>
                  <w:vAlign w:val="center"/>
                </w:tcPr>
                <w:p w14:paraId="1674186B">
                  <w:pPr>
                    <w:pStyle w:val="29"/>
                    <w:rPr>
                      <w:bCs/>
                    </w:rPr>
                  </w:pPr>
                  <w:r>
                    <w:rPr>
                      <w:bCs/>
                    </w:rPr>
                    <w:t>三个月</w:t>
                  </w:r>
                </w:p>
              </w:tc>
            </w:tr>
            <w:tr w14:paraId="3518F67C">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340" w:hRule="atLeast"/>
              </w:trPr>
              <w:tc>
                <w:tcPr>
                  <w:tcW w:w="175" w:type="pct"/>
                  <w:vAlign w:val="center"/>
                </w:tcPr>
                <w:p w14:paraId="76CA3214">
                  <w:pPr>
                    <w:pStyle w:val="29"/>
                    <w:rPr>
                      <w:bCs/>
                    </w:rPr>
                  </w:pPr>
                  <w:r>
                    <w:rPr>
                      <w:bCs/>
                    </w:rPr>
                    <w:t>9</w:t>
                  </w:r>
                </w:p>
              </w:tc>
              <w:tc>
                <w:tcPr>
                  <w:tcW w:w="778" w:type="pct"/>
                  <w:vMerge w:val="continue"/>
                  <w:vAlign w:val="center"/>
                </w:tcPr>
                <w:p w14:paraId="45F02AF7">
                  <w:pPr>
                    <w:pStyle w:val="29"/>
                    <w:rPr>
                      <w:bCs/>
                    </w:rPr>
                  </w:pPr>
                </w:p>
              </w:tc>
              <w:tc>
                <w:tcPr>
                  <w:tcW w:w="990" w:type="pct"/>
                  <w:vAlign w:val="center"/>
                </w:tcPr>
                <w:p w14:paraId="29AD2FC1">
                  <w:pPr>
                    <w:pStyle w:val="29"/>
                    <w:rPr>
                      <w:bCs/>
                    </w:rPr>
                  </w:pPr>
                  <w:r>
                    <w:rPr>
                      <w:bCs/>
                    </w:rPr>
                    <w:t>喷枪清洗废液</w:t>
                  </w:r>
                </w:p>
              </w:tc>
              <w:tc>
                <w:tcPr>
                  <w:tcW w:w="447" w:type="pct"/>
                  <w:vAlign w:val="center"/>
                </w:tcPr>
                <w:p w14:paraId="740DD9C6">
                  <w:pPr>
                    <w:pStyle w:val="29"/>
                    <w:rPr>
                      <w:bCs/>
                      <w:color w:val="EE0000"/>
                    </w:rPr>
                  </w:pPr>
                  <w:r>
                    <w:rPr>
                      <w:bCs/>
                      <w:color w:val="EE0000"/>
                    </w:rPr>
                    <w:t>HW09</w:t>
                  </w:r>
                </w:p>
              </w:tc>
              <w:tc>
                <w:tcPr>
                  <w:tcW w:w="670" w:type="pct"/>
                  <w:vAlign w:val="center"/>
                </w:tcPr>
                <w:p w14:paraId="526878E4">
                  <w:pPr>
                    <w:pStyle w:val="29"/>
                    <w:rPr>
                      <w:bCs/>
                    </w:rPr>
                  </w:pPr>
                  <w:r>
                    <w:rPr>
                      <w:bCs/>
                    </w:rPr>
                    <w:t>900-</w:t>
                  </w:r>
                  <w:r>
                    <w:rPr>
                      <w:bCs/>
                      <w:color w:val="EE0000"/>
                    </w:rPr>
                    <w:t>007-09</w:t>
                  </w:r>
                </w:p>
              </w:tc>
              <w:tc>
                <w:tcPr>
                  <w:tcW w:w="298" w:type="pct"/>
                  <w:vMerge w:val="continue"/>
                  <w:vAlign w:val="center"/>
                </w:tcPr>
                <w:p w14:paraId="0CF29554">
                  <w:pPr>
                    <w:pStyle w:val="29"/>
                    <w:rPr>
                      <w:bCs/>
                    </w:rPr>
                  </w:pPr>
                </w:p>
              </w:tc>
              <w:tc>
                <w:tcPr>
                  <w:tcW w:w="299" w:type="pct"/>
                  <w:vMerge w:val="continue"/>
                  <w:vAlign w:val="center"/>
                </w:tcPr>
                <w:p w14:paraId="51576A77">
                  <w:pPr>
                    <w:pStyle w:val="29"/>
                    <w:rPr>
                      <w:bCs/>
                    </w:rPr>
                  </w:pPr>
                </w:p>
              </w:tc>
              <w:tc>
                <w:tcPr>
                  <w:tcW w:w="447" w:type="pct"/>
                  <w:vAlign w:val="center"/>
                </w:tcPr>
                <w:p w14:paraId="219C44DA">
                  <w:pPr>
                    <w:pStyle w:val="29"/>
                    <w:rPr>
                      <w:bCs/>
                    </w:rPr>
                  </w:pPr>
                  <w:r>
                    <w:rPr>
                      <w:bCs/>
                    </w:rPr>
                    <w:t>桶装</w:t>
                  </w:r>
                </w:p>
              </w:tc>
              <w:tc>
                <w:tcPr>
                  <w:tcW w:w="447" w:type="pct"/>
                  <w:vAlign w:val="center"/>
                </w:tcPr>
                <w:p w14:paraId="030A2F13">
                  <w:pPr>
                    <w:pStyle w:val="29"/>
                    <w:rPr>
                      <w:bCs/>
                    </w:rPr>
                  </w:pPr>
                  <w:r>
                    <w:rPr>
                      <w:rFonts w:hint="eastAsia"/>
                      <w:bCs/>
                      <w:color w:val="EE0000"/>
                    </w:rPr>
                    <w:t>1</w:t>
                  </w:r>
                </w:p>
              </w:tc>
              <w:tc>
                <w:tcPr>
                  <w:tcW w:w="449" w:type="pct"/>
                  <w:vAlign w:val="center"/>
                </w:tcPr>
                <w:p w14:paraId="38BC9124">
                  <w:pPr>
                    <w:pStyle w:val="29"/>
                    <w:rPr>
                      <w:bCs/>
                    </w:rPr>
                  </w:pPr>
                  <w:r>
                    <w:rPr>
                      <w:bCs/>
                    </w:rPr>
                    <w:t>一年</w:t>
                  </w:r>
                </w:p>
              </w:tc>
            </w:tr>
            <w:tr w14:paraId="3921DDD4">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340" w:hRule="atLeast"/>
              </w:trPr>
              <w:tc>
                <w:tcPr>
                  <w:tcW w:w="175" w:type="pct"/>
                  <w:vAlign w:val="center"/>
                </w:tcPr>
                <w:p w14:paraId="19B4CCD0">
                  <w:pPr>
                    <w:pStyle w:val="29"/>
                    <w:rPr>
                      <w:bCs/>
                    </w:rPr>
                  </w:pPr>
                  <w:r>
                    <w:rPr>
                      <w:bCs/>
                    </w:rPr>
                    <w:t>10</w:t>
                  </w:r>
                </w:p>
              </w:tc>
              <w:tc>
                <w:tcPr>
                  <w:tcW w:w="778" w:type="pct"/>
                  <w:vMerge w:val="continue"/>
                  <w:vAlign w:val="center"/>
                </w:tcPr>
                <w:p w14:paraId="48221244">
                  <w:pPr>
                    <w:pStyle w:val="29"/>
                    <w:rPr>
                      <w:bCs/>
                    </w:rPr>
                  </w:pPr>
                </w:p>
              </w:tc>
              <w:tc>
                <w:tcPr>
                  <w:tcW w:w="990" w:type="pct"/>
                  <w:vAlign w:val="center"/>
                </w:tcPr>
                <w:p w14:paraId="5E239836">
                  <w:pPr>
                    <w:pStyle w:val="29"/>
                    <w:rPr>
                      <w:bCs/>
                    </w:rPr>
                  </w:pPr>
                  <w:r>
                    <w:rPr>
                      <w:bCs/>
                    </w:rPr>
                    <w:t>喷淋塔废液</w:t>
                  </w:r>
                </w:p>
              </w:tc>
              <w:tc>
                <w:tcPr>
                  <w:tcW w:w="447" w:type="pct"/>
                  <w:vAlign w:val="center"/>
                </w:tcPr>
                <w:p w14:paraId="169343D5">
                  <w:pPr>
                    <w:pStyle w:val="29"/>
                    <w:rPr>
                      <w:bCs/>
                      <w:color w:val="EE0000"/>
                    </w:rPr>
                  </w:pPr>
                  <w:r>
                    <w:rPr>
                      <w:bCs/>
                      <w:color w:val="EE0000"/>
                    </w:rPr>
                    <w:t>HW09</w:t>
                  </w:r>
                </w:p>
              </w:tc>
              <w:tc>
                <w:tcPr>
                  <w:tcW w:w="670" w:type="pct"/>
                  <w:vAlign w:val="center"/>
                </w:tcPr>
                <w:p w14:paraId="2A9E11A8">
                  <w:pPr>
                    <w:pStyle w:val="29"/>
                    <w:rPr>
                      <w:bCs/>
                    </w:rPr>
                  </w:pPr>
                  <w:r>
                    <w:rPr>
                      <w:bCs/>
                    </w:rPr>
                    <w:t>900-</w:t>
                  </w:r>
                  <w:r>
                    <w:rPr>
                      <w:bCs/>
                      <w:color w:val="EE0000"/>
                    </w:rPr>
                    <w:t>007-09</w:t>
                  </w:r>
                </w:p>
              </w:tc>
              <w:tc>
                <w:tcPr>
                  <w:tcW w:w="298" w:type="pct"/>
                  <w:vMerge w:val="continue"/>
                  <w:vAlign w:val="center"/>
                </w:tcPr>
                <w:p w14:paraId="0D181441">
                  <w:pPr>
                    <w:pStyle w:val="29"/>
                    <w:rPr>
                      <w:bCs/>
                    </w:rPr>
                  </w:pPr>
                </w:p>
              </w:tc>
              <w:tc>
                <w:tcPr>
                  <w:tcW w:w="299" w:type="pct"/>
                  <w:vMerge w:val="continue"/>
                  <w:vAlign w:val="center"/>
                </w:tcPr>
                <w:p w14:paraId="6FCDBA42">
                  <w:pPr>
                    <w:pStyle w:val="29"/>
                    <w:rPr>
                      <w:bCs/>
                    </w:rPr>
                  </w:pPr>
                </w:p>
              </w:tc>
              <w:tc>
                <w:tcPr>
                  <w:tcW w:w="447" w:type="pct"/>
                  <w:vAlign w:val="center"/>
                </w:tcPr>
                <w:p w14:paraId="426F5C1B">
                  <w:pPr>
                    <w:pStyle w:val="29"/>
                    <w:rPr>
                      <w:bCs/>
                    </w:rPr>
                  </w:pPr>
                  <w:r>
                    <w:rPr>
                      <w:bCs/>
                    </w:rPr>
                    <w:t>桶装</w:t>
                  </w:r>
                </w:p>
              </w:tc>
              <w:tc>
                <w:tcPr>
                  <w:tcW w:w="447" w:type="pct"/>
                  <w:vAlign w:val="center"/>
                </w:tcPr>
                <w:p w14:paraId="452D4177">
                  <w:pPr>
                    <w:pStyle w:val="29"/>
                    <w:rPr>
                      <w:bCs/>
                    </w:rPr>
                  </w:pPr>
                  <w:r>
                    <w:rPr>
                      <w:rFonts w:hint="eastAsia"/>
                      <w:bCs/>
                      <w:color w:val="EE0000"/>
                    </w:rPr>
                    <w:t>5</w:t>
                  </w:r>
                </w:p>
              </w:tc>
              <w:tc>
                <w:tcPr>
                  <w:tcW w:w="449" w:type="pct"/>
                  <w:vAlign w:val="center"/>
                </w:tcPr>
                <w:p w14:paraId="74353AE8">
                  <w:pPr>
                    <w:pStyle w:val="29"/>
                    <w:rPr>
                      <w:bCs/>
                    </w:rPr>
                  </w:pPr>
                  <w:r>
                    <w:rPr>
                      <w:bCs/>
                    </w:rPr>
                    <w:t>三个月</w:t>
                  </w:r>
                </w:p>
              </w:tc>
            </w:tr>
            <w:tr w14:paraId="23718E89">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340" w:hRule="atLeast"/>
              </w:trPr>
              <w:tc>
                <w:tcPr>
                  <w:tcW w:w="175" w:type="pct"/>
                  <w:vAlign w:val="center"/>
                </w:tcPr>
                <w:p w14:paraId="027BBB35">
                  <w:pPr>
                    <w:pStyle w:val="29"/>
                    <w:rPr>
                      <w:bCs/>
                    </w:rPr>
                  </w:pPr>
                  <w:r>
                    <w:rPr>
                      <w:bCs/>
                    </w:rPr>
                    <w:t>11</w:t>
                  </w:r>
                </w:p>
              </w:tc>
              <w:tc>
                <w:tcPr>
                  <w:tcW w:w="778" w:type="pct"/>
                  <w:vMerge w:val="continue"/>
                  <w:vAlign w:val="center"/>
                </w:tcPr>
                <w:p w14:paraId="5FC982B8">
                  <w:pPr>
                    <w:pStyle w:val="29"/>
                    <w:rPr>
                      <w:bCs/>
                    </w:rPr>
                  </w:pPr>
                </w:p>
              </w:tc>
              <w:tc>
                <w:tcPr>
                  <w:tcW w:w="990" w:type="pct"/>
                  <w:vAlign w:val="center"/>
                </w:tcPr>
                <w:p w14:paraId="50A8BBF7">
                  <w:pPr>
                    <w:pStyle w:val="29"/>
                    <w:rPr>
                      <w:bCs/>
                    </w:rPr>
                  </w:pPr>
                  <w:r>
                    <w:rPr>
                      <w:bCs/>
                    </w:rPr>
                    <w:t>漆渣</w:t>
                  </w:r>
                </w:p>
              </w:tc>
              <w:tc>
                <w:tcPr>
                  <w:tcW w:w="447" w:type="pct"/>
                  <w:vAlign w:val="center"/>
                </w:tcPr>
                <w:p w14:paraId="743FCB85">
                  <w:pPr>
                    <w:pStyle w:val="29"/>
                    <w:rPr>
                      <w:bCs/>
                    </w:rPr>
                  </w:pPr>
                  <w:r>
                    <w:rPr>
                      <w:bCs/>
                    </w:rPr>
                    <w:t>HW</w:t>
                  </w:r>
                  <w:r>
                    <w:rPr>
                      <w:rFonts w:hint="eastAsia"/>
                      <w:bCs/>
                    </w:rPr>
                    <w:t>12</w:t>
                  </w:r>
                </w:p>
              </w:tc>
              <w:tc>
                <w:tcPr>
                  <w:tcW w:w="670" w:type="pct"/>
                  <w:vAlign w:val="center"/>
                </w:tcPr>
                <w:p w14:paraId="4E6F9085">
                  <w:pPr>
                    <w:pStyle w:val="29"/>
                    <w:rPr>
                      <w:bCs/>
                    </w:rPr>
                  </w:pPr>
                  <w:r>
                    <w:rPr>
                      <w:bCs/>
                    </w:rPr>
                    <w:t>900-</w:t>
                  </w:r>
                  <w:r>
                    <w:rPr>
                      <w:bCs/>
                      <w:color w:val="0000FF"/>
                    </w:rPr>
                    <w:t>252</w:t>
                  </w:r>
                  <w:r>
                    <w:rPr>
                      <w:bCs/>
                    </w:rPr>
                    <w:t>-12</w:t>
                  </w:r>
                </w:p>
              </w:tc>
              <w:tc>
                <w:tcPr>
                  <w:tcW w:w="298" w:type="pct"/>
                  <w:vMerge w:val="continue"/>
                  <w:vAlign w:val="center"/>
                </w:tcPr>
                <w:p w14:paraId="29082B0A">
                  <w:pPr>
                    <w:pStyle w:val="29"/>
                    <w:rPr>
                      <w:bCs/>
                    </w:rPr>
                  </w:pPr>
                </w:p>
              </w:tc>
              <w:tc>
                <w:tcPr>
                  <w:tcW w:w="299" w:type="pct"/>
                  <w:vMerge w:val="continue"/>
                  <w:vAlign w:val="center"/>
                </w:tcPr>
                <w:p w14:paraId="3967E79D">
                  <w:pPr>
                    <w:pStyle w:val="29"/>
                    <w:rPr>
                      <w:bCs/>
                    </w:rPr>
                  </w:pPr>
                </w:p>
              </w:tc>
              <w:tc>
                <w:tcPr>
                  <w:tcW w:w="447" w:type="pct"/>
                  <w:vAlign w:val="center"/>
                </w:tcPr>
                <w:p w14:paraId="622D48BA">
                  <w:pPr>
                    <w:pStyle w:val="29"/>
                    <w:rPr>
                      <w:bCs/>
                    </w:rPr>
                  </w:pPr>
                  <w:r>
                    <w:rPr>
                      <w:bCs/>
                    </w:rPr>
                    <w:t>桶装</w:t>
                  </w:r>
                </w:p>
              </w:tc>
              <w:tc>
                <w:tcPr>
                  <w:tcW w:w="447" w:type="pct"/>
                  <w:vAlign w:val="center"/>
                </w:tcPr>
                <w:p w14:paraId="7E4BE77A">
                  <w:pPr>
                    <w:pStyle w:val="29"/>
                    <w:rPr>
                      <w:bCs/>
                    </w:rPr>
                  </w:pPr>
                  <w:r>
                    <w:rPr>
                      <w:bCs/>
                    </w:rPr>
                    <w:t>0.3</w:t>
                  </w:r>
                </w:p>
              </w:tc>
              <w:tc>
                <w:tcPr>
                  <w:tcW w:w="449" w:type="pct"/>
                  <w:vAlign w:val="center"/>
                </w:tcPr>
                <w:p w14:paraId="40FC2057">
                  <w:pPr>
                    <w:pStyle w:val="29"/>
                    <w:rPr>
                      <w:bCs/>
                    </w:rPr>
                  </w:pPr>
                  <w:r>
                    <w:rPr>
                      <w:bCs/>
                    </w:rPr>
                    <w:t>三个月</w:t>
                  </w:r>
                </w:p>
              </w:tc>
            </w:tr>
            <w:tr w14:paraId="651F415E">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340" w:hRule="atLeast"/>
              </w:trPr>
              <w:tc>
                <w:tcPr>
                  <w:tcW w:w="175" w:type="pct"/>
                  <w:vAlign w:val="center"/>
                </w:tcPr>
                <w:p w14:paraId="6347D81E">
                  <w:pPr>
                    <w:pStyle w:val="29"/>
                    <w:rPr>
                      <w:bCs/>
                    </w:rPr>
                  </w:pPr>
                  <w:r>
                    <w:rPr>
                      <w:bCs/>
                    </w:rPr>
                    <w:t>12</w:t>
                  </w:r>
                </w:p>
              </w:tc>
              <w:tc>
                <w:tcPr>
                  <w:tcW w:w="778" w:type="pct"/>
                  <w:vMerge w:val="continue"/>
                  <w:vAlign w:val="center"/>
                </w:tcPr>
                <w:p w14:paraId="563AE963">
                  <w:pPr>
                    <w:pStyle w:val="29"/>
                    <w:rPr>
                      <w:bCs/>
                    </w:rPr>
                  </w:pPr>
                </w:p>
              </w:tc>
              <w:tc>
                <w:tcPr>
                  <w:tcW w:w="990" w:type="pct"/>
                  <w:vAlign w:val="center"/>
                </w:tcPr>
                <w:p w14:paraId="2D1869C9">
                  <w:pPr>
                    <w:pStyle w:val="29"/>
                    <w:rPr>
                      <w:bCs/>
                    </w:rPr>
                  </w:pPr>
                  <w:r>
                    <w:rPr>
                      <w:bCs/>
                    </w:rPr>
                    <w:t>废过滤棉</w:t>
                  </w:r>
                </w:p>
              </w:tc>
              <w:tc>
                <w:tcPr>
                  <w:tcW w:w="447" w:type="pct"/>
                  <w:vAlign w:val="center"/>
                </w:tcPr>
                <w:p w14:paraId="1C9F104D">
                  <w:pPr>
                    <w:pStyle w:val="29"/>
                    <w:rPr>
                      <w:bCs/>
                    </w:rPr>
                  </w:pPr>
                  <w:r>
                    <w:rPr>
                      <w:bCs/>
                    </w:rPr>
                    <w:t>HW49</w:t>
                  </w:r>
                </w:p>
              </w:tc>
              <w:tc>
                <w:tcPr>
                  <w:tcW w:w="670" w:type="pct"/>
                  <w:vAlign w:val="center"/>
                </w:tcPr>
                <w:p w14:paraId="1D410A01">
                  <w:pPr>
                    <w:pStyle w:val="29"/>
                    <w:rPr>
                      <w:bCs/>
                    </w:rPr>
                  </w:pPr>
                  <w:r>
                    <w:rPr>
                      <w:bCs/>
                    </w:rPr>
                    <w:t>900-041-49</w:t>
                  </w:r>
                </w:p>
              </w:tc>
              <w:tc>
                <w:tcPr>
                  <w:tcW w:w="298" w:type="pct"/>
                  <w:vMerge w:val="continue"/>
                  <w:vAlign w:val="center"/>
                </w:tcPr>
                <w:p w14:paraId="63298C65">
                  <w:pPr>
                    <w:pStyle w:val="29"/>
                    <w:rPr>
                      <w:bCs/>
                    </w:rPr>
                  </w:pPr>
                </w:p>
              </w:tc>
              <w:tc>
                <w:tcPr>
                  <w:tcW w:w="299" w:type="pct"/>
                  <w:vMerge w:val="continue"/>
                  <w:vAlign w:val="center"/>
                </w:tcPr>
                <w:p w14:paraId="4BFBFC32">
                  <w:pPr>
                    <w:pStyle w:val="29"/>
                    <w:rPr>
                      <w:bCs/>
                    </w:rPr>
                  </w:pPr>
                </w:p>
              </w:tc>
              <w:tc>
                <w:tcPr>
                  <w:tcW w:w="447" w:type="pct"/>
                  <w:vAlign w:val="center"/>
                </w:tcPr>
                <w:p w14:paraId="1D06ED85">
                  <w:pPr>
                    <w:pStyle w:val="29"/>
                    <w:rPr>
                      <w:bCs/>
                    </w:rPr>
                  </w:pPr>
                  <w:r>
                    <w:rPr>
                      <w:bCs/>
                    </w:rPr>
                    <w:t>袋装</w:t>
                  </w:r>
                </w:p>
              </w:tc>
              <w:tc>
                <w:tcPr>
                  <w:tcW w:w="447" w:type="pct"/>
                  <w:vAlign w:val="center"/>
                </w:tcPr>
                <w:p w14:paraId="2DD2DB9D">
                  <w:pPr>
                    <w:pStyle w:val="29"/>
                    <w:rPr>
                      <w:bCs/>
                    </w:rPr>
                  </w:pPr>
                  <w:r>
                    <w:rPr>
                      <w:bCs/>
                    </w:rPr>
                    <w:t>0.01</w:t>
                  </w:r>
                </w:p>
              </w:tc>
              <w:tc>
                <w:tcPr>
                  <w:tcW w:w="449" w:type="pct"/>
                  <w:vAlign w:val="center"/>
                </w:tcPr>
                <w:p w14:paraId="0D3FD6C7">
                  <w:pPr>
                    <w:pStyle w:val="29"/>
                    <w:rPr>
                      <w:bCs/>
                    </w:rPr>
                  </w:pPr>
                  <w:r>
                    <w:rPr>
                      <w:bCs/>
                    </w:rPr>
                    <w:t>一年</w:t>
                  </w:r>
                </w:p>
              </w:tc>
            </w:tr>
            <w:tr w14:paraId="276784CF">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340" w:hRule="atLeast"/>
              </w:trPr>
              <w:tc>
                <w:tcPr>
                  <w:tcW w:w="175" w:type="pct"/>
                  <w:vAlign w:val="center"/>
                </w:tcPr>
                <w:p w14:paraId="385D3660">
                  <w:pPr>
                    <w:pStyle w:val="29"/>
                    <w:rPr>
                      <w:bCs/>
                    </w:rPr>
                  </w:pPr>
                </w:p>
              </w:tc>
              <w:tc>
                <w:tcPr>
                  <w:tcW w:w="778" w:type="pct"/>
                  <w:vMerge w:val="continue"/>
                  <w:vAlign w:val="center"/>
                </w:tcPr>
                <w:p w14:paraId="6AFBCB20">
                  <w:pPr>
                    <w:pStyle w:val="29"/>
                    <w:rPr>
                      <w:bCs/>
                    </w:rPr>
                  </w:pPr>
                </w:p>
              </w:tc>
              <w:tc>
                <w:tcPr>
                  <w:tcW w:w="990" w:type="pct"/>
                  <w:vAlign w:val="center"/>
                </w:tcPr>
                <w:p w14:paraId="58AC8B0D">
                  <w:pPr>
                    <w:pStyle w:val="29"/>
                    <w:rPr>
                      <w:bCs/>
                      <w:color w:val="EE0000"/>
                    </w:rPr>
                  </w:pPr>
                  <w:r>
                    <w:rPr>
                      <w:rFonts w:hint="eastAsia"/>
                      <w:bCs/>
                      <w:color w:val="EE0000"/>
                    </w:rPr>
                    <w:t>废清洗剂</w:t>
                  </w:r>
                </w:p>
              </w:tc>
              <w:tc>
                <w:tcPr>
                  <w:tcW w:w="447" w:type="pct"/>
                  <w:vAlign w:val="center"/>
                </w:tcPr>
                <w:p w14:paraId="6E5F5872">
                  <w:pPr>
                    <w:pStyle w:val="29"/>
                    <w:rPr>
                      <w:bCs/>
                      <w:color w:val="EE0000"/>
                    </w:rPr>
                  </w:pPr>
                  <w:r>
                    <w:rPr>
                      <w:rFonts w:hint="eastAsia"/>
                      <w:bCs/>
                      <w:color w:val="EE0000"/>
                    </w:rPr>
                    <w:t>HW06</w:t>
                  </w:r>
                </w:p>
              </w:tc>
              <w:tc>
                <w:tcPr>
                  <w:tcW w:w="670" w:type="pct"/>
                  <w:vAlign w:val="center"/>
                </w:tcPr>
                <w:p w14:paraId="5AD10EBD">
                  <w:pPr>
                    <w:pStyle w:val="29"/>
                    <w:rPr>
                      <w:bCs/>
                      <w:color w:val="EE0000"/>
                    </w:rPr>
                  </w:pPr>
                  <w:r>
                    <w:rPr>
                      <w:bCs/>
                      <w:color w:val="EE0000"/>
                    </w:rPr>
                    <w:t>900-404-06</w:t>
                  </w:r>
                </w:p>
              </w:tc>
              <w:tc>
                <w:tcPr>
                  <w:tcW w:w="298" w:type="pct"/>
                  <w:vMerge w:val="continue"/>
                  <w:vAlign w:val="center"/>
                </w:tcPr>
                <w:p w14:paraId="212F5648">
                  <w:pPr>
                    <w:pStyle w:val="29"/>
                    <w:rPr>
                      <w:bCs/>
                    </w:rPr>
                  </w:pPr>
                </w:p>
              </w:tc>
              <w:tc>
                <w:tcPr>
                  <w:tcW w:w="299" w:type="pct"/>
                  <w:vMerge w:val="continue"/>
                  <w:vAlign w:val="center"/>
                </w:tcPr>
                <w:p w14:paraId="300DD808">
                  <w:pPr>
                    <w:pStyle w:val="29"/>
                    <w:rPr>
                      <w:bCs/>
                    </w:rPr>
                  </w:pPr>
                </w:p>
              </w:tc>
              <w:tc>
                <w:tcPr>
                  <w:tcW w:w="447" w:type="pct"/>
                  <w:vAlign w:val="center"/>
                </w:tcPr>
                <w:p w14:paraId="1E257683">
                  <w:pPr>
                    <w:pStyle w:val="29"/>
                    <w:rPr>
                      <w:bCs/>
                    </w:rPr>
                  </w:pPr>
                  <w:r>
                    <w:rPr>
                      <w:bCs/>
                      <w:color w:val="EE0000"/>
                    </w:rPr>
                    <w:t>桶装</w:t>
                  </w:r>
                </w:p>
              </w:tc>
              <w:tc>
                <w:tcPr>
                  <w:tcW w:w="447" w:type="pct"/>
                  <w:vAlign w:val="center"/>
                </w:tcPr>
                <w:p w14:paraId="1E403DA2">
                  <w:pPr>
                    <w:pStyle w:val="29"/>
                    <w:rPr>
                      <w:bCs/>
                      <w:color w:val="EE0000"/>
                    </w:rPr>
                  </w:pPr>
                  <w:r>
                    <w:rPr>
                      <w:rFonts w:hint="eastAsia"/>
                      <w:bCs/>
                      <w:color w:val="EE0000"/>
                    </w:rPr>
                    <w:t>0.01</w:t>
                  </w:r>
                </w:p>
              </w:tc>
              <w:tc>
                <w:tcPr>
                  <w:tcW w:w="449" w:type="pct"/>
                  <w:vAlign w:val="center"/>
                </w:tcPr>
                <w:p w14:paraId="2189329D">
                  <w:pPr>
                    <w:pStyle w:val="29"/>
                    <w:rPr>
                      <w:bCs/>
                      <w:color w:val="EE0000"/>
                    </w:rPr>
                  </w:pPr>
                  <w:r>
                    <w:rPr>
                      <w:rFonts w:hint="eastAsia"/>
                      <w:bCs/>
                      <w:color w:val="EE0000"/>
                    </w:rPr>
                    <w:t>三个月</w:t>
                  </w:r>
                </w:p>
              </w:tc>
            </w:tr>
          </w:tbl>
          <w:p w14:paraId="7B1BB260">
            <w:pPr>
              <w:ind w:firstLine="480"/>
              <w:rPr>
                <w:bCs/>
              </w:rPr>
            </w:pPr>
            <w:r>
              <w:rPr>
                <w:bCs/>
              </w:rPr>
              <w:t>危废暂存间应达到以下要求：</w:t>
            </w:r>
          </w:p>
          <w:p w14:paraId="7096F70C">
            <w:pPr>
              <w:ind w:firstLine="480"/>
              <w:rPr>
                <w:bCs/>
              </w:rPr>
            </w:pPr>
            <w:r>
              <w:rPr>
                <w:rFonts w:ascii="Cambria Math" w:hAnsi="Cambria Math" w:cs="Cambria Math"/>
                <w:bCs/>
              </w:rPr>
              <w:t>①</w:t>
            </w:r>
            <w:r>
              <w:rPr>
                <w:bCs/>
              </w:rPr>
              <w:t>采取室内贮存方式，按照《危险废物识别标志设置技术规范》（HJ 1276—2022）设置环境保护图形标志和警示标志。</w:t>
            </w:r>
          </w:p>
          <w:p w14:paraId="6A907008">
            <w:pPr>
              <w:ind w:firstLine="480"/>
              <w:rPr>
                <w:bCs/>
              </w:rPr>
            </w:pPr>
            <w:r>
              <w:rPr>
                <w:rFonts w:ascii="Cambria Math" w:hAnsi="Cambria Math" w:cs="Cambria Math"/>
                <w:bCs/>
              </w:rPr>
              <w:t>②</w:t>
            </w:r>
            <w:r>
              <w:rPr>
                <w:bCs/>
              </w:rPr>
              <w:t>固体废物收集后，按类别放入相应的容器内，禁止一般废物与危险废物混放，不相容的危险废物分开存放并设有隔离间隔断。</w:t>
            </w:r>
          </w:p>
          <w:p w14:paraId="4226D9AB">
            <w:pPr>
              <w:ind w:firstLine="480"/>
              <w:rPr>
                <w:rFonts w:asciiTheme="majorBidi" w:hAnsiTheme="majorBidi" w:eastAsiaTheme="minorEastAsia" w:cstheme="majorBidi"/>
                <w:bCs/>
                <w:color w:val="000000" w:themeColor="text1"/>
                <w:kern w:val="2"/>
                <w14:textFill>
                  <w14:solidFill>
                    <w14:schemeClr w14:val="tx1"/>
                  </w14:solidFill>
                </w14:textFill>
              </w:rPr>
            </w:pPr>
            <w:r>
              <w:rPr>
                <w:rFonts w:ascii="Cambria Math" w:hAnsi="Cambria Math" w:cs="Cambria Math" w:eastAsiaTheme="minorEastAsia"/>
                <w:bCs/>
                <w:color w:val="000000" w:themeColor="text1"/>
                <w:kern w:val="2"/>
                <w14:textFill>
                  <w14:solidFill>
                    <w14:schemeClr w14:val="tx1"/>
                  </w14:solidFill>
                </w14:textFill>
              </w:rPr>
              <w:t>③</w:t>
            </w:r>
            <w:r>
              <w:rPr>
                <w:rFonts w:asciiTheme="majorBidi" w:hAnsiTheme="majorBidi" w:eastAsiaTheme="minorEastAsia" w:cstheme="majorBidi"/>
                <w:bCs/>
                <w:color w:val="000000" w:themeColor="text1"/>
                <w:kern w:val="2"/>
                <w14:textFill>
                  <w14:solidFill>
                    <w14:schemeClr w14:val="tx1"/>
                  </w14:solidFill>
                </w14:textFill>
              </w:rPr>
              <w:t>收集固体废物的容器放置在隔架上，其底部与地面相距一定距离，以保持地面干燥，盛装在容器内的同类危险废物可以堆叠存放，每个堆间应留有搬运通道。</w:t>
            </w:r>
          </w:p>
          <w:p w14:paraId="67794B23">
            <w:pPr>
              <w:ind w:firstLine="480"/>
              <w:rPr>
                <w:bCs/>
              </w:rPr>
            </w:pPr>
            <w:r>
              <w:rPr>
                <w:rFonts w:ascii="Cambria Math" w:hAnsi="Cambria Math" w:cs="Cambria Math"/>
                <w:bCs/>
              </w:rPr>
              <w:t>④</w:t>
            </w:r>
            <w:r>
              <w:rPr>
                <w:bCs/>
              </w:rPr>
              <w:t>危废暂存间室内地面做耐腐蚀硬化处理，且表面无裂隙。危废暂存间内暂存的固体废物定期运至有关部门处置。</w:t>
            </w:r>
          </w:p>
          <w:p w14:paraId="33446BA3">
            <w:pPr>
              <w:ind w:firstLine="480"/>
              <w:rPr>
                <w:bCs/>
              </w:rPr>
            </w:pPr>
            <w:r>
              <w:rPr>
                <w:rFonts w:ascii="Cambria Math" w:hAnsi="Cambria Math" w:cs="Cambria Math"/>
                <w:bCs/>
              </w:rPr>
              <w:t>⑤</w:t>
            </w:r>
            <w:r>
              <w:rPr>
                <w:bCs/>
              </w:rPr>
              <w:t>室内做积水沟收集渗漏液。危废暂存间室内地面、裙脚和积水沟做防渗漏处理，所使用的材料要与危险废物相容。</w:t>
            </w:r>
          </w:p>
          <w:p w14:paraId="62E21199">
            <w:pPr>
              <w:ind w:firstLine="480"/>
              <w:rPr>
                <w:bCs/>
              </w:rPr>
            </w:pPr>
            <w:r>
              <w:rPr>
                <w:rFonts w:ascii="Cambria Math" w:hAnsi="Cambria Math" w:cs="Cambria Math"/>
                <w:bCs/>
              </w:rPr>
              <w:t>⑥</w:t>
            </w:r>
            <w:r>
              <w:rPr>
                <w:bCs/>
              </w:rPr>
              <w:t>建立档案制度，对暂存的废物种类、数量、特性、包装容器类别、存放库位、存入日期、运出日期等详细记录在案并长期保存。建立定期巡查、维护制度。</w:t>
            </w:r>
          </w:p>
          <w:p w14:paraId="15C9FC11">
            <w:pPr>
              <w:ind w:firstLine="480"/>
              <w:rPr>
                <w:bCs/>
              </w:rPr>
            </w:pPr>
            <w:r>
              <w:rPr>
                <w:bCs/>
              </w:rPr>
              <w:t>总之，本项目实施后对固体废物的处置应本着减量化、资源化、无害化的原则，进行妥善处理，可以避免对环境造成二次污染，不会对环境造成不利影响。</w:t>
            </w:r>
          </w:p>
          <w:p w14:paraId="00D7D7B8">
            <w:pPr>
              <w:ind w:firstLine="480"/>
              <w:rPr>
                <w:bCs/>
              </w:rPr>
            </w:pPr>
            <w:r>
              <w:rPr>
                <w:bCs/>
              </w:rPr>
              <w:t>（五）土壤、地下水环境影响分析</w:t>
            </w:r>
          </w:p>
          <w:p w14:paraId="737B6284">
            <w:pPr>
              <w:ind w:firstLine="480"/>
              <w:rPr>
                <w:bCs/>
              </w:rPr>
            </w:pPr>
            <w:r>
              <w:rPr>
                <w:bCs/>
              </w:rPr>
              <w:t>本项目运营期间大气污染物主要为非甲烷总烃和颗粒物。排放量不大，且不属于持久性污染物和重金属污染物，对土壤和地下水环境影响较小；项目产生的废水主要为生活污水，项目建成后厂区范围内铺设好污水收集管道，污水管道做好防渗处理，正常情况下不会对土壤和地下水环境造成明显影响。项目固废间位于厂区三楼，均做好三防措施，因此泄漏物料不会下渗到土壤和地下水中。</w:t>
            </w:r>
          </w:p>
          <w:p w14:paraId="5F7F5664">
            <w:pPr>
              <w:ind w:firstLine="480"/>
              <w:rPr>
                <w:bCs/>
              </w:rPr>
            </w:pPr>
            <w:r>
              <w:rPr>
                <w:bCs/>
              </w:rPr>
              <w:t>1.地下水</w:t>
            </w:r>
          </w:p>
          <w:p w14:paraId="33222A0C">
            <w:pPr>
              <w:ind w:firstLine="480"/>
              <w:rPr>
                <w:bCs/>
              </w:rPr>
            </w:pPr>
            <w:r>
              <w:rPr>
                <w:bCs/>
              </w:rPr>
              <w:t>运营期正常工况下，物料经包装桶储存运输，不会出现跑、冒、滴、漏现象。因此，正常工况下，项目不存在地下水污染途径，对地下水影响很小；非正常工况下，本项目采取分区防护措施后，也不存在地下水污染途径。本项目遵循</w:t>
            </w:r>
            <w:r>
              <w:rPr>
                <w:rFonts w:ascii="宋体" w:hAnsi="宋体"/>
                <w:bCs/>
              </w:rPr>
              <w:t>“</w:t>
            </w:r>
            <w:r>
              <w:rPr>
                <w:bCs/>
              </w:rPr>
              <w:t>源头控制，分区防治，污染监控、风险应急</w:t>
            </w:r>
            <w:r>
              <w:rPr>
                <w:rFonts w:ascii="宋体" w:hAnsi="宋体"/>
                <w:bCs/>
              </w:rPr>
              <w:t>”</w:t>
            </w:r>
            <w:r>
              <w:rPr>
                <w:bCs/>
              </w:rPr>
              <w:t>的原则，拟采取以下防护措施：</w:t>
            </w:r>
          </w:p>
          <w:p w14:paraId="40B3E188">
            <w:pPr>
              <w:ind w:firstLine="480"/>
              <w:rPr>
                <w:rFonts w:asciiTheme="majorBidi" w:hAnsiTheme="majorBidi" w:eastAsiaTheme="minorEastAsia" w:cstheme="majorBidi"/>
                <w:bCs/>
                <w:color w:val="000000" w:themeColor="text1"/>
                <w:kern w:val="2"/>
                <w14:textFill>
                  <w14:solidFill>
                    <w14:schemeClr w14:val="tx1"/>
                  </w14:solidFill>
                </w14:textFill>
              </w:rPr>
            </w:pPr>
            <w:r>
              <w:rPr>
                <w:rFonts w:asciiTheme="majorBidi" w:hAnsiTheme="majorBidi" w:eastAsiaTheme="minorEastAsia" w:cstheme="majorBidi"/>
                <w:bCs/>
                <w:color w:val="000000" w:themeColor="text1"/>
                <w:kern w:val="2"/>
                <w14:textFill>
                  <w14:solidFill>
                    <w14:schemeClr w14:val="tx1"/>
                  </w14:solidFill>
                </w14:textFill>
              </w:rPr>
              <w:t>（1）生产车间、仓库</w:t>
            </w:r>
          </w:p>
          <w:p w14:paraId="5C15B3A5">
            <w:pPr>
              <w:ind w:firstLine="480"/>
              <w:rPr>
                <w:rFonts w:asciiTheme="majorBidi" w:hAnsiTheme="majorBidi" w:eastAsiaTheme="minorEastAsia" w:cstheme="majorBidi"/>
                <w:bCs/>
                <w:color w:val="000000" w:themeColor="text1"/>
                <w:kern w:val="2"/>
                <w14:textFill>
                  <w14:solidFill>
                    <w14:schemeClr w14:val="tx1"/>
                  </w14:solidFill>
                </w14:textFill>
              </w:rPr>
            </w:pPr>
            <w:r>
              <w:rPr>
                <w:rFonts w:asciiTheme="majorBidi" w:hAnsiTheme="majorBidi" w:eastAsiaTheme="minorEastAsia" w:cstheme="majorBidi"/>
                <w:bCs/>
                <w:color w:val="000000" w:themeColor="text1"/>
                <w:kern w:val="2"/>
                <w14:textFill>
                  <w14:solidFill>
                    <w14:schemeClr w14:val="tx1"/>
                  </w14:solidFill>
                </w14:textFill>
              </w:rPr>
              <w:t>厂区地面采取粘土铺底，再在上层铺设10-15cm的水泥进行硬化；厂房为钢筋混凝土，原料仓库等重点防渗区域设置防渗地坪，仓库内不同种类原材料独立包装，加强巡查，及时发现破裂的容器，并及时进行维护和修补，防止物料腐蚀地面基础层，造成地下水污染。</w:t>
            </w:r>
          </w:p>
          <w:p w14:paraId="4799BA8D">
            <w:pPr>
              <w:ind w:firstLine="480"/>
              <w:rPr>
                <w:rFonts w:asciiTheme="majorBidi" w:hAnsiTheme="majorBidi" w:eastAsiaTheme="minorEastAsia" w:cstheme="majorBidi"/>
                <w:bCs/>
                <w:color w:val="000000" w:themeColor="text1"/>
                <w:kern w:val="2"/>
                <w14:textFill>
                  <w14:solidFill>
                    <w14:schemeClr w14:val="tx1"/>
                  </w14:solidFill>
                </w14:textFill>
              </w:rPr>
            </w:pPr>
            <w:r>
              <w:rPr>
                <w:rFonts w:asciiTheme="majorBidi" w:hAnsiTheme="majorBidi" w:eastAsiaTheme="minorEastAsia" w:cstheme="majorBidi"/>
                <w:bCs/>
                <w:color w:val="000000" w:themeColor="text1"/>
                <w:kern w:val="2"/>
                <w14:textFill>
                  <w14:solidFill>
                    <w14:schemeClr w14:val="tx1"/>
                  </w14:solidFill>
                </w14:textFill>
              </w:rPr>
              <w:t>（2）一般固废暂存间</w:t>
            </w:r>
          </w:p>
          <w:p w14:paraId="6F96857E">
            <w:pPr>
              <w:ind w:firstLine="480"/>
              <w:rPr>
                <w:rFonts w:asciiTheme="majorBidi" w:hAnsiTheme="majorBidi" w:eastAsiaTheme="minorEastAsia" w:cstheme="majorBidi"/>
                <w:bCs/>
                <w:color w:val="000000" w:themeColor="text1"/>
                <w:kern w:val="2"/>
                <w14:textFill>
                  <w14:solidFill>
                    <w14:schemeClr w14:val="tx1"/>
                  </w14:solidFill>
                </w14:textFill>
              </w:rPr>
            </w:pPr>
            <w:r>
              <w:rPr>
                <w:rFonts w:asciiTheme="majorBidi" w:hAnsiTheme="majorBidi" w:eastAsiaTheme="minorEastAsia" w:cstheme="majorBidi"/>
                <w:bCs/>
                <w:color w:val="000000" w:themeColor="text1"/>
                <w:kern w:val="2"/>
                <w14:textFill>
                  <w14:solidFill>
                    <w14:schemeClr w14:val="tx1"/>
                  </w14:solidFill>
                </w14:textFill>
              </w:rPr>
              <w:t>一般固废暂存间必须防雨、防晒、防风，一般固废暂存间设置围堰，在四周设置导流槽，门口设置围挡，防止物料泄漏时大面积扩散。不同种类一般固体废物独立包装，加强巡查，及时发现破裂的容器，并及时进行维护和修补，防止物料腐蚀地面基础层，造成地下水污染。</w:t>
            </w:r>
          </w:p>
          <w:p w14:paraId="7C8C1D8B">
            <w:pPr>
              <w:ind w:firstLine="480"/>
              <w:rPr>
                <w:rFonts w:asciiTheme="majorBidi" w:hAnsiTheme="majorBidi" w:eastAsiaTheme="minorEastAsia" w:cstheme="majorBidi"/>
                <w:bCs/>
                <w:color w:val="000000" w:themeColor="text1"/>
                <w:kern w:val="2"/>
                <w14:textFill>
                  <w14:solidFill>
                    <w14:schemeClr w14:val="tx1"/>
                  </w14:solidFill>
                </w14:textFill>
              </w:rPr>
            </w:pPr>
            <w:r>
              <w:rPr>
                <w:rFonts w:asciiTheme="majorBidi" w:hAnsiTheme="majorBidi" w:eastAsiaTheme="minorEastAsia" w:cstheme="majorBidi"/>
                <w:bCs/>
                <w:color w:val="000000" w:themeColor="text1"/>
                <w:kern w:val="2"/>
                <w14:textFill>
                  <w14:solidFill>
                    <w14:schemeClr w14:val="tx1"/>
                  </w14:solidFill>
                </w14:textFill>
              </w:rPr>
              <w:t>（3）危险废物暂存间</w:t>
            </w:r>
          </w:p>
          <w:p w14:paraId="2656578E">
            <w:pPr>
              <w:ind w:firstLine="480"/>
              <w:rPr>
                <w:rFonts w:asciiTheme="majorBidi" w:hAnsiTheme="majorBidi" w:eastAsiaTheme="minorEastAsia" w:cstheme="majorBidi"/>
                <w:bCs/>
                <w:color w:val="000000" w:themeColor="text1"/>
                <w:kern w:val="2"/>
                <w14:textFill>
                  <w14:solidFill>
                    <w14:schemeClr w14:val="tx1"/>
                  </w14:solidFill>
                </w14:textFill>
              </w:rPr>
            </w:pPr>
            <w:r>
              <w:rPr>
                <w:rFonts w:asciiTheme="majorBidi" w:hAnsiTheme="majorBidi" w:eastAsiaTheme="minorEastAsia" w:cstheme="majorBidi"/>
                <w:bCs/>
                <w:color w:val="000000" w:themeColor="text1"/>
                <w:kern w:val="2"/>
                <w14:textFill>
                  <w14:solidFill>
                    <w14:schemeClr w14:val="tx1"/>
                  </w14:solidFill>
                </w14:textFill>
              </w:rPr>
              <w:t>危险废物暂存间，按照《危险废物贮存污染控制标准》（GB 18597-2023）的相关要求进行设计并采取了相应的防渗措施，包括：</w:t>
            </w:r>
          </w:p>
          <w:p w14:paraId="5969B861">
            <w:pPr>
              <w:ind w:firstLine="480"/>
              <w:rPr>
                <w:rFonts w:asciiTheme="majorBidi" w:hAnsiTheme="majorBidi" w:eastAsiaTheme="minorEastAsia" w:cstheme="majorBidi"/>
                <w:bCs/>
                <w:color w:val="000000" w:themeColor="text1"/>
                <w:kern w:val="2"/>
                <w14:textFill>
                  <w14:solidFill>
                    <w14:schemeClr w14:val="tx1"/>
                  </w14:solidFill>
                </w14:textFill>
              </w:rPr>
            </w:pPr>
            <w:r>
              <w:rPr>
                <w:rFonts w:ascii="Cambria Math" w:hAnsi="Cambria Math" w:cs="Cambria Math" w:eastAsiaTheme="minorEastAsia"/>
                <w:bCs/>
                <w:color w:val="000000" w:themeColor="text1"/>
                <w:kern w:val="2"/>
                <w14:textFill>
                  <w14:solidFill>
                    <w14:schemeClr w14:val="tx1"/>
                  </w14:solidFill>
                </w14:textFill>
              </w:rPr>
              <w:t>①</w:t>
            </w:r>
            <w:r>
              <w:rPr>
                <w:rFonts w:asciiTheme="majorBidi" w:hAnsiTheme="majorBidi" w:eastAsiaTheme="minorEastAsia" w:cstheme="majorBidi"/>
                <w:bCs/>
                <w:color w:val="000000" w:themeColor="text1"/>
                <w:kern w:val="2"/>
                <w14:textFill>
                  <w14:solidFill>
                    <w14:schemeClr w14:val="tx1"/>
                  </w14:solidFill>
                </w14:textFill>
              </w:rPr>
              <w:t>危险废物暂存间基础设置防渗地坪，该防渗地坪的具体技术要求为</w:t>
            </w:r>
            <w:r>
              <w:rPr>
                <w:rFonts w:ascii="宋体" w:hAnsi="宋体" w:eastAsiaTheme="minorEastAsia" w:cstheme="majorBidi"/>
                <w:bCs/>
                <w:color w:val="000000" w:themeColor="text1"/>
                <w:kern w:val="2"/>
                <w14:textFill>
                  <w14:solidFill>
                    <w14:schemeClr w14:val="tx1"/>
                  </w14:solidFill>
                </w14:textFill>
              </w:rPr>
              <w:t>“</w:t>
            </w:r>
            <w:r>
              <w:rPr>
                <w:rFonts w:asciiTheme="majorBidi" w:hAnsiTheme="majorBidi" w:eastAsiaTheme="minorEastAsia" w:cstheme="majorBidi"/>
                <w:bCs/>
                <w:color w:val="000000" w:themeColor="text1"/>
                <w:kern w:val="2"/>
                <w14:textFill>
                  <w14:solidFill>
                    <w14:schemeClr w14:val="tx1"/>
                  </w14:solidFill>
                </w14:textFill>
              </w:rPr>
              <w:t xml:space="preserve">等效黏土防渗层Mb≥6.0m，渗透系数≤10 </w:t>
            </w:r>
            <w:r>
              <w:rPr>
                <w:rFonts w:asciiTheme="majorBidi" w:hAnsiTheme="majorBidi" w:eastAsiaTheme="minorEastAsia" w:cstheme="majorBidi"/>
                <w:bCs/>
                <w:color w:val="000000" w:themeColor="text1"/>
                <w:kern w:val="2"/>
                <w:vertAlign w:val="superscript"/>
                <w14:textFill>
                  <w14:solidFill>
                    <w14:schemeClr w14:val="tx1"/>
                  </w14:solidFill>
                </w14:textFill>
              </w:rPr>
              <w:t>-7</w:t>
            </w:r>
            <w:r>
              <w:rPr>
                <w:rFonts w:asciiTheme="majorBidi" w:hAnsiTheme="majorBidi" w:eastAsiaTheme="minorEastAsia" w:cstheme="majorBidi"/>
                <w:bCs/>
                <w:color w:val="000000" w:themeColor="text1"/>
                <w:kern w:val="2"/>
                <w14:textFill>
                  <w14:solidFill>
                    <w14:schemeClr w14:val="tx1"/>
                  </w14:solidFill>
                </w14:textFill>
              </w:rPr>
              <w:t xml:space="preserve"> cm/s</w:t>
            </w:r>
            <w:r>
              <w:rPr>
                <w:rFonts w:ascii="宋体" w:hAnsi="宋体" w:eastAsiaTheme="minorEastAsia" w:cstheme="majorBidi"/>
                <w:bCs/>
                <w:color w:val="000000" w:themeColor="text1"/>
                <w:kern w:val="2"/>
                <w14:textFill>
                  <w14:solidFill>
                    <w14:schemeClr w14:val="tx1"/>
                  </w14:solidFill>
                </w14:textFill>
              </w:rPr>
              <w:t>”</w:t>
            </w:r>
            <w:r>
              <w:rPr>
                <w:rFonts w:asciiTheme="majorBidi" w:hAnsiTheme="majorBidi" w:eastAsiaTheme="minorEastAsia" w:cstheme="majorBidi"/>
                <w:bCs/>
                <w:color w:val="000000" w:themeColor="text1"/>
                <w:kern w:val="2"/>
                <w14:textFill>
                  <w14:solidFill>
                    <w14:schemeClr w14:val="tx1"/>
                  </w14:solidFill>
                </w14:textFill>
              </w:rPr>
              <w:t>。</w:t>
            </w:r>
          </w:p>
          <w:p w14:paraId="47D33A41">
            <w:pPr>
              <w:ind w:firstLine="480"/>
              <w:rPr>
                <w:rFonts w:asciiTheme="majorBidi" w:hAnsiTheme="majorBidi" w:eastAsiaTheme="minorEastAsia" w:cstheme="majorBidi"/>
                <w:bCs/>
                <w:color w:val="000000" w:themeColor="text1"/>
                <w:kern w:val="2"/>
                <w14:textFill>
                  <w14:solidFill>
                    <w14:schemeClr w14:val="tx1"/>
                  </w14:solidFill>
                </w14:textFill>
              </w:rPr>
            </w:pPr>
            <w:r>
              <w:rPr>
                <w:rFonts w:ascii="Cambria Math" w:hAnsi="Cambria Math" w:cs="Cambria Math" w:eastAsiaTheme="minorEastAsia"/>
                <w:bCs/>
                <w:color w:val="000000" w:themeColor="text1"/>
                <w:kern w:val="2"/>
                <w14:textFill>
                  <w14:solidFill>
                    <w14:schemeClr w14:val="tx1"/>
                  </w14:solidFill>
                </w14:textFill>
              </w:rPr>
              <w:t>②</w:t>
            </w:r>
            <w:r>
              <w:rPr>
                <w:rFonts w:asciiTheme="majorBidi" w:hAnsiTheme="majorBidi" w:eastAsiaTheme="minorEastAsia" w:cstheme="majorBidi"/>
                <w:bCs/>
                <w:color w:val="000000" w:themeColor="text1"/>
                <w:kern w:val="2"/>
                <w14:textFill>
                  <w14:solidFill>
                    <w14:schemeClr w14:val="tx1"/>
                  </w14:solidFill>
                </w14:textFill>
              </w:rPr>
              <w:t>地面与裙脚用坚固、防渗的材料建造，设计堵截泄漏的裙脚；衬里能够覆盖危险废物或其溶出物可能涉及到的范围。</w:t>
            </w:r>
          </w:p>
          <w:p w14:paraId="0D6EA15D">
            <w:pPr>
              <w:ind w:firstLine="480"/>
              <w:rPr>
                <w:rFonts w:asciiTheme="majorBidi" w:hAnsiTheme="majorBidi" w:eastAsiaTheme="minorEastAsia" w:cstheme="majorBidi"/>
                <w:bCs/>
                <w:color w:val="000000" w:themeColor="text1"/>
                <w:kern w:val="2"/>
                <w14:textFill>
                  <w14:solidFill>
                    <w14:schemeClr w14:val="tx1"/>
                  </w14:solidFill>
                </w14:textFill>
              </w:rPr>
            </w:pPr>
            <w:r>
              <w:rPr>
                <w:rFonts w:ascii="Cambria Math" w:hAnsi="Cambria Math" w:cs="Cambria Math" w:eastAsiaTheme="minorEastAsia"/>
                <w:bCs/>
                <w:color w:val="000000" w:themeColor="text1"/>
                <w:kern w:val="2"/>
                <w14:textFill>
                  <w14:solidFill>
                    <w14:schemeClr w14:val="tx1"/>
                  </w14:solidFill>
                </w14:textFill>
              </w:rPr>
              <w:t>③</w:t>
            </w:r>
            <w:r>
              <w:rPr>
                <w:rFonts w:asciiTheme="majorBidi" w:hAnsiTheme="majorBidi" w:eastAsiaTheme="minorEastAsia" w:cstheme="majorBidi"/>
                <w:bCs/>
                <w:color w:val="000000" w:themeColor="text1"/>
                <w:kern w:val="2"/>
                <w14:textFill>
                  <w14:solidFill>
                    <w14:schemeClr w14:val="tx1"/>
                  </w14:solidFill>
                </w14:textFill>
              </w:rPr>
              <w:t>不相容的危险废物分开存放，并设有隔离间隔断，加强危险废物的管理，防止其包装出现破损、泄漏等问题；危险废物堆要防风、防雨、防晒等。</w:t>
            </w:r>
          </w:p>
          <w:p w14:paraId="683126C7">
            <w:pPr>
              <w:ind w:firstLine="480"/>
              <w:rPr>
                <w:rFonts w:asciiTheme="majorBidi" w:hAnsiTheme="majorBidi" w:eastAsiaTheme="minorEastAsia" w:cstheme="majorBidi"/>
                <w:bCs/>
                <w:color w:val="000000" w:themeColor="text1"/>
                <w:kern w:val="2"/>
                <w14:textFill>
                  <w14:solidFill>
                    <w14:schemeClr w14:val="tx1"/>
                  </w14:solidFill>
                </w14:textFill>
              </w:rPr>
            </w:pPr>
            <w:r>
              <w:rPr>
                <w:rFonts w:asciiTheme="majorBidi" w:hAnsiTheme="majorBidi" w:eastAsiaTheme="minorEastAsia" w:cstheme="majorBidi"/>
                <w:bCs/>
                <w:color w:val="000000" w:themeColor="text1"/>
                <w:kern w:val="2"/>
                <w14:textFill>
                  <w14:solidFill>
                    <w14:schemeClr w14:val="tx1"/>
                  </w14:solidFill>
                </w14:textFill>
              </w:rPr>
              <w:t>综上所述，项目在生产车间、仓库、一般固废暂存间和危险废物暂存间均采取措施后，不存在地下水污染途径。</w:t>
            </w:r>
          </w:p>
          <w:p w14:paraId="40A990C3">
            <w:pPr>
              <w:ind w:firstLine="480"/>
              <w:rPr>
                <w:rFonts w:asciiTheme="majorBidi" w:hAnsiTheme="majorBidi" w:eastAsiaTheme="minorEastAsia" w:cstheme="majorBidi"/>
                <w:bCs/>
                <w:color w:val="000000" w:themeColor="text1"/>
                <w:kern w:val="2"/>
                <w14:textFill>
                  <w14:solidFill>
                    <w14:schemeClr w14:val="tx1"/>
                  </w14:solidFill>
                </w14:textFill>
              </w:rPr>
            </w:pPr>
            <w:r>
              <w:rPr>
                <w:rFonts w:asciiTheme="majorBidi" w:hAnsiTheme="majorBidi" w:eastAsiaTheme="minorEastAsia" w:cstheme="majorBidi"/>
                <w:bCs/>
                <w:color w:val="000000" w:themeColor="text1"/>
                <w:kern w:val="2"/>
                <w14:textFill>
                  <w14:solidFill>
                    <w14:schemeClr w14:val="tx1"/>
                  </w14:solidFill>
                </w14:textFill>
              </w:rPr>
              <w:t>2.土壤</w:t>
            </w:r>
          </w:p>
          <w:p w14:paraId="442354F8">
            <w:pPr>
              <w:ind w:firstLine="480"/>
              <w:rPr>
                <w:rFonts w:asciiTheme="majorBidi" w:hAnsiTheme="majorBidi" w:eastAsiaTheme="minorEastAsia" w:cstheme="majorBidi"/>
                <w:bCs/>
                <w:color w:val="000000" w:themeColor="text1"/>
                <w:kern w:val="2"/>
                <w14:textFill>
                  <w14:solidFill>
                    <w14:schemeClr w14:val="tx1"/>
                  </w14:solidFill>
                </w14:textFill>
              </w:rPr>
            </w:pPr>
            <w:r>
              <w:rPr>
                <w:rFonts w:asciiTheme="majorBidi" w:hAnsiTheme="majorBidi" w:eastAsiaTheme="minorEastAsia" w:cstheme="majorBidi"/>
                <w:bCs/>
                <w:color w:val="000000" w:themeColor="text1"/>
                <w:kern w:val="2"/>
                <w14:textFill>
                  <w14:solidFill>
                    <w14:schemeClr w14:val="tx1"/>
                  </w14:solidFill>
                </w14:textFill>
              </w:rPr>
              <w:t>项目在生产车间、仓库、一般固废暂存间和危险废物暂存间均采取措施后，无垂直入渗的途径，不存在土壤污染途径。</w:t>
            </w:r>
          </w:p>
          <w:p w14:paraId="1A7F768D">
            <w:pPr>
              <w:ind w:firstLine="480"/>
              <w:rPr>
                <w:rFonts w:asciiTheme="majorBidi" w:hAnsiTheme="majorBidi" w:eastAsiaTheme="minorEastAsia" w:cstheme="majorBidi"/>
                <w:bCs/>
                <w:color w:val="000000" w:themeColor="text1"/>
                <w:kern w:val="2"/>
                <w14:textFill>
                  <w14:solidFill>
                    <w14:schemeClr w14:val="tx1"/>
                  </w14:solidFill>
                </w14:textFill>
              </w:rPr>
            </w:pPr>
            <w:r>
              <w:rPr>
                <w:rFonts w:asciiTheme="majorBidi" w:hAnsiTheme="majorBidi" w:eastAsiaTheme="minorEastAsia" w:cstheme="majorBidi"/>
                <w:bCs/>
                <w:color w:val="000000" w:themeColor="text1"/>
                <w:kern w:val="2"/>
                <w14:textFill>
                  <w14:solidFill>
                    <w14:schemeClr w14:val="tx1"/>
                  </w14:solidFill>
                </w14:textFill>
              </w:rPr>
              <w:t>综上所述，项目运营期不存在地下水、土壤污染途径，故不提出跟踪监测的相关要求。</w:t>
            </w:r>
          </w:p>
          <w:p w14:paraId="26F3CB80">
            <w:pPr>
              <w:ind w:firstLine="480"/>
              <w:rPr>
                <w:rFonts w:asciiTheme="majorBidi" w:hAnsiTheme="majorBidi" w:eastAsiaTheme="minorEastAsia" w:cstheme="majorBidi"/>
                <w:bCs/>
                <w:color w:val="000000" w:themeColor="text1"/>
                <w:kern w:val="2"/>
                <w14:textFill>
                  <w14:solidFill>
                    <w14:schemeClr w14:val="tx1"/>
                  </w14:solidFill>
                </w14:textFill>
              </w:rPr>
            </w:pPr>
            <w:r>
              <w:rPr>
                <w:rFonts w:asciiTheme="majorBidi" w:hAnsiTheme="majorBidi" w:eastAsiaTheme="minorEastAsia" w:cstheme="majorBidi"/>
                <w:bCs/>
                <w:color w:val="000000" w:themeColor="text1"/>
                <w:kern w:val="2"/>
                <w14:textFill>
                  <w14:solidFill>
                    <w14:schemeClr w14:val="tx1"/>
                  </w14:solidFill>
                </w14:textFill>
              </w:rPr>
              <w:t>（六）生态环境影响</w:t>
            </w:r>
          </w:p>
          <w:p w14:paraId="71D2C3E4">
            <w:pPr>
              <w:ind w:firstLine="480"/>
              <w:rPr>
                <w:rFonts w:asciiTheme="majorBidi" w:hAnsiTheme="majorBidi" w:eastAsiaTheme="minorEastAsia" w:cstheme="majorBidi"/>
                <w:bCs/>
                <w:color w:val="000000" w:themeColor="text1"/>
                <w:kern w:val="2"/>
                <w14:textFill>
                  <w14:solidFill>
                    <w14:schemeClr w14:val="tx1"/>
                  </w14:solidFill>
                </w14:textFill>
              </w:rPr>
            </w:pPr>
            <w:r>
              <w:rPr>
                <w:rFonts w:asciiTheme="majorBidi" w:hAnsiTheme="majorBidi" w:eastAsiaTheme="minorEastAsia" w:cstheme="majorBidi"/>
                <w:bCs/>
                <w:color w:val="000000" w:themeColor="text1"/>
                <w:kern w:val="2"/>
                <w14:textFill>
                  <w14:solidFill>
                    <w14:schemeClr w14:val="tx1"/>
                  </w14:solidFill>
                </w14:textFill>
              </w:rPr>
              <w:t>项目在现有厂房进行生产建设，不涉及新增用地，不会对周边生态环境造成明显影响。</w:t>
            </w:r>
          </w:p>
          <w:p w14:paraId="3DB1EC3A">
            <w:pPr>
              <w:ind w:firstLine="480"/>
              <w:rPr>
                <w:rFonts w:asciiTheme="majorBidi" w:hAnsiTheme="majorBidi" w:eastAsiaTheme="minorEastAsia" w:cstheme="majorBidi"/>
                <w:bCs/>
                <w:color w:val="000000" w:themeColor="text1"/>
                <w:kern w:val="2"/>
                <w14:textFill>
                  <w14:solidFill>
                    <w14:schemeClr w14:val="tx1"/>
                  </w14:solidFill>
                </w14:textFill>
              </w:rPr>
            </w:pPr>
            <w:r>
              <w:rPr>
                <w:rFonts w:asciiTheme="majorBidi" w:hAnsiTheme="majorBidi" w:eastAsiaTheme="minorEastAsia" w:cstheme="majorBidi"/>
                <w:bCs/>
                <w:color w:val="000000" w:themeColor="text1"/>
                <w:kern w:val="2"/>
                <w14:textFill>
                  <w14:solidFill>
                    <w14:schemeClr w14:val="tx1"/>
                  </w14:solidFill>
                </w14:textFill>
              </w:rPr>
              <w:t>（七）环境风险</w:t>
            </w:r>
          </w:p>
          <w:p w14:paraId="6DC04436">
            <w:pPr>
              <w:ind w:firstLine="480"/>
              <w:rPr>
                <w:rFonts w:asciiTheme="majorBidi" w:hAnsiTheme="majorBidi" w:eastAsiaTheme="minorEastAsia" w:cstheme="majorBidi"/>
                <w:bCs/>
                <w:color w:val="000000" w:themeColor="text1"/>
                <w:kern w:val="2"/>
                <w14:textFill>
                  <w14:solidFill>
                    <w14:schemeClr w14:val="tx1"/>
                  </w14:solidFill>
                </w14:textFill>
              </w:rPr>
            </w:pPr>
            <w:r>
              <w:rPr>
                <w:rFonts w:asciiTheme="majorBidi" w:hAnsiTheme="majorBidi" w:eastAsiaTheme="minorEastAsia" w:cstheme="majorBidi"/>
                <w:bCs/>
                <w:color w:val="000000" w:themeColor="text1"/>
                <w:kern w:val="2"/>
                <w14:textFill>
                  <w14:solidFill>
                    <w14:schemeClr w14:val="tx1"/>
                  </w14:solidFill>
                </w14:textFill>
              </w:rPr>
              <w:t>根据《建设项目环境风险评价技术导则》（HJ 169－2018）附录C中的危险物质数量与临界值比值（</w:t>
            </w:r>
            <w:r>
              <w:rPr>
                <w:rFonts w:asciiTheme="majorBidi" w:hAnsiTheme="majorBidi" w:eastAsiaTheme="minorEastAsia" w:cstheme="majorBidi"/>
                <w:bCs/>
                <w:i/>
                <w:color w:val="000000" w:themeColor="text1"/>
                <w:kern w:val="2"/>
                <w14:textFill>
                  <w14:solidFill>
                    <w14:schemeClr w14:val="tx1"/>
                  </w14:solidFill>
                </w14:textFill>
              </w:rPr>
              <w:t>Q</w:t>
            </w:r>
            <w:r>
              <w:rPr>
                <w:rFonts w:asciiTheme="majorBidi" w:hAnsiTheme="majorBidi" w:eastAsiaTheme="minorEastAsia" w:cstheme="majorBidi"/>
                <w:bCs/>
                <w:color w:val="000000" w:themeColor="text1"/>
                <w:kern w:val="2"/>
                <w14:textFill>
                  <w14:solidFill>
                    <w14:schemeClr w14:val="tx1"/>
                  </w14:solidFill>
                </w14:textFill>
              </w:rPr>
              <w:t>）的内容，当</w:t>
            </w:r>
            <w:r>
              <w:rPr>
                <w:rFonts w:asciiTheme="majorBidi" w:hAnsiTheme="majorBidi" w:eastAsiaTheme="minorEastAsia" w:cstheme="majorBidi"/>
                <w:bCs/>
                <w:i/>
                <w:color w:val="000000" w:themeColor="text1"/>
                <w:kern w:val="2"/>
                <w14:textFill>
                  <w14:solidFill>
                    <w14:schemeClr w14:val="tx1"/>
                  </w14:solidFill>
                </w14:textFill>
              </w:rPr>
              <w:t>Q</w:t>
            </w:r>
            <w:r>
              <w:rPr>
                <w:rFonts w:asciiTheme="majorBidi" w:hAnsiTheme="majorBidi" w:eastAsiaTheme="minorEastAsia" w:cstheme="majorBidi"/>
                <w:bCs/>
                <w:color w:val="000000" w:themeColor="text1"/>
                <w:kern w:val="2"/>
                <w14:textFill>
                  <w14:solidFill>
                    <w14:schemeClr w14:val="tx1"/>
                  </w14:solidFill>
                </w14:textFill>
              </w:rPr>
              <w:t>＜1时，该项目环境风险潜势为Ⅰ。</w:t>
            </w:r>
          </w:p>
          <w:p w14:paraId="0405AEFA">
            <w:pPr>
              <w:ind w:firstLine="480"/>
              <w:rPr>
                <w:bCs/>
              </w:rPr>
            </w:pPr>
            <w:r>
              <w:rPr>
                <w:bCs/>
              </w:rPr>
              <w:t>当只涉及一种危险物质时，计算该物质的总量与其临界量比值，即为</w:t>
            </w:r>
            <w:r>
              <w:rPr>
                <w:bCs/>
                <w:i/>
              </w:rPr>
              <w:t>Q</w:t>
            </w:r>
            <w:r>
              <w:rPr>
                <w:bCs/>
              </w:rPr>
              <w:t>；</w:t>
            </w:r>
          </w:p>
          <w:p w14:paraId="69165AE6">
            <w:pPr>
              <w:ind w:firstLine="480"/>
              <w:rPr>
                <w:bCs/>
              </w:rPr>
            </w:pPr>
            <w:r>
              <w:rPr>
                <w:bCs/>
              </w:rPr>
              <w:t>当存在多种危险物质时，则按下式计算物质总量与其临界量比值（</w:t>
            </w:r>
            <w:r>
              <w:rPr>
                <w:bCs/>
                <w:i/>
              </w:rPr>
              <w:t>Q</w:t>
            </w:r>
            <w:r>
              <w:rPr>
                <w:bCs/>
              </w:rPr>
              <w:t>）：</w:t>
            </w:r>
          </w:p>
          <w:p w14:paraId="19AA1E98">
            <w:pPr>
              <w:adjustRightInd/>
              <w:snapToGrid/>
              <w:ind w:firstLine="480"/>
              <w:jc w:val="center"/>
              <w:rPr>
                <w:rFonts w:asciiTheme="majorBidi" w:hAnsiTheme="majorBidi" w:eastAsiaTheme="minorEastAsia" w:cstheme="majorBidi"/>
                <w:bCs/>
                <w:color w:val="000000" w:themeColor="text1"/>
                <w:kern w:val="2"/>
                <w14:textFill>
                  <w14:solidFill>
                    <w14:schemeClr w14:val="tx1"/>
                  </w14:solidFill>
                </w14:textFill>
              </w:rPr>
            </w:pPr>
            <w:r>
              <w:rPr>
                <w:rFonts w:asciiTheme="majorBidi" w:hAnsiTheme="majorBidi" w:eastAsiaTheme="minorEastAsia" w:cstheme="majorBidi"/>
                <w:bCs/>
                <w:color w:val="000000" w:themeColor="text1"/>
                <w:kern w:val="2"/>
                <w:position w:val="-30"/>
                <w14:textFill>
                  <w14:solidFill>
                    <w14:schemeClr w14:val="tx1"/>
                  </w14:solidFill>
                </w14:textFill>
              </w:rPr>
              <w:object>
                <v:shape id="_x0000_i1033" o:spt="75" type="#_x0000_t75" style="height:36.45pt;width:108.45pt;" o:ole="t" filled="f" coordsize="21600,21600">
                  <v:path/>
                  <v:fill on="f" focussize="0,0"/>
                  <v:stroke/>
                  <v:imagedata r:id="rId53" o:title=""/>
                  <o:lock v:ext="edit" aspectratio="t"/>
                  <w10:wrap type="none"/>
                  <w10:anchorlock/>
                </v:shape>
                <o:OLEObject Type="Embed" ProgID="Equation.DSMT4" ShapeID="_x0000_i1033" DrawAspect="Content" ObjectID="_1468075733" r:id="rId52">
                  <o:LockedField>false</o:LockedField>
                </o:OLEObject>
              </w:object>
            </w:r>
          </w:p>
          <w:p w14:paraId="2E647C6B">
            <w:pPr>
              <w:ind w:firstLine="480"/>
              <w:rPr>
                <w:bCs/>
              </w:rPr>
            </w:pPr>
            <w:r>
              <w:rPr>
                <w:bCs/>
              </w:rPr>
              <w:t>式中：</w:t>
            </w:r>
            <w:r>
              <w:rPr>
                <w:bCs/>
                <w:i/>
                <w:iCs/>
              </w:rPr>
              <w:t>q</w:t>
            </w:r>
            <w:r>
              <w:rPr>
                <w:bCs/>
                <w:vertAlign w:val="subscript"/>
              </w:rPr>
              <w:t>1</w:t>
            </w:r>
            <w:r>
              <w:rPr>
                <w:bCs/>
              </w:rPr>
              <w:t>，</w:t>
            </w:r>
            <w:r>
              <w:rPr>
                <w:bCs/>
                <w:i/>
                <w:iCs/>
              </w:rPr>
              <w:t>q</w:t>
            </w:r>
            <w:r>
              <w:rPr>
                <w:bCs/>
                <w:vertAlign w:val="subscript"/>
              </w:rPr>
              <w:t>2</w:t>
            </w:r>
            <w:r>
              <w:rPr>
                <w:bCs/>
              </w:rPr>
              <w:t>，…，</w:t>
            </w:r>
            <w:r>
              <w:rPr>
                <w:bCs/>
                <w:i/>
                <w:iCs/>
              </w:rPr>
              <w:t>q</w:t>
            </w:r>
            <w:r>
              <w:rPr>
                <w:bCs/>
                <w:i/>
                <w:iCs/>
                <w:vertAlign w:val="subscript"/>
              </w:rPr>
              <w:t>n</w:t>
            </w:r>
            <w:r>
              <w:rPr>
                <w:bCs/>
              </w:rPr>
              <w:t>——每种危险物质的最大存在总量，t；</w:t>
            </w:r>
          </w:p>
          <w:p w14:paraId="6005EE7C">
            <w:pPr>
              <w:ind w:firstLine="480"/>
              <w:rPr>
                <w:bCs/>
              </w:rPr>
            </w:pPr>
            <w:r>
              <w:rPr>
                <w:bCs/>
                <w:i/>
                <w:iCs/>
              </w:rPr>
              <w:t>Q</w:t>
            </w:r>
            <w:r>
              <w:rPr>
                <w:bCs/>
                <w:vertAlign w:val="subscript"/>
              </w:rPr>
              <w:t>1</w:t>
            </w:r>
            <w:r>
              <w:rPr>
                <w:bCs/>
              </w:rPr>
              <w:t>，</w:t>
            </w:r>
            <w:r>
              <w:rPr>
                <w:bCs/>
                <w:i/>
                <w:iCs/>
              </w:rPr>
              <w:t>Q</w:t>
            </w:r>
            <w:r>
              <w:rPr>
                <w:bCs/>
                <w:vertAlign w:val="subscript"/>
              </w:rPr>
              <w:t>2</w:t>
            </w:r>
            <w:r>
              <w:rPr>
                <w:bCs/>
              </w:rPr>
              <w:t>，…，</w:t>
            </w:r>
            <w:r>
              <w:rPr>
                <w:bCs/>
                <w:i/>
                <w:iCs/>
              </w:rPr>
              <w:t>Q</w:t>
            </w:r>
            <w:r>
              <w:rPr>
                <w:bCs/>
                <w:i/>
                <w:iCs/>
                <w:vertAlign w:val="subscript"/>
              </w:rPr>
              <w:t>n</w:t>
            </w:r>
            <w:r>
              <w:rPr>
                <w:bCs/>
              </w:rPr>
              <w:t>——每种危险物质的临界量，t。</w:t>
            </w:r>
          </w:p>
          <w:p w14:paraId="5E9AEE2D">
            <w:pPr>
              <w:ind w:firstLine="480"/>
              <w:rPr>
                <w:bCs/>
              </w:rPr>
            </w:pPr>
            <w:r>
              <w:rPr>
                <w:bCs/>
              </w:rPr>
              <w:t>根据《建设项目环境风险评价技术导则》（HJ 169-2018）附录B中所列风险物质，项目风险物质存在量和临界量表见下表：</w:t>
            </w:r>
          </w:p>
          <w:p w14:paraId="78B01A19">
            <w:pPr>
              <w:pStyle w:val="11"/>
              <w:rPr>
                <w:bCs w:val="0"/>
              </w:rPr>
            </w:pPr>
            <w:r>
              <w:rPr>
                <w:bCs w:val="0"/>
              </w:rPr>
              <w:t>表4-18 环境风险物质一览表</w:t>
            </w:r>
          </w:p>
          <w:tbl>
            <w:tblPr>
              <w:tblStyle w:val="21"/>
              <w:tblW w:w="5000" w:type="pct"/>
              <w:tblInd w:w="0" w:type="dxa"/>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1839"/>
              <w:gridCol w:w="1759"/>
              <w:gridCol w:w="1913"/>
              <w:gridCol w:w="1840"/>
              <w:gridCol w:w="1893"/>
            </w:tblGrid>
            <w:tr w14:paraId="17FF9ADD">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994" w:type="pct"/>
                  <w:vAlign w:val="center"/>
                </w:tcPr>
                <w:p w14:paraId="16E6248D">
                  <w:pPr>
                    <w:pStyle w:val="29"/>
                    <w:rPr>
                      <w:bCs/>
                    </w:rPr>
                  </w:pPr>
                  <w:r>
                    <w:rPr>
                      <w:bCs/>
                    </w:rPr>
                    <w:t>序号</w:t>
                  </w:r>
                </w:p>
              </w:tc>
              <w:tc>
                <w:tcPr>
                  <w:tcW w:w="952" w:type="pct"/>
                  <w:vAlign w:val="center"/>
                </w:tcPr>
                <w:p w14:paraId="1614E541">
                  <w:pPr>
                    <w:pStyle w:val="29"/>
                    <w:rPr>
                      <w:bCs/>
                    </w:rPr>
                  </w:pPr>
                  <w:r>
                    <w:rPr>
                      <w:bCs/>
                    </w:rPr>
                    <w:t>名称</w:t>
                  </w:r>
                </w:p>
              </w:tc>
              <w:tc>
                <w:tcPr>
                  <w:tcW w:w="1035" w:type="pct"/>
                  <w:vAlign w:val="center"/>
                </w:tcPr>
                <w:p w14:paraId="3AABB2A6">
                  <w:pPr>
                    <w:pStyle w:val="29"/>
                    <w:rPr>
                      <w:bCs/>
                    </w:rPr>
                  </w:pPr>
                  <w:r>
                    <w:rPr>
                      <w:bCs/>
                    </w:rPr>
                    <w:t>厂内最大存在量/t</w:t>
                  </w:r>
                </w:p>
              </w:tc>
              <w:tc>
                <w:tcPr>
                  <w:tcW w:w="995" w:type="pct"/>
                  <w:vAlign w:val="center"/>
                </w:tcPr>
                <w:p w14:paraId="67F16172">
                  <w:pPr>
                    <w:pStyle w:val="29"/>
                    <w:rPr>
                      <w:bCs/>
                    </w:rPr>
                  </w:pPr>
                  <w:r>
                    <w:rPr>
                      <w:bCs/>
                    </w:rPr>
                    <w:t>临界量/t</w:t>
                  </w:r>
                </w:p>
              </w:tc>
              <w:tc>
                <w:tcPr>
                  <w:tcW w:w="1025" w:type="pct"/>
                  <w:vAlign w:val="center"/>
                </w:tcPr>
                <w:p w14:paraId="323435C5">
                  <w:pPr>
                    <w:pStyle w:val="29"/>
                    <w:rPr>
                      <w:bCs/>
                    </w:rPr>
                  </w:pPr>
                  <w:r>
                    <w:rPr>
                      <w:bCs/>
                    </w:rPr>
                    <w:t>Q值</w:t>
                  </w:r>
                </w:p>
              </w:tc>
            </w:tr>
            <w:tr w14:paraId="5826A6F9">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994" w:type="pct"/>
                  <w:vAlign w:val="center"/>
                </w:tcPr>
                <w:p w14:paraId="43E4D106">
                  <w:pPr>
                    <w:pStyle w:val="29"/>
                    <w:rPr>
                      <w:bCs/>
                    </w:rPr>
                  </w:pPr>
                  <w:r>
                    <w:rPr>
                      <w:bCs/>
                    </w:rPr>
                    <w:t>1</w:t>
                  </w:r>
                </w:p>
              </w:tc>
              <w:tc>
                <w:tcPr>
                  <w:tcW w:w="952" w:type="pct"/>
                  <w:vAlign w:val="center"/>
                </w:tcPr>
                <w:p w14:paraId="3C33AA9F">
                  <w:pPr>
                    <w:pStyle w:val="29"/>
                    <w:rPr>
                      <w:bCs/>
                    </w:rPr>
                  </w:pPr>
                  <w:r>
                    <w:rPr>
                      <w:bCs/>
                    </w:rPr>
                    <w:t>机油</w:t>
                  </w:r>
                </w:p>
              </w:tc>
              <w:tc>
                <w:tcPr>
                  <w:tcW w:w="1035" w:type="pct"/>
                  <w:vAlign w:val="center"/>
                </w:tcPr>
                <w:p w14:paraId="25256EA1">
                  <w:pPr>
                    <w:pStyle w:val="29"/>
                    <w:rPr>
                      <w:bCs/>
                    </w:rPr>
                  </w:pPr>
                  <w:r>
                    <w:rPr>
                      <w:rFonts w:hint="eastAsia"/>
                      <w:bCs/>
                    </w:rPr>
                    <w:t>1</w:t>
                  </w:r>
                </w:p>
              </w:tc>
              <w:tc>
                <w:tcPr>
                  <w:tcW w:w="995" w:type="pct"/>
                  <w:vAlign w:val="center"/>
                </w:tcPr>
                <w:p w14:paraId="2811DA4D">
                  <w:pPr>
                    <w:pStyle w:val="29"/>
                    <w:rPr>
                      <w:bCs/>
                    </w:rPr>
                  </w:pPr>
                  <w:r>
                    <w:rPr>
                      <w:bCs/>
                    </w:rPr>
                    <w:t>2500</w:t>
                  </w:r>
                </w:p>
              </w:tc>
              <w:tc>
                <w:tcPr>
                  <w:tcW w:w="1025" w:type="pct"/>
                  <w:vAlign w:val="center"/>
                </w:tcPr>
                <w:p w14:paraId="4FF07E35">
                  <w:pPr>
                    <w:pStyle w:val="29"/>
                    <w:rPr>
                      <w:bCs/>
                    </w:rPr>
                  </w:pPr>
                  <w:r>
                    <w:rPr>
                      <w:rFonts w:eastAsia="等线"/>
                      <w:bCs/>
                    </w:rPr>
                    <w:t>0.000016</w:t>
                  </w:r>
                </w:p>
              </w:tc>
            </w:tr>
            <w:tr w14:paraId="7CDB6CB7">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994" w:type="pct"/>
                  <w:vAlign w:val="center"/>
                </w:tcPr>
                <w:p w14:paraId="0BCABCA6">
                  <w:pPr>
                    <w:pStyle w:val="29"/>
                    <w:rPr>
                      <w:bCs/>
                    </w:rPr>
                  </w:pPr>
                  <w:r>
                    <w:rPr>
                      <w:bCs/>
                    </w:rPr>
                    <w:t>2</w:t>
                  </w:r>
                </w:p>
              </w:tc>
              <w:tc>
                <w:tcPr>
                  <w:tcW w:w="952" w:type="pct"/>
                  <w:vAlign w:val="center"/>
                </w:tcPr>
                <w:p w14:paraId="7BB3D9DC">
                  <w:pPr>
                    <w:pStyle w:val="29"/>
                    <w:rPr>
                      <w:bCs/>
                    </w:rPr>
                  </w:pPr>
                  <w:r>
                    <w:rPr>
                      <w:rFonts w:hint="eastAsia"/>
                      <w:bCs/>
                    </w:rPr>
                    <w:t>废机油</w:t>
                  </w:r>
                </w:p>
              </w:tc>
              <w:tc>
                <w:tcPr>
                  <w:tcW w:w="1035" w:type="pct"/>
                  <w:vAlign w:val="center"/>
                </w:tcPr>
                <w:p w14:paraId="3DB9B78C">
                  <w:pPr>
                    <w:pStyle w:val="29"/>
                    <w:rPr>
                      <w:bCs/>
                    </w:rPr>
                  </w:pPr>
                  <w:r>
                    <w:rPr>
                      <w:bCs/>
                    </w:rPr>
                    <w:t>0.</w:t>
                  </w:r>
                  <w:r>
                    <w:rPr>
                      <w:rFonts w:hint="eastAsia"/>
                      <w:bCs/>
                    </w:rPr>
                    <w:t>9</w:t>
                  </w:r>
                </w:p>
              </w:tc>
              <w:tc>
                <w:tcPr>
                  <w:tcW w:w="995" w:type="pct"/>
                  <w:vAlign w:val="center"/>
                </w:tcPr>
                <w:p w14:paraId="18C33B9F">
                  <w:pPr>
                    <w:pStyle w:val="29"/>
                    <w:rPr>
                      <w:bCs/>
                    </w:rPr>
                  </w:pPr>
                  <w:r>
                    <w:rPr>
                      <w:bCs/>
                    </w:rPr>
                    <w:t>2500</w:t>
                  </w:r>
                </w:p>
              </w:tc>
              <w:tc>
                <w:tcPr>
                  <w:tcW w:w="1025" w:type="pct"/>
                  <w:vAlign w:val="center"/>
                </w:tcPr>
                <w:p w14:paraId="14D2FA5D">
                  <w:pPr>
                    <w:pStyle w:val="29"/>
                    <w:rPr>
                      <w:bCs/>
                    </w:rPr>
                  </w:pPr>
                  <w:r>
                    <w:rPr>
                      <w:rFonts w:eastAsia="等线"/>
                      <w:bCs/>
                    </w:rPr>
                    <w:t>0.000004</w:t>
                  </w:r>
                </w:p>
              </w:tc>
            </w:tr>
            <w:tr w14:paraId="6BD6BF37">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3975" w:type="pct"/>
                  <w:gridSpan w:val="4"/>
                  <w:vAlign w:val="center"/>
                </w:tcPr>
                <w:p w14:paraId="7DC1B9EB">
                  <w:pPr>
                    <w:pStyle w:val="29"/>
                    <w:rPr>
                      <w:bCs/>
                    </w:rPr>
                  </w:pPr>
                  <w:r>
                    <w:rPr>
                      <w:bCs/>
                    </w:rPr>
                    <w:t>合计</w:t>
                  </w:r>
                </w:p>
              </w:tc>
              <w:tc>
                <w:tcPr>
                  <w:tcW w:w="1025" w:type="pct"/>
                  <w:vAlign w:val="center"/>
                </w:tcPr>
                <w:p w14:paraId="0C06617D">
                  <w:pPr>
                    <w:pStyle w:val="29"/>
                    <w:rPr>
                      <w:bCs/>
                    </w:rPr>
                  </w:pPr>
                  <w:r>
                    <w:rPr>
                      <w:bCs/>
                    </w:rPr>
                    <w:t>0.0000568</w:t>
                  </w:r>
                </w:p>
              </w:tc>
            </w:tr>
          </w:tbl>
          <w:p w14:paraId="287293C6">
            <w:pPr>
              <w:ind w:firstLine="480"/>
              <w:rPr>
                <w:bCs/>
              </w:rPr>
            </w:pPr>
            <w:r>
              <w:rPr>
                <w:bCs/>
              </w:rPr>
              <w:t>参照《建设项目环境风险评价技术导则》（HJ169-2018）附录B，并综合考虑项目所使用的主要原辅材料，确定项目机油、废机油为风险物质。根据上表可知项目危险物质数量与临界量的比值Q为0.0000568。当Q＜1，项目环境风险潜势为Ⅰ，可开展简单分析，因此本报告对本项目开展环境风险简单分析。</w:t>
            </w:r>
          </w:p>
          <w:p w14:paraId="4E9BD0E5">
            <w:pPr>
              <w:ind w:firstLine="480"/>
              <w:rPr>
                <w:rFonts w:eastAsiaTheme="minorEastAsia"/>
                <w:bCs/>
                <w:kern w:val="2"/>
              </w:rPr>
            </w:pPr>
            <w:r>
              <w:rPr>
                <w:rFonts w:eastAsiaTheme="minorEastAsia"/>
                <w:bCs/>
                <w:kern w:val="2"/>
              </w:rPr>
              <w:t>可能环境风险主要影响途径为：大气、地表水和地下水、土壤。针对上述风险，企业应制定以下风险防范措施：</w:t>
            </w:r>
          </w:p>
          <w:p w14:paraId="4AA9C359">
            <w:pPr>
              <w:ind w:firstLine="480"/>
              <w:rPr>
                <w:rFonts w:eastAsiaTheme="minorEastAsia"/>
                <w:bCs/>
                <w:kern w:val="2"/>
              </w:rPr>
            </w:pPr>
            <w:r>
              <w:rPr>
                <w:rFonts w:eastAsiaTheme="minorEastAsia"/>
                <w:bCs/>
                <w:kern w:val="2"/>
              </w:rPr>
              <w:t>1.火灾爆炸环境风险防控措施</w:t>
            </w:r>
          </w:p>
          <w:p w14:paraId="6DB80538">
            <w:pPr>
              <w:ind w:firstLine="480"/>
              <w:rPr>
                <w:rFonts w:eastAsiaTheme="minorEastAsia"/>
                <w:bCs/>
                <w:kern w:val="2"/>
              </w:rPr>
            </w:pPr>
            <w:r>
              <w:rPr>
                <w:rFonts w:eastAsiaTheme="minorEastAsia"/>
                <w:bCs/>
                <w:kern w:val="2"/>
              </w:rPr>
              <w:t>根据功能分区布置，各构筑物均按火灾危险等级要求进行设计，生产车间及仓库、危废暂存间等地面应根据需要做防腐防渗处理。现场设置各种安全标志，应禁止明火。做好人员培训工作，要求职工持证上岗，规范操作机械设备及流程。本项目生产车间切实做到通风、防晒、防火、防爆，并按照国家标准和国家有关规定进行维护、保养，保证符合安全运行要求。</w:t>
            </w:r>
          </w:p>
          <w:p w14:paraId="47AD3805">
            <w:pPr>
              <w:ind w:firstLine="480"/>
              <w:rPr>
                <w:rFonts w:eastAsiaTheme="minorEastAsia"/>
                <w:bCs/>
                <w:kern w:val="2"/>
              </w:rPr>
            </w:pPr>
            <w:r>
              <w:rPr>
                <w:rFonts w:eastAsiaTheme="minorEastAsia"/>
                <w:bCs/>
                <w:kern w:val="2"/>
              </w:rPr>
              <w:t>2.泄漏事故环境风险防控措施</w:t>
            </w:r>
          </w:p>
          <w:p w14:paraId="5B4AE943">
            <w:pPr>
              <w:ind w:firstLine="480"/>
              <w:rPr>
                <w:rFonts w:eastAsiaTheme="minorEastAsia"/>
                <w:bCs/>
                <w:kern w:val="2"/>
              </w:rPr>
            </w:pPr>
            <w:r>
              <w:rPr>
                <w:rFonts w:eastAsiaTheme="minorEastAsia"/>
                <w:bCs/>
                <w:kern w:val="2"/>
              </w:rPr>
              <w:t>危险废物暂存间雨水渗漏，随意堆放、盛装容器破裂或人为操作失误导致装卸或储存过程发生泄漏，可能对土壤、地下水和地表水造成一定污染。因此，应对危险废物设置专用的存储设施，使用符合标准的容器盛装危险废物，装载危险废物的容器及材质要满足相应的强度要求，危险废物贮存设施地面要用坚固、防渗的材料建造，必须有泄漏液体收集装置；必须做好基础防渗，防渗层为至少1米厚粘土层（渗透系数≤10</w:t>
            </w:r>
            <w:r>
              <w:rPr>
                <w:rFonts w:eastAsiaTheme="minorEastAsia"/>
                <w:bCs/>
                <w:kern w:val="2"/>
                <w:vertAlign w:val="superscript"/>
              </w:rPr>
              <w:t>-7</w:t>
            </w:r>
            <w:r>
              <w:rPr>
                <w:rFonts w:eastAsiaTheme="minorEastAsia"/>
                <w:bCs/>
                <w:kern w:val="2"/>
              </w:rPr>
              <w:t>厘米/秒），或2毫米厚高密度聚乙烯，或至少2毫米厚的其它人工材料，渗透系数≤10</w:t>
            </w:r>
            <w:r>
              <w:rPr>
                <w:rFonts w:eastAsiaTheme="minorEastAsia"/>
                <w:bCs/>
                <w:kern w:val="2"/>
                <w:vertAlign w:val="superscript"/>
              </w:rPr>
              <w:t>-10</w:t>
            </w:r>
            <w:r>
              <w:rPr>
                <w:rFonts w:eastAsiaTheme="minorEastAsia"/>
                <w:bCs/>
                <w:kern w:val="2"/>
              </w:rPr>
              <w:t>厘米/秒；危险废物暂存间要做到防风、防雨、防晒；记录危险废物情况，记录上须注明危险废物的名称、来源、数量、特性和包装容器的类别、入库日期、存放库位、废物出库日期及接收单位名称，对所贮存的危险废物包装容器及储存设施进行检查，发现破损，应及时采取措施清理更换；确保收集所有危险废物，并委托具有相应资质的危险废物处理单位对各种危废进行收集，确保危险废物得到妥善处置。</w:t>
            </w:r>
          </w:p>
          <w:p w14:paraId="63E39A30">
            <w:pPr>
              <w:ind w:firstLine="480"/>
              <w:rPr>
                <w:rFonts w:eastAsiaTheme="minorEastAsia"/>
                <w:bCs/>
                <w:kern w:val="2"/>
              </w:rPr>
            </w:pPr>
            <w:r>
              <w:rPr>
                <w:rFonts w:eastAsiaTheme="minorEastAsia"/>
                <w:bCs/>
                <w:kern w:val="2"/>
              </w:rPr>
              <w:t>3.废气处理设施故障环境风险防控措施</w:t>
            </w:r>
          </w:p>
          <w:p w14:paraId="2D9EFE07">
            <w:pPr>
              <w:ind w:firstLine="480"/>
              <w:rPr>
                <w:rFonts w:eastAsiaTheme="minorEastAsia"/>
                <w:bCs/>
                <w:kern w:val="2"/>
              </w:rPr>
            </w:pPr>
            <w:r>
              <w:rPr>
                <w:rFonts w:eastAsiaTheme="minorEastAsia"/>
                <w:bCs/>
                <w:kern w:val="2"/>
              </w:rPr>
              <w:t>当废气治理设施出现故障，不能正常运行时，导致废气未经有效处理直接排放到大气环境中，不能达到排放标准要求，将会对项目所在地的局部大气环境造成较重的影响。因此，废气装置若出现故障，应该马上停止相应的生产工序，直至检修合格，可正常运行时方可作业。</w:t>
            </w:r>
          </w:p>
          <w:p w14:paraId="47841D2C">
            <w:pPr>
              <w:ind w:firstLine="480"/>
              <w:rPr>
                <w:rFonts w:eastAsiaTheme="minorEastAsia"/>
                <w:bCs/>
                <w:kern w:val="2"/>
              </w:rPr>
            </w:pPr>
            <w:r>
              <w:rPr>
                <w:rFonts w:eastAsiaTheme="minorEastAsia"/>
                <w:bCs/>
                <w:kern w:val="2"/>
              </w:rPr>
              <w:t>在采取有效的风险防范措施后，项目环境风险水平可以接受。</w:t>
            </w:r>
          </w:p>
          <w:p w14:paraId="325FF787">
            <w:pPr>
              <w:ind w:firstLine="480"/>
              <w:rPr>
                <w:rFonts w:eastAsiaTheme="minorEastAsia"/>
                <w:bCs/>
                <w:kern w:val="2"/>
              </w:rPr>
            </w:pPr>
            <w:r>
              <w:rPr>
                <w:rFonts w:eastAsiaTheme="minorEastAsia"/>
                <w:bCs/>
                <w:kern w:val="2"/>
              </w:rPr>
              <w:t>（八）电磁辐射境影响分析</w:t>
            </w:r>
          </w:p>
          <w:p w14:paraId="5CCD30CC">
            <w:pPr>
              <w:ind w:firstLine="480"/>
              <w:rPr>
                <w:rFonts w:eastAsiaTheme="minorEastAsia"/>
                <w:bCs/>
                <w:kern w:val="2"/>
              </w:rPr>
            </w:pPr>
            <w:r>
              <w:rPr>
                <w:rFonts w:eastAsiaTheme="minorEastAsia"/>
                <w:bCs/>
                <w:kern w:val="2"/>
              </w:rPr>
              <w:t>本项目不存在电磁辐射影响。</w:t>
            </w:r>
          </w:p>
        </w:tc>
      </w:tr>
    </w:tbl>
    <w:p w14:paraId="52B52B73">
      <w:pPr>
        <w:adjustRightInd/>
        <w:snapToGrid/>
        <w:ind w:firstLine="420"/>
        <w:jc w:val="center"/>
        <w:rPr>
          <w:rFonts w:asciiTheme="majorBidi" w:hAnsiTheme="majorBidi" w:eastAsiaTheme="minorEastAsia" w:cstheme="majorBidi"/>
          <w:color w:val="000000" w:themeColor="text1"/>
          <w:kern w:val="2"/>
          <w:sz w:val="21"/>
          <w14:textFill>
            <w14:solidFill>
              <w14:schemeClr w14:val="tx1"/>
            </w14:solidFill>
          </w14:textFill>
        </w:rPr>
      </w:pPr>
    </w:p>
    <w:p w14:paraId="0471E0BA">
      <w:pPr>
        <w:ind w:firstLine="600"/>
        <w:jc w:val="center"/>
        <w:outlineLvl w:val="0"/>
        <w:rPr>
          <w:rFonts w:asciiTheme="majorBidi" w:hAnsiTheme="majorBidi" w:eastAsiaTheme="minorEastAsia" w:cstheme="majorBidi"/>
          <w:snapToGrid w:val="0"/>
          <w:color w:val="000000" w:themeColor="text1"/>
          <w:sz w:val="30"/>
          <w:szCs w:val="30"/>
          <w14:textFill>
            <w14:solidFill>
              <w14:schemeClr w14:val="tx1"/>
            </w14:solidFill>
          </w14:textFill>
        </w:rPr>
        <w:sectPr>
          <w:pgSz w:w="11906" w:h="16838"/>
          <w:pgMar w:top="1440" w:right="1080" w:bottom="1440" w:left="1080" w:header="708" w:footer="708" w:gutter="0"/>
          <w:cols w:space="708" w:num="1"/>
          <w:docGrid w:linePitch="360" w:charSpace="0"/>
        </w:sectPr>
      </w:pPr>
    </w:p>
    <w:p w14:paraId="3136AE32">
      <w:pPr>
        <w:ind w:firstLine="602"/>
        <w:jc w:val="center"/>
        <w:outlineLvl w:val="0"/>
        <w:rPr>
          <w:rFonts w:asciiTheme="majorBidi" w:hAnsiTheme="majorBidi" w:eastAsiaTheme="minorEastAsia" w:cstheme="majorBidi"/>
          <w:b/>
          <w:bCs/>
          <w:snapToGrid w:val="0"/>
          <w:color w:val="000000" w:themeColor="text1"/>
          <w:sz w:val="30"/>
          <w:szCs w:val="30"/>
          <w14:textFill>
            <w14:solidFill>
              <w14:schemeClr w14:val="tx1"/>
            </w14:solidFill>
          </w14:textFill>
        </w:rPr>
      </w:pPr>
      <w:bookmarkStart w:id="14" w:name="_Toc200987723"/>
      <w:bookmarkStart w:id="15" w:name="_Toc199146998"/>
      <w:r>
        <w:rPr>
          <w:rFonts w:asciiTheme="majorBidi" w:hAnsiTheme="majorBidi" w:eastAsiaTheme="minorEastAsia" w:cstheme="majorBidi"/>
          <w:b/>
          <w:bCs/>
          <w:snapToGrid w:val="0"/>
          <w:color w:val="000000" w:themeColor="text1"/>
          <w:sz w:val="30"/>
          <w:szCs w:val="30"/>
          <w14:textFill>
            <w14:solidFill>
              <w14:schemeClr w14:val="tx1"/>
            </w14:solidFill>
          </w14:textFill>
        </w:rPr>
        <w:t>五、</w:t>
      </w:r>
      <w:bookmarkStart w:id="16" w:name="_Hlk54167917"/>
      <w:r>
        <w:rPr>
          <w:rFonts w:asciiTheme="majorBidi" w:hAnsiTheme="majorBidi" w:eastAsiaTheme="minorEastAsia" w:cstheme="majorBidi"/>
          <w:b/>
          <w:bCs/>
          <w:snapToGrid w:val="0"/>
          <w:color w:val="000000" w:themeColor="text1"/>
          <w:sz w:val="30"/>
          <w:szCs w:val="30"/>
          <w14:textFill>
            <w14:solidFill>
              <w14:schemeClr w14:val="tx1"/>
            </w14:solidFill>
          </w14:textFill>
        </w:rPr>
        <w:t>环境保护措施监督检查清单</w:t>
      </w:r>
      <w:bookmarkEnd w:id="14"/>
      <w:bookmarkEnd w:id="15"/>
      <w:bookmarkEnd w:id="16"/>
    </w:p>
    <w:tbl>
      <w:tblPr>
        <w:tblStyle w:val="21"/>
        <w:tblW w:w="4967" w:type="pct"/>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autofit"/>
        <w:tblCellMar>
          <w:top w:w="0" w:type="dxa"/>
          <w:left w:w="28" w:type="dxa"/>
          <w:bottom w:w="0" w:type="dxa"/>
          <w:right w:w="28" w:type="dxa"/>
        </w:tblCellMar>
      </w:tblPr>
      <w:tblGrid>
        <w:gridCol w:w="967"/>
        <w:gridCol w:w="1452"/>
        <w:gridCol w:w="1265"/>
        <w:gridCol w:w="1252"/>
        <w:gridCol w:w="185"/>
        <w:gridCol w:w="4486"/>
        <w:gridCol w:w="23"/>
      </w:tblGrid>
      <w:tr w14:paraId="20BF731E">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gridAfter w:val="1"/>
          <w:wAfter w:w="12" w:type="pct"/>
          <w:trHeight w:val="677" w:hRule="atLeast"/>
          <w:jc w:val="center"/>
        </w:trPr>
        <w:tc>
          <w:tcPr>
            <w:tcW w:w="502" w:type="pct"/>
            <w:tcBorders>
              <w:tl2br w:val="single" w:color="auto" w:sz="4" w:space="0"/>
            </w:tcBorders>
            <w:vAlign w:val="center"/>
          </w:tcPr>
          <w:p w14:paraId="19C57056">
            <w:pPr>
              <w:pStyle w:val="10"/>
              <w:spacing w:before="48"/>
              <w:jc w:val="right"/>
              <w:rPr>
                <w:szCs w:val="24"/>
              </w:rPr>
            </w:pPr>
            <w:r>
              <w:rPr>
                <w:szCs w:val="24"/>
              </w:rPr>
              <w:t>内容</w:t>
            </w:r>
          </w:p>
          <w:p w14:paraId="46734140">
            <w:pPr>
              <w:pStyle w:val="10"/>
              <w:spacing w:before="48"/>
              <w:jc w:val="left"/>
              <w:rPr>
                <w:szCs w:val="24"/>
              </w:rPr>
            </w:pPr>
            <w:r>
              <w:rPr>
                <w:szCs w:val="24"/>
              </w:rPr>
              <w:t>要素</w:t>
            </w:r>
          </w:p>
        </w:tc>
        <w:tc>
          <w:tcPr>
            <w:tcW w:w="754" w:type="pct"/>
            <w:vAlign w:val="center"/>
          </w:tcPr>
          <w:p w14:paraId="2AC0B953">
            <w:pPr>
              <w:pStyle w:val="10"/>
              <w:spacing w:before="48"/>
              <w:rPr>
                <w:szCs w:val="24"/>
              </w:rPr>
            </w:pPr>
            <w:r>
              <w:rPr>
                <w:szCs w:val="24"/>
              </w:rPr>
              <w:t>排放口（编号、名称）/污染源</w:t>
            </w:r>
          </w:p>
        </w:tc>
        <w:tc>
          <w:tcPr>
            <w:tcW w:w="657" w:type="pct"/>
            <w:vAlign w:val="center"/>
          </w:tcPr>
          <w:p w14:paraId="3E927E64">
            <w:pPr>
              <w:pStyle w:val="10"/>
              <w:spacing w:before="48"/>
              <w:rPr>
                <w:szCs w:val="24"/>
              </w:rPr>
            </w:pPr>
            <w:r>
              <w:rPr>
                <w:szCs w:val="24"/>
              </w:rPr>
              <w:t>污染物</w:t>
            </w:r>
          </w:p>
          <w:p w14:paraId="1507A8FC">
            <w:pPr>
              <w:pStyle w:val="10"/>
              <w:spacing w:before="48"/>
              <w:rPr>
                <w:szCs w:val="24"/>
              </w:rPr>
            </w:pPr>
            <w:r>
              <w:rPr>
                <w:szCs w:val="24"/>
              </w:rPr>
              <w:t>项目</w:t>
            </w:r>
          </w:p>
        </w:tc>
        <w:tc>
          <w:tcPr>
            <w:tcW w:w="650" w:type="pct"/>
            <w:vAlign w:val="center"/>
          </w:tcPr>
          <w:p w14:paraId="61EA792D">
            <w:pPr>
              <w:pStyle w:val="10"/>
              <w:spacing w:before="48"/>
              <w:rPr>
                <w:szCs w:val="24"/>
              </w:rPr>
            </w:pPr>
            <w:r>
              <w:rPr>
                <w:szCs w:val="24"/>
              </w:rPr>
              <w:t>环境保护措施</w:t>
            </w:r>
          </w:p>
        </w:tc>
        <w:tc>
          <w:tcPr>
            <w:tcW w:w="2425" w:type="pct"/>
            <w:gridSpan w:val="2"/>
            <w:vAlign w:val="center"/>
          </w:tcPr>
          <w:p w14:paraId="7B37A4F0">
            <w:pPr>
              <w:pStyle w:val="10"/>
              <w:spacing w:before="48"/>
              <w:rPr>
                <w:szCs w:val="24"/>
              </w:rPr>
            </w:pPr>
            <w:r>
              <w:rPr>
                <w:szCs w:val="24"/>
              </w:rPr>
              <w:t>执行标准</w:t>
            </w:r>
          </w:p>
        </w:tc>
      </w:tr>
      <w:tr w14:paraId="237E5606">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gridAfter w:val="1"/>
          <w:wAfter w:w="12" w:type="pct"/>
          <w:trHeight w:val="340" w:hRule="atLeast"/>
          <w:jc w:val="center"/>
        </w:trPr>
        <w:tc>
          <w:tcPr>
            <w:tcW w:w="502" w:type="pct"/>
            <w:vMerge w:val="restart"/>
            <w:vAlign w:val="center"/>
          </w:tcPr>
          <w:p w14:paraId="6BAFF6F9">
            <w:pPr>
              <w:pStyle w:val="10"/>
              <w:spacing w:before="48"/>
              <w:rPr>
                <w:szCs w:val="24"/>
              </w:rPr>
            </w:pPr>
            <w:r>
              <w:rPr>
                <w:szCs w:val="24"/>
              </w:rPr>
              <w:t>大气环境</w:t>
            </w:r>
          </w:p>
        </w:tc>
        <w:tc>
          <w:tcPr>
            <w:tcW w:w="754" w:type="pct"/>
            <w:vMerge w:val="restart"/>
            <w:vAlign w:val="center"/>
          </w:tcPr>
          <w:p w14:paraId="58A2ADAF">
            <w:pPr>
              <w:pStyle w:val="10"/>
              <w:spacing w:before="48"/>
              <w:rPr>
                <w:szCs w:val="24"/>
              </w:rPr>
            </w:pPr>
            <w:r>
              <w:rPr>
                <w:szCs w:val="24"/>
              </w:rPr>
              <w:t>DA001</w:t>
            </w:r>
          </w:p>
        </w:tc>
        <w:tc>
          <w:tcPr>
            <w:tcW w:w="657" w:type="pct"/>
            <w:vAlign w:val="center"/>
          </w:tcPr>
          <w:p w14:paraId="73EDFCE5">
            <w:pPr>
              <w:pStyle w:val="10"/>
              <w:spacing w:before="48"/>
              <w:rPr>
                <w:szCs w:val="24"/>
              </w:rPr>
            </w:pPr>
            <w:r>
              <w:rPr>
                <w:szCs w:val="24"/>
              </w:rPr>
              <w:t>颗粒物</w:t>
            </w:r>
          </w:p>
        </w:tc>
        <w:tc>
          <w:tcPr>
            <w:tcW w:w="650" w:type="pct"/>
            <w:vMerge w:val="restart"/>
            <w:vAlign w:val="center"/>
          </w:tcPr>
          <w:p w14:paraId="0C0BD3BB">
            <w:pPr>
              <w:pStyle w:val="10"/>
              <w:spacing w:before="48"/>
              <w:rPr>
                <w:szCs w:val="24"/>
              </w:rPr>
            </w:pPr>
            <w:r>
              <w:rPr>
                <w:rFonts w:ascii="宋体" w:hAnsi="宋体"/>
                <w:szCs w:val="24"/>
              </w:rPr>
              <w:t>“</w:t>
            </w:r>
            <w:r>
              <w:rPr>
                <w:szCs w:val="24"/>
              </w:rPr>
              <w:t>水喷淋+干式过滤+二级活性炭吸附</w:t>
            </w:r>
            <w:r>
              <w:rPr>
                <w:rFonts w:ascii="宋体" w:hAnsi="宋体"/>
                <w:szCs w:val="24"/>
              </w:rPr>
              <w:t>”</w:t>
            </w:r>
            <w:r>
              <w:rPr>
                <w:szCs w:val="24"/>
              </w:rPr>
              <w:t>+1根65米排气筒（DA001）排放</w:t>
            </w:r>
          </w:p>
        </w:tc>
        <w:tc>
          <w:tcPr>
            <w:tcW w:w="2425" w:type="pct"/>
            <w:gridSpan w:val="2"/>
            <w:vAlign w:val="center"/>
          </w:tcPr>
          <w:p w14:paraId="3CC66E32">
            <w:pPr>
              <w:pStyle w:val="10"/>
              <w:spacing w:before="48"/>
              <w:rPr>
                <w:szCs w:val="24"/>
              </w:rPr>
            </w:pPr>
            <w:r>
              <w:rPr>
                <w:szCs w:val="24"/>
              </w:rPr>
              <w:t>广东省《大气污染物排放限值》（DB44/27-2001）第二时段二级标准</w:t>
            </w:r>
            <w:r>
              <w:rPr>
                <w:rFonts w:hint="eastAsia" w:asciiTheme="majorBidi" w:hAnsiTheme="majorBidi" w:eastAsiaTheme="minorEastAsia" w:cstheme="majorBidi"/>
                <w:color w:val="EE0000"/>
                <w:szCs w:val="24"/>
              </w:rPr>
              <w:t>（排放速率按照标准限值50%执行）</w:t>
            </w:r>
          </w:p>
        </w:tc>
      </w:tr>
      <w:tr w14:paraId="05B8DBD0">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gridAfter w:val="1"/>
          <w:wAfter w:w="12" w:type="pct"/>
          <w:trHeight w:val="340" w:hRule="atLeast"/>
          <w:jc w:val="center"/>
        </w:trPr>
        <w:tc>
          <w:tcPr>
            <w:tcW w:w="502" w:type="pct"/>
            <w:vMerge w:val="continue"/>
            <w:vAlign w:val="center"/>
          </w:tcPr>
          <w:p w14:paraId="3D902D25">
            <w:pPr>
              <w:pStyle w:val="10"/>
              <w:spacing w:before="48"/>
              <w:rPr>
                <w:szCs w:val="24"/>
              </w:rPr>
            </w:pPr>
          </w:p>
        </w:tc>
        <w:tc>
          <w:tcPr>
            <w:tcW w:w="754" w:type="pct"/>
            <w:vMerge w:val="continue"/>
            <w:vAlign w:val="center"/>
          </w:tcPr>
          <w:p w14:paraId="5F20B25E">
            <w:pPr>
              <w:pStyle w:val="10"/>
              <w:spacing w:before="48"/>
              <w:rPr>
                <w:szCs w:val="24"/>
              </w:rPr>
            </w:pPr>
          </w:p>
        </w:tc>
        <w:tc>
          <w:tcPr>
            <w:tcW w:w="657" w:type="pct"/>
            <w:vAlign w:val="center"/>
          </w:tcPr>
          <w:p w14:paraId="04679665">
            <w:pPr>
              <w:pStyle w:val="10"/>
              <w:spacing w:before="48"/>
              <w:rPr>
                <w:szCs w:val="24"/>
                <w:highlight w:val="green"/>
              </w:rPr>
            </w:pPr>
            <w:r>
              <w:rPr>
                <w:rFonts w:asciiTheme="majorBidi" w:hAnsiTheme="majorBidi" w:eastAsiaTheme="minorEastAsia" w:cstheme="majorBidi"/>
                <w:color w:val="000000" w:themeColor="text1"/>
                <w:szCs w:val="24"/>
                <w14:textFill>
                  <w14:solidFill>
                    <w14:schemeClr w14:val="tx1"/>
                  </w14:solidFill>
                </w14:textFill>
              </w:rPr>
              <w:t>总VOCs</w:t>
            </w:r>
          </w:p>
        </w:tc>
        <w:tc>
          <w:tcPr>
            <w:tcW w:w="650" w:type="pct"/>
            <w:vMerge w:val="continue"/>
            <w:vAlign w:val="center"/>
          </w:tcPr>
          <w:p w14:paraId="150156CB">
            <w:pPr>
              <w:pStyle w:val="10"/>
              <w:spacing w:before="48"/>
              <w:rPr>
                <w:szCs w:val="24"/>
                <w:highlight w:val="green"/>
              </w:rPr>
            </w:pPr>
          </w:p>
        </w:tc>
        <w:tc>
          <w:tcPr>
            <w:tcW w:w="2425" w:type="pct"/>
            <w:gridSpan w:val="2"/>
            <w:vAlign w:val="center"/>
          </w:tcPr>
          <w:p w14:paraId="6F6B62C4">
            <w:pPr>
              <w:pStyle w:val="10"/>
              <w:spacing w:before="48"/>
              <w:rPr>
                <w:szCs w:val="24"/>
                <w:highlight w:val="green"/>
              </w:rPr>
            </w:pPr>
            <w:r>
              <w:rPr>
                <w:szCs w:val="24"/>
              </w:rPr>
              <w:t>广东省</w:t>
            </w:r>
            <w:r>
              <w:rPr>
                <w:rFonts w:asciiTheme="majorBidi" w:hAnsiTheme="majorBidi" w:eastAsiaTheme="minorEastAsia" w:cstheme="majorBidi"/>
                <w:color w:val="000000" w:themeColor="text1"/>
                <w:szCs w:val="24"/>
                <w14:textFill>
                  <w14:solidFill>
                    <w14:schemeClr w14:val="tx1"/>
                  </w14:solidFill>
                </w14:textFill>
              </w:rPr>
              <w:t>《印刷行业挥发性有机化合物排放标准》（DB44/815-2010）中凹版印刷、凸版印刷、丝网印刷、平版印刷（以金属、陶瓷、玻璃为承印物的平 版印刷）Ⅱ时段排放浓度限值</w:t>
            </w:r>
            <w:r>
              <w:rPr>
                <w:rFonts w:hint="eastAsia" w:asciiTheme="majorBidi" w:hAnsiTheme="majorBidi" w:eastAsiaTheme="minorEastAsia" w:cstheme="majorBidi"/>
                <w:color w:val="EE0000"/>
                <w:szCs w:val="24"/>
              </w:rPr>
              <w:t>（排放速率按照标准限值50%执行）</w:t>
            </w:r>
          </w:p>
        </w:tc>
      </w:tr>
      <w:tr w14:paraId="5F444FF9">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gridAfter w:val="1"/>
          <w:wAfter w:w="12" w:type="pct"/>
          <w:trHeight w:val="340" w:hRule="atLeast"/>
          <w:jc w:val="center"/>
        </w:trPr>
        <w:tc>
          <w:tcPr>
            <w:tcW w:w="502" w:type="pct"/>
            <w:vMerge w:val="continue"/>
            <w:vAlign w:val="center"/>
          </w:tcPr>
          <w:p w14:paraId="7F1F9C00">
            <w:pPr>
              <w:pStyle w:val="10"/>
              <w:spacing w:before="48"/>
              <w:rPr>
                <w:szCs w:val="24"/>
              </w:rPr>
            </w:pPr>
          </w:p>
        </w:tc>
        <w:tc>
          <w:tcPr>
            <w:tcW w:w="754" w:type="pct"/>
            <w:vMerge w:val="continue"/>
            <w:vAlign w:val="center"/>
          </w:tcPr>
          <w:p w14:paraId="7AB0B7F6">
            <w:pPr>
              <w:pStyle w:val="10"/>
              <w:spacing w:before="48"/>
              <w:rPr>
                <w:szCs w:val="24"/>
              </w:rPr>
            </w:pPr>
          </w:p>
        </w:tc>
        <w:tc>
          <w:tcPr>
            <w:tcW w:w="657" w:type="pct"/>
            <w:vAlign w:val="center"/>
          </w:tcPr>
          <w:p w14:paraId="688E6442">
            <w:pPr>
              <w:pStyle w:val="10"/>
              <w:spacing w:before="48"/>
              <w:rPr>
                <w:rFonts w:asciiTheme="majorBidi" w:hAnsiTheme="majorBidi" w:eastAsiaTheme="minorEastAsia" w:cstheme="majorBidi"/>
                <w:color w:val="EE0000"/>
                <w:szCs w:val="24"/>
              </w:rPr>
            </w:pPr>
            <w:r>
              <w:rPr>
                <w:rFonts w:hint="eastAsia" w:asciiTheme="majorBidi" w:hAnsiTheme="majorBidi" w:eastAsiaTheme="minorEastAsia" w:cstheme="majorBidi"/>
                <w:color w:val="EE0000"/>
                <w:szCs w:val="24"/>
              </w:rPr>
              <w:t>TVOC</w:t>
            </w:r>
          </w:p>
        </w:tc>
        <w:tc>
          <w:tcPr>
            <w:tcW w:w="650" w:type="pct"/>
            <w:vMerge w:val="continue"/>
            <w:vAlign w:val="center"/>
          </w:tcPr>
          <w:p w14:paraId="39A9169D">
            <w:pPr>
              <w:pStyle w:val="10"/>
              <w:spacing w:before="48"/>
              <w:rPr>
                <w:color w:val="EE0000"/>
                <w:szCs w:val="24"/>
                <w:highlight w:val="green"/>
              </w:rPr>
            </w:pPr>
          </w:p>
        </w:tc>
        <w:tc>
          <w:tcPr>
            <w:tcW w:w="2425" w:type="pct"/>
            <w:gridSpan w:val="2"/>
            <w:vAlign w:val="center"/>
          </w:tcPr>
          <w:p w14:paraId="26D54853">
            <w:pPr>
              <w:pStyle w:val="10"/>
              <w:spacing w:before="48"/>
              <w:rPr>
                <w:rFonts w:asciiTheme="majorBidi" w:hAnsiTheme="majorBidi" w:eastAsiaTheme="minorEastAsia" w:cstheme="majorBidi"/>
                <w:color w:val="EE0000"/>
                <w:szCs w:val="24"/>
              </w:rPr>
            </w:pPr>
            <w:r>
              <w:rPr>
                <w:rFonts w:asciiTheme="majorBidi" w:hAnsiTheme="majorBidi" w:eastAsiaTheme="minorEastAsia" w:cstheme="majorBidi"/>
                <w:color w:val="EE0000"/>
                <w:szCs w:val="24"/>
              </w:rPr>
              <w:t>《固定污染源挥发性有机物综合排放标准》（DB44/2367-2022）表1限值</w:t>
            </w:r>
          </w:p>
        </w:tc>
      </w:tr>
      <w:tr w14:paraId="06C0869E">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gridAfter w:val="1"/>
          <w:wAfter w:w="12" w:type="pct"/>
          <w:trHeight w:val="340" w:hRule="atLeast"/>
          <w:jc w:val="center"/>
        </w:trPr>
        <w:tc>
          <w:tcPr>
            <w:tcW w:w="502" w:type="pct"/>
            <w:vMerge w:val="continue"/>
            <w:vAlign w:val="center"/>
          </w:tcPr>
          <w:p w14:paraId="40B6E033">
            <w:pPr>
              <w:pStyle w:val="10"/>
              <w:spacing w:before="48"/>
              <w:rPr>
                <w:szCs w:val="24"/>
              </w:rPr>
            </w:pPr>
          </w:p>
        </w:tc>
        <w:tc>
          <w:tcPr>
            <w:tcW w:w="754" w:type="pct"/>
            <w:vMerge w:val="continue"/>
            <w:vAlign w:val="center"/>
          </w:tcPr>
          <w:p w14:paraId="42C3CAF6">
            <w:pPr>
              <w:pStyle w:val="10"/>
              <w:spacing w:before="48"/>
              <w:rPr>
                <w:szCs w:val="24"/>
              </w:rPr>
            </w:pPr>
          </w:p>
        </w:tc>
        <w:tc>
          <w:tcPr>
            <w:tcW w:w="657" w:type="pct"/>
            <w:vAlign w:val="center"/>
          </w:tcPr>
          <w:p w14:paraId="6C4E0F50">
            <w:pPr>
              <w:pStyle w:val="10"/>
              <w:spacing w:before="48"/>
              <w:rPr>
                <w:szCs w:val="24"/>
                <w:highlight w:val="green"/>
              </w:rPr>
            </w:pPr>
            <w:r>
              <w:rPr>
                <w:rFonts w:asciiTheme="majorBidi" w:hAnsiTheme="majorBidi" w:eastAsiaTheme="minorEastAsia" w:cstheme="majorBidi"/>
                <w:color w:val="000000" w:themeColor="text1"/>
                <w:szCs w:val="24"/>
                <w14:textFill>
                  <w14:solidFill>
                    <w14:schemeClr w14:val="tx1"/>
                  </w14:solidFill>
                </w14:textFill>
              </w:rPr>
              <w:t>非甲烷总烃</w:t>
            </w:r>
          </w:p>
        </w:tc>
        <w:tc>
          <w:tcPr>
            <w:tcW w:w="650" w:type="pct"/>
            <w:vMerge w:val="continue"/>
            <w:vAlign w:val="center"/>
          </w:tcPr>
          <w:p w14:paraId="09AE6900">
            <w:pPr>
              <w:pStyle w:val="10"/>
              <w:spacing w:before="48"/>
              <w:rPr>
                <w:szCs w:val="24"/>
                <w:highlight w:val="green"/>
              </w:rPr>
            </w:pPr>
          </w:p>
        </w:tc>
        <w:tc>
          <w:tcPr>
            <w:tcW w:w="2425" w:type="pct"/>
            <w:gridSpan w:val="2"/>
            <w:vAlign w:val="center"/>
          </w:tcPr>
          <w:p w14:paraId="02FEDF13">
            <w:pPr>
              <w:pStyle w:val="10"/>
              <w:spacing w:before="48"/>
              <w:rPr>
                <w:szCs w:val="24"/>
                <w:highlight w:val="green"/>
              </w:rPr>
            </w:pPr>
            <w:r>
              <w:rPr>
                <w:rFonts w:asciiTheme="majorBidi" w:hAnsiTheme="majorBidi" w:eastAsiaTheme="minorEastAsia" w:cstheme="majorBidi"/>
                <w:color w:val="000000" w:themeColor="text1"/>
                <w:szCs w:val="24"/>
                <w14:textFill>
                  <w14:solidFill>
                    <w14:schemeClr w14:val="tx1"/>
                  </w14:solidFill>
                </w14:textFill>
              </w:rPr>
              <w:t>《合成树脂工业污染物排放标准》(GB31572-2015)中表5排放限值、《固定污染源挥发性有机物综合排放标准》（DB44/2367-2022）表1限值及《印刷工业大气污染物排放标准》(GB41616-2022)中的表1大气污染物排放限值的较严者值</w:t>
            </w:r>
          </w:p>
        </w:tc>
      </w:tr>
      <w:tr w14:paraId="48C9F382">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gridAfter w:val="1"/>
          <w:wAfter w:w="12" w:type="pct"/>
          <w:trHeight w:val="340" w:hRule="atLeast"/>
          <w:jc w:val="center"/>
        </w:trPr>
        <w:tc>
          <w:tcPr>
            <w:tcW w:w="502" w:type="pct"/>
            <w:vMerge w:val="continue"/>
            <w:vAlign w:val="center"/>
          </w:tcPr>
          <w:p w14:paraId="561174FF">
            <w:pPr>
              <w:pStyle w:val="10"/>
              <w:spacing w:before="48"/>
              <w:rPr>
                <w:szCs w:val="24"/>
              </w:rPr>
            </w:pPr>
          </w:p>
        </w:tc>
        <w:tc>
          <w:tcPr>
            <w:tcW w:w="754" w:type="pct"/>
            <w:vMerge w:val="continue"/>
            <w:vAlign w:val="center"/>
          </w:tcPr>
          <w:p w14:paraId="76C23B37">
            <w:pPr>
              <w:pStyle w:val="10"/>
              <w:spacing w:before="48"/>
              <w:rPr>
                <w:szCs w:val="24"/>
              </w:rPr>
            </w:pPr>
          </w:p>
        </w:tc>
        <w:tc>
          <w:tcPr>
            <w:tcW w:w="657" w:type="pct"/>
            <w:vAlign w:val="center"/>
          </w:tcPr>
          <w:p w14:paraId="1466B25B">
            <w:pPr>
              <w:pStyle w:val="10"/>
              <w:spacing w:before="48"/>
              <w:rPr>
                <w:szCs w:val="24"/>
              </w:rPr>
            </w:pPr>
            <w:r>
              <w:rPr>
                <w:szCs w:val="24"/>
              </w:rPr>
              <w:t>苯乙烯</w:t>
            </w:r>
          </w:p>
        </w:tc>
        <w:tc>
          <w:tcPr>
            <w:tcW w:w="650" w:type="pct"/>
            <w:vMerge w:val="continue"/>
            <w:vAlign w:val="center"/>
          </w:tcPr>
          <w:p w14:paraId="42D50CD3">
            <w:pPr>
              <w:pStyle w:val="10"/>
              <w:spacing w:before="48"/>
              <w:rPr>
                <w:szCs w:val="24"/>
              </w:rPr>
            </w:pPr>
          </w:p>
        </w:tc>
        <w:tc>
          <w:tcPr>
            <w:tcW w:w="2425" w:type="pct"/>
            <w:gridSpan w:val="2"/>
            <w:vMerge w:val="restart"/>
            <w:vAlign w:val="center"/>
          </w:tcPr>
          <w:p w14:paraId="0259C43C">
            <w:pPr>
              <w:pStyle w:val="10"/>
              <w:spacing w:before="48"/>
              <w:rPr>
                <w:szCs w:val="24"/>
              </w:rPr>
            </w:pPr>
            <w:r>
              <w:rPr>
                <w:rFonts w:hint="eastAsia"/>
                <w:color w:val="EE0000"/>
                <w:szCs w:val="24"/>
              </w:rPr>
              <w:t>《合成树脂工业污染物排放标准》(GB31572-2015，含2024年修改单)</w:t>
            </w:r>
            <w:r>
              <w:rPr>
                <w:szCs w:val="24"/>
              </w:rPr>
              <w:t>中表5大气污染物特别排放限值</w:t>
            </w:r>
          </w:p>
        </w:tc>
      </w:tr>
      <w:tr w14:paraId="06CE2D4D">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gridAfter w:val="1"/>
          <w:wAfter w:w="12" w:type="pct"/>
          <w:trHeight w:val="340" w:hRule="atLeast"/>
          <w:jc w:val="center"/>
        </w:trPr>
        <w:tc>
          <w:tcPr>
            <w:tcW w:w="502" w:type="pct"/>
            <w:vMerge w:val="continue"/>
            <w:vAlign w:val="center"/>
          </w:tcPr>
          <w:p w14:paraId="45F377BD">
            <w:pPr>
              <w:pStyle w:val="10"/>
              <w:spacing w:before="48"/>
              <w:rPr>
                <w:szCs w:val="24"/>
              </w:rPr>
            </w:pPr>
          </w:p>
        </w:tc>
        <w:tc>
          <w:tcPr>
            <w:tcW w:w="754" w:type="pct"/>
            <w:vMerge w:val="continue"/>
            <w:vAlign w:val="center"/>
          </w:tcPr>
          <w:p w14:paraId="28456002">
            <w:pPr>
              <w:pStyle w:val="10"/>
              <w:spacing w:before="48"/>
              <w:rPr>
                <w:szCs w:val="24"/>
              </w:rPr>
            </w:pPr>
          </w:p>
        </w:tc>
        <w:tc>
          <w:tcPr>
            <w:tcW w:w="657" w:type="pct"/>
            <w:vAlign w:val="center"/>
          </w:tcPr>
          <w:p w14:paraId="0880F81C">
            <w:pPr>
              <w:pStyle w:val="10"/>
              <w:spacing w:before="48"/>
              <w:rPr>
                <w:szCs w:val="24"/>
              </w:rPr>
            </w:pPr>
            <w:r>
              <w:rPr>
                <w:szCs w:val="24"/>
              </w:rPr>
              <w:t>丙烯腈</w:t>
            </w:r>
          </w:p>
        </w:tc>
        <w:tc>
          <w:tcPr>
            <w:tcW w:w="650" w:type="pct"/>
            <w:vMerge w:val="continue"/>
            <w:vAlign w:val="center"/>
          </w:tcPr>
          <w:p w14:paraId="56BAF34E">
            <w:pPr>
              <w:pStyle w:val="10"/>
              <w:spacing w:before="48"/>
              <w:rPr>
                <w:szCs w:val="24"/>
              </w:rPr>
            </w:pPr>
          </w:p>
        </w:tc>
        <w:tc>
          <w:tcPr>
            <w:tcW w:w="2425" w:type="pct"/>
            <w:gridSpan w:val="2"/>
            <w:vMerge w:val="continue"/>
            <w:vAlign w:val="center"/>
          </w:tcPr>
          <w:p w14:paraId="5D14ECD2">
            <w:pPr>
              <w:pStyle w:val="10"/>
              <w:spacing w:before="48"/>
              <w:rPr>
                <w:szCs w:val="24"/>
              </w:rPr>
            </w:pPr>
          </w:p>
        </w:tc>
      </w:tr>
      <w:tr w14:paraId="1AD803C8">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gridAfter w:val="1"/>
          <w:wAfter w:w="12" w:type="pct"/>
          <w:trHeight w:val="340" w:hRule="atLeast"/>
          <w:jc w:val="center"/>
        </w:trPr>
        <w:tc>
          <w:tcPr>
            <w:tcW w:w="502" w:type="pct"/>
            <w:vMerge w:val="continue"/>
            <w:vAlign w:val="center"/>
          </w:tcPr>
          <w:p w14:paraId="142108A9">
            <w:pPr>
              <w:pStyle w:val="10"/>
              <w:spacing w:before="48"/>
              <w:rPr>
                <w:szCs w:val="24"/>
              </w:rPr>
            </w:pPr>
          </w:p>
        </w:tc>
        <w:tc>
          <w:tcPr>
            <w:tcW w:w="754" w:type="pct"/>
            <w:vMerge w:val="continue"/>
            <w:vAlign w:val="center"/>
          </w:tcPr>
          <w:p w14:paraId="5255F1B7">
            <w:pPr>
              <w:pStyle w:val="10"/>
              <w:spacing w:before="48"/>
              <w:rPr>
                <w:szCs w:val="24"/>
              </w:rPr>
            </w:pPr>
          </w:p>
        </w:tc>
        <w:tc>
          <w:tcPr>
            <w:tcW w:w="657" w:type="pct"/>
            <w:vAlign w:val="center"/>
          </w:tcPr>
          <w:p w14:paraId="4626EDC5">
            <w:pPr>
              <w:pStyle w:val="10"/>
              <w:spacing w:before="48"/>
              <w:rPr>
                <w:szCs w:val="24"/>
              </w:rPr>
            </w:pPr>
            <w:r>
              <w:rPr>
                <w:szCs w:val="24"/>
              </w:rPr>
              <w:t>1,3-丁二烯</w:t>
            </w:r>
          </w:p>
        </w:tc>
        <w:tc>
          <w:tcPr>
            <w:tcW w:w="650" w:type="pct"/>
            <w:vMerge w:val="continue"/>
            <w:vAlign w:val="center"/>
          </w:tcPr>
          <w:p w14:paraId="5E7C74CF">
            <w:pPr>
              <w:pStyle w:val="10"/>
              <w:spacing w:before="48"/>
              <w:rPr>
                <w:szCs w:val="24"/>
              </w:rPr>
            </w:pPr>
          </w:p>
        </w:tc>
        <w:tc>
          <w:tcPr>
            <w:tcW w:w="2425" w:type="pct"/>
            <w:gridSpan w:val="2"/>
            <w:vMerge w:val="continue"/>
            <w:vAlign w:val="center"/>
          </w:tcPr>
          <w:p w14:paraId="679A05A9">
            <w:pPr>
              <w:pStyle w:val="10"/>
              <w:spacing w:before="48"/>
              <w:rPr>
                <w:szCs w:val="24"/>
              </w:rPr>
            </w:pPr>
          </w:p>
        </w:tc>
      </w:tr>
      <w:tr w14:paraId="1FCA64A8">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gridAfter w:val="1"/>
          <w:wAfter w:w="12" w:type="pct"/>
          <w:trHeight w:val="340" w:hRule="atLeast"/>
          <w:jc w:val="center"/>
        </w:trPr>
        <w:tc>
          <w:tcPr>
            <w:tcW w:w="502" w:type="pct"/>
            <w:vMerge w:val="continue"/>
            <w:vAlign w:val="center"/>
          </w:tcPr>
          <w:p w14:paraId="037A2FB7">
            <w:pPr>
              <w:pStyle w:val="10"/>
              <w:spacing w:before="48"/>
              <w:rPr>
                <w:szCs w:val="24"/>
              </w:rPr>
            </w:pPr>
          </w:p>
        </w:tc>
        <w:tc>
          <w:tcPr>
            <w:tcW w:w="754" w:type="pct"/>
            <w:vMerge w:val="continue"/>
            <w:vAlign w:val="center"/>
          </w:tcPr>
          <w:p w14:paraId="018529D2">
            <w:pPr>
              <w:pStyle w:val="10"/>
              <w:spacing w:before="48"/>
              <w:rPr>
                <w:szCs w:val="24"/>
              </w:rPr>
            </w:pPr>
          </w:p>
        </w:tc>
        <w:tc>
          <w:tcPr>
            <w:tcW w:w="657" w:type="pct"/>
            <w:vAlign w:val="center"/>
          </w:tcPr>
          <w:p w14:paraId="6CA20273">
            <w:pPr>
              <w:pStyle w:val="10"/>
              <w:spacing w:before="48"/>
              <w:rPr>
                <w:szCs w:val="24"/>
              </w:rPr>
            </w:pPr>
            <w:r>
              <w:rPr>
                <w:szCs w:val="24"/>
              </w:rPr>
              <w:t>甲苯</w:t>
            </w:r>
          </w:p>
        </w:tc>
        <w:tc>
          <w:tcPr>
            <w:tcW w:w="650" w:type="pct"/>
            <w:vMerge w:val="continue"/>
            <w:vAlign w:val="center"/>
          </w:tcPr>
          <w:p w14:paraId="1E44F994">
            <w:pPr>
              <w:pStyle w:val="10"/>
              <w:spacing w:before="48"/>
              <w:rPr>
                <w:szCs w:val="24"/>
              </w:rPr>
            </w:pPr>
          </w:p>
        </w:tc>
        <w:tc>
          <w:tcPr>
            <w:tcW w:w="2425" w:type="pct"/>
            <w:gridSpan w:val="2"/>
            <w:vMerge w:val="continue"/>
            <w:vAlign w:val="center"/>
          </w:tcPr>
          <w:p w14:paraId="57277543">
            <w:pPr>
              <w:pStyle w:val="10"/>
              <w:spacing w:before="48"/>
              <w:rPr>
                <w:szCs w:val="24"/>
              </w:rPr>
            </w:pPr>
          </w:p>
        </w:tc>
      </w:tr>
      <w:tr w14:paraId="11368582">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gridAfter w:val="1"/>
          <w:wAfter w:w="12" w:type="pct"/>
          <w:trHeight w:val="340" w:hRule="atLeast"/>
          <w:jc w:val="center"/>
        </w:trPr>
        <w:tc>
          <w:tcPr>
            <w:tcW w:w="502" w:type="pct"/>
            <w:vMerge w:val="continue"/>
            <w:vAlign w:val="center"/>
          </w:tcPr>
          <w:p w14:paraId="1C118420">
            <w:pPr>
              <w:pStyle w:val="10"/>
              <w:spacing w:before="48"/>
              <w:rPr>
                <w:szCs w:val="24"/>
              </w:rPr>
            </w:pPr>
          </w:p>
        </w:tc>
        <w:tc>
          <w:tcPr>
            <w:tcW w:w="754" w:type="pct"/>
            <w:vMerge w:val="continue"/>
            <w:vAlign w:val="center"/>
          </w:tcPr>
          <w:p w14:paraId="67066F72">
            <w:pPr>
              <w:pStyle w:val="10"/>
              <w:spacing w:before="48"/>
              <w:rPr>
                <w:szCs w:val="24"/>
              </w:rPr>
            </w:pPr>
          </w:p>
        </w:tc>
        <w:tc>
          <w:tcPr>
            <w:tcW w:w="657" w:type="pct"/>
            <w:vAlign w:val="center"/>
          </w:tcPr>
          <w:p w14:paraId="7CEE5C66">
            <w:pPr>
              <w:pStyle w:val="10"/>
              <w:spacing w:before="48"/>
              <w:rPr>
                <w:szCs w:val="24"/>
              </w:rPr>
            </w:pPr>
            <w:r>
              <w:rPr>
                <w:szCs w:val="24"/>
              </w:rPr>
              <w:t>乙苯</w:t>
            </w:r>
          </w:p>
        </w:tc>
        <w:tc>
          <w:tcPr>
            <w:tcW w:w="650" w:type="pct"/>
            <w:vMerge w:val="continue"/>
            <w:vAlign w:val="center"/>
          </w:tcPr>
          <w:p w14:paraId="5F5BBC26">
            <w:pPr>
              <w:pStyle w:val="10"/>
              <w:spacing w:before="48"/>
              <w:rPr>
                <w:szCs w:val="24"/>
              </w:rPr>
            </w:pPr>
          </w:p>
        </w:tc>
        <w:tc>
          <w:tcPr>
            <w:tcW w:w="2425" w:type="pct"/>
            <w:gridSpan w:val="2"/>
            <w:vMerge w:val="continue"/>
            <w:vAlign w:val="center"/>
          </w:tcPr>
          <w:p w14:paraId="5D4DEAD3">
            <w:pPr>
              <w:pStyle w:val="10"/>
              <w:spacing w:before="48"/>
              <w:rPr>
                <w:szCs w:val="24"/>
              </w:rPr>
            </w:pPr>
          </w:p>
        </w:tc>
      </w:tr>
      <w:tr w14:paraId="70D1B13B">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gridAfter w:val="1"/>
          <w:wAfter w:w="12" w:type="pct"/>
          <w:trHeight w:val="340" w:hRule="atLeast"/>
          <w:jc w:val="center"/>
        </w:trPr>
        <w:tc>
          <w:tcPr>
            <w:tcW w:w="502" w:type="pct"/>
            <w:vMerge w:val="continue"/>
            <w:vAlign w:val="center"/>
          </w:tcPr>
          <w:p w14:paraId="41A8EBE1">
            <w:pPr>
              <w:pStyle w:val="10"/>
              <w:spacing w:before="48"/>
              <w:rPr>
                <w:szCs w:val="24"/>
              </w:rPr>
            </w:pPr>
          </w:p>
        </w:tc>
        <w:tc>
          <w:tcPr>
            <w:tcW w:w="754" w:type="pct"/>
            <w:vMerge w:val="continue"/>
            <w:vAlign w:val="center"/>
          </w:tcPr>
          <w:p w14:paraId="086DE93D">
            <w:pPr>
              <w:pStyle w:val="10"/>
              <w:spacing w:before="48"/>
              <w:rPr>
                <w:szCs w:val="24"/>
              </w:rPr>
            </w:pPr>
          </w:p>
        </w:tc>
        <w:tc>
          <w:tcPr>
            <w:tcW w:w="657" w:type="pct"/>
            <w:vAlign w:val="center"/>
          </w:tcPr>
          <w:p w14:paraId="7B997C1C">
            <w:pPr>
              <w:pStyle w:val="10"/>
              <w:spacing w:before="48"/>
              <w:rPr>
                <w:szCs w:val="24"/>
              </w:rPr>
            </w:pPr>
            <w:r>
              <w:rPr>
                <w:szCs w:val="24"/>
              </w:rPr>
              <w:t>臭气浓度</w:t>
            </w:r>
          </w:p>
        </w:tc>
        <w:tc>
          <w:tcPr>
            <w:tcW w:w="650" w:type="pct"/>
            <w:vMerge w:val="continue"/>
            <w:vAlign w:val="center"/>
          </w:tcPr>
          <w:p w14:paraId="4A3B2BCB">
            <w:pPr>
              <w:pStyle w:val="10"/>
              <w:spacing w:before="48"/>
              <w:rPr>
                <w:szCs w:val="24"/>
              </w:rPr>
            </w:pPr>
          </w:p>
        </w:tc>
        <w:tc>
          <w:tcPr>
            <w:tcW w:w="2425" w:type="pct"/>
            <w:gridSpan w:val="2"/>
            <w:vAlign w:val="center"/>
          </w:tcPr>
          <w:p w14:paraId="5B0BDAB1">
            <w:pPr>
              <w:pStyle w:val="10"/>
              <w:spacing w:before="48"/>
              <w:rPr>
                <w:szCs w:val="24"/>
              </w:rPr>
            </w:pPr>
            <w:r>
              <w:rPr>
                <w:szCs w:val="24"/>
              </w:rPr>
              <w:t>《恶臭污染物排放标准》（GB14554-93）表2中恶臭污染物排放标准限值</w:t>
            </w:r>
          </w:p>
        </w:tc>
      </w:tr>
      <w:tr w14:paraId="6BA3F10D">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gridAfter w:val="1"/>
          <w:wAfter w:w="12" w:type="pct"/>
          <w:trHeight w:val="340" w:hRule="atLeast"/>
          <w:jc w:val="center"/>
        </w:trPr>
        <w:tc>
          <w:tcPr>
            <w:tcW w:w="502" w:type="pct"/>
            <w:vMerge w:val="continue"/>
            <w:vAlign w:val="center"/>
          </w:tcPr>
          <w:p w14:paraId="22F8FD0C">
            <w:pPr>
              <w:pStyle w:val="10"/>
              <w:spacing w:before="48"/>
              <w:rPr>
                <w:szCs w:val="24"/>
              </w:rPr>
            </w:pPr>
          </w:p>
        </w:tc>
        <w:tc>
          <w:tcPr>
            <w:tcW w:w="754" w:type="pct"/>
            <w:vMerge w:val="restart"/>
            <w:vAlign w:val="center"/>
          </w:tcPr>
          <w:p w14:paraId="45106ED2">
            <w:pPr>
              <w:pStyle w:val="10"/>
              <w:spacing w:before="48"/>
              <w:rPr>
                <w:szCs w:val="24"/>
              </w:rPr>
            </w:pPr>
            <w:r>
              <w:rPr>
                <w:szCs w:val="24"/>
              </w:rPr>
              <w:t>厂界处</w:t>
            </w:r>
          </w:p>
        </w:tc>
        <w:tc>
          <w:tcPr>
            <w:tcW w:w="657" w:type="pct"/>
            <w:vAlign w:val="center"/>
          </w:tcPr>
          <w:p w14:paraId="22784518">
            <w:pPr>
              <w:pStyle w:val="10"/>
              <w:spacing w:before="48"/>
              <w:rPr>
                <w:szCs w:val="24"/>
              </w:rPr>
            </w:pPr>
            <w:r>
              <w:rPr>
                <w:szCs w:val="24"/>
              </w:rPr>
              <w:t>非甲烷总烃</w:t>
            </w:r>
          </w:p>
        </w:tc>
        <w:tc>
          <w:tcPr>
            <w:tcW w:w="650" w:type="pct"/>
            <w:vMerge w:val="restart"/>
            <w:vAlign w:val="center"/>
          </w:tcPr>
          <w:p w14:paraId="7AFF80EF">
            <w:pPr>
              <w:pStyle w:val="10"/>
              <w:spacing w:before="48"/>
              <w:rPr>
                <w:szCs w:val="24"/>
              </w:rPr>
            </w:pPr>
            <w:r>
              <w:rPr>
                <w:szCs w:val="24"/>
              </w:rPr>
              <w:t>加强通风</w:t>
            </w:r>
          </w:p>
        </w:tc>
        <w:tc>
          <w:tcPr>
            <w:tcW w:w="2425" w:type="pct"/>
            <w:gridSpan w:val="2"/>
            <w:vMerge w:val="restart"/>
            <w:vAlign w:val="center"/>
          </w:tcPr>
          <w:p w14:paraId="37023B26">
            <w:pPr>
              <w:pStyle w:val="10"/>
              <w:spacing w:before="48"/>
              <w:rPr>
                <w:szCs w:val="24"/>
              </w:rPr>
            </w:pPr>
            <w:r>
              <w:rPr>
                <w:rFonts w:hint="eastAsia"/>
                <w:color w:val="EE0000"/>
                <w:szCs w:val="24"/>
              </w:rPr>
              <w:t>《合成树脂工业污染物排放标准》(GB31572-2015，含2024年修改单)</w:t>
            </w:r>
            <w:r>
              <w:rPr>
                <w:szCs w:val="24"/>
              </w:rPr>
              <w:t>表9企业边界大气污染物浓度限值</w:t>
            </w:r>
          </w:p>
        </w:tc>
      </w:tr>
      <w:tr w14:paraId="13E85D68">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gridAfter w:val="1"/>
          <w:wAfter w:w="12" w:type="pct"/>
          <w:trHeight w:val="340" w:hRule="atLeast"/>
          <w:jc w:val="center"/>
        </w:trPr>
        <w:tc>
          <w:tcPr>
            <w:tcW w:w="502" w:type="pct"/>
            <w:vMerge w:val="continue"/>
            <w:vAlign w:val="center"/>
          </w:tcPr>
          <w:p w14:paraId="4B6C8826">
            <w:pPr>
              <w:pStyle w:val="10"/>
              <w:spacing w:before="48"/>
              <w:rPr>
                <w:szCs w:val="24"/>
              </w:rPr>
            </w:pPr>
          </w:p>
        </w:tc>
        <w:tc>
          <w:tcPr>
            <w:tcW w:w="754" w:type="pct"/>
            <w:vMerge w:val="continue"/>
            <w:vAlign w:val="center"/>
          </w:tcPr>
          <w:p w14:paraId="1DAFF9F1">
            <w:pPr>
              <w:pStyle w:val="10"/>
              <w:spacing w:before="48"/>
              <w:rPr>
                <w:szCs w:val="24"/>
              </w:rPr>
            </w:pPr>
          </w:p>
        </w:tc>
        <w:tc>
          <w:tcPr>
            <w:tcW w:w="657" w:type="pct"/>
            <w:vAlign w:val="center"/>
          </w:tcPr>
          <w:p w14:paraId="031447C1">
            <w:pPr>
              <w:pStyle w:val="10"/>
              <w:spacing w:before="48"/>
              <w:rPr>
                <w:szCs w:val="24"/>
              </w:rPr>
            </w:pPr>
            <w:r>
              <w:rPr>
                <w:szCs w:val="24"/>
              </w:rPr>
              <w:t>甲苯</w:t>
            </w:r>
          </w:p>
        </w:tc>
        <w:tc>
          <w:tcPr>
            <w:tcW w:w="650" w:type="pct"/>
            <w:vMerge w:val="continue"/>
            <w:vAlign w:val="center"/>
          </w:tcPr>
          <w:p w14:paraId="3C11693E">
            <w:pPr>
              <w:pStyle w:val="10"/>
              <w:spacing w:before="48"/>
              <w:rPr>
                <w:szCs w:val="24"/>
              </w:rPr>
            </w:pPr>
          </w:p>
        </w:tc>
        <w:tc>
          <w:tcPr>
            <w:tcW w:w="2425" w:type="pct"/>
            <w:gridSpan w:val="2"/>
            <w:vMerge w:val="continue"/>
            <w:vAlign w:val="center"/>
          </w:tcPr>
          <w:p w14:paraId="02FF36DD">
            <w:pPr>
              <w:pStyle w:val="10"/>
              <w:spacing w:before="48"/>
              <w:rPr>
                <w:szCs w:val="24"/>
              </w:rPr>
            </w:pPr>
          </w:p>
        </w:tc>
      </w:tr>
      <w:tr w14:paraId="6BC6E9CF">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gridAfter w:val="1"/>
          <w:wAfter w:w="12" w:type="pct"/>
          <w:trHeight w:val="340" w:hRule="atLeast"/>
          <w:jc w:val="center"/>
        </w:trPr>
        <w:tc>
          <w:tcPr>
            <w:tcW w:w="502" w:type="pct"/>
            <w:vMerge w:val="continue"/>
            <w:vAlign w:val="center"/>
          </w:tcPr>
          <w:p w14:paraId="27F5DA95">
            <w:pPr>
              <w:pStyle w:val="10"/>
              <w:spacing w:before="48"/>
              <w:rPr>
                <w:szCs w:val="24"/>
              </w:rPr>
            </w:pPr>
          </w:p>
        </w:tc>
        <w:tc>
          <w:tcPr>
            <w:tcW w:w="754" w:type="pct"/>
            <w:vMerge w:val="continue"/>
            <w:vAlign w:val="center"/>
          </w:tcPr>
          <w:p w14:paraId="1DCF5B06">
            <w:pPr>
              <w:pStyle w:val="10"/>
              <w:spacing w:before="48"/>
              <w:rPr>
                <w:szCs w:val="24"/>
              </w:rPr>
            </w:pPr>
          </w:p>
        </w:tc>
        <w:tc>
          <w:tcPr>
            <w:tcW w:w="657" w:type="pct"/>
            <w:vAlign w:val="center"/>
          </w:tcPr>
          <w:p w14:paraId="36E3C74D">
            <w:pPr>
              <w:pStyle w:val="10"/>
              <w:spacing w:before="48"/>
              <w:rPr>
                <w:szCs w:val="24"/>
              </w:rPr>
            </w:pPr>
            <w:r>
              <w:rPr>
                <w:szCs w:val="24"/>
              </w:rPr>
              <w:t>总VOCs</w:t>
            </w:r>
          </w:p>
        </w:tc>
        <w:tc>
          <w:tcPr>
            <w:tcW w:w="650" w:type="pct"/>
            <w:vMerge w:val="continue"/>
            <w:vAlign w:val="center"/>
          </w:tcPr>
          <w:p w14:paraId="5B61B1CF">
            <w:pPr>
              <w:pStyle w:val="10"/>
              <w:spacing w:before="48"/>
              <w:rPr>
                <w:szCs w:val="24"/>
              </w:rPr>
            </w:pPr>
          </w:p>
        </w:tc>
        <w:tc>
          <w:tcPr>
            <w:tcW w:w="2425" w:type="pct"/>
            <w:gridSpan w:val="2"/>
            <w:vAlign w:val="center"/>
          </w:tcPr>
          <w:p w14:paraId="4DEF2E10">
            <w:pPr>
              <w:pStyle w:val="10"/>
              <w:spacing w:before="48"/>
              <w:rPr>
                <w:szCs w:val="24"/>
              </w:rPr>
            </w:pPr>
            <w:r>
              <w:rPr>
                <w:szCs w:val="24"/>
              </w:rPr>
              <w:t>广东省《印刷行业挥发性有机化合物排放标准》(DB44/815-2010)无组织排放监控点浓度限值</w:t>
            </w:r>
          </w:p>
        </w:tc>
      </w:tr>
      <w:tr w14:paraId="22CEF98B">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gridAfter w:val="1"/>
          <w:wAfter w:w="12" w:type="pct"/>
          <w:trHeight w:val="340" w:hRule="atLeast"/>
          <w:jc w:val="center"/>
        </w:trPr>
        <w:tc>
          <w:tcPr>
            <w:tcW w:w="502" w:type="pct"/>
            <w:vMerge w:val="continue"/>
            <w:vAlign w:val="center"/>
          </w:tcPr>
          <w:p w14:paraId="0B636E2C">
            <w:pPr>
              <w:pStyle w:val="10"/>
              <w:spacing w:before="48"/>
              <w:rPr>
                <w:szCs w:val="24"/>
              </w:rPr>
            </w:pPr>
          </w:p>
        </w:tc>
        <w:tc>
          <w:tcPr>
            <w:tcW w:w="754" w:type="pct"/>
            <w:vMerge w:val="continue"/>
            <w:vAlign w:val="center"/>
          </w:tcPr>
          <w:p w14:paraId="00863793">
            <w:pPr>
              <w:pStyle w:val="10"/>
              <w:spacing w:before="48"/>
              <w:rPr>
                <w:szCs w:val="24"/>
              </w:rPr>
            </w:pPr>
          </w:p>
        </w:tc>
        <w:tc>
          <w:tcPr>
            <w:tcW w:w="657" w:type="pct"/>
            <w:vAlign w:val="center"/>
          </w:tcPr>
          <w:p w14:paraId="380EAE9C">
            <w:pPr>
              <w:pStyle w:val="10"/>
              <w:spacing w:before="48"/>
              <w:rPr>
                <w:szCs w:val="24"/>
              </w:rPr>
            </w:pPr>
            <w:r>
              <w:rPr>
                <w:szCs w:val="24"/>
              </w:rPr>
              <w:t>颗粒物</w:t>
            </w:r>
          </w:p>
        </w:tc>
        <w:tc>
          <w:tcPr>
            <w:tcW w:w="650" w:type="pct"/>
            <w:vMerge w:val="continue"/>
            <w:vAlign w:val="center"/>
          </w:tcPr>
          <w:p w14:paraId="264D76F5">
            <w:pPr>
              <w:pStyle w:val="10"/>
              <w:spacing w:before="48"/>
              <w:rPr>
                <w:szCs w:val="24"/>
              </w:rPr>
            </w:pPr>
          </w:p>
        </w:tc>
        <w:tc>
          <w:tcPr>
            <w:tcW w:w="2425" w:type="pct"/>
            <w:gridSpan w:val="2"/>
            <w:vAlign w:val="center"/>
          </w:tcPr>
          <w:p w14:paraId="04D9639C">
            <w:pPr>
              <w:pStyle w:val="10"/>
              <w:spacing w:before="48"/>
              <w:rPr>
                <w:szCs w:val="24"/>
              </w:rPr>
            </w:pPr>
            <w:r>
              <w:rPr>
                <w:szCs w:val="24"/>
              </w:rPr>
              <w:t>广东省《大气污染物排放限值》（DB44/27-2001）中表2第二时段无组织排放监控浓度限值</w:t>
            </w:r>
            <w:r>
              <w:rPr>
                <w:rFonts w:hint="eastAsia"/>
                <w:szCs w:val="24"/>
              </w:rPr>
              <w:t>及</w:t>
            </w:r>
            <w:r>
              <w:rPr>
                <w:rFonts w:hint="eastAsia"/>
                <w:color w:val="EE0000"/>
                <w:szCs w:val="24"/>
              </w:rPr>
              <w:t>《合成树脂工业污染物排放标准》(GB31572-2015，含2024年修改单)</w:t>
            </w:r>
            <w:r>
              <w:rPr>
                <w:color w:val="EE0000"/>
                <w:szCs w:val="24"/>
              </w:rPr>
              <w:t>表9企业边界大气污染物浓度限值间较严者</w:t>
            </w:r>
          </w:p>
        </w:tc>
      </w:tr>
      <w:tr w14:paraId="041D7F98">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gridAfter w:val="1"/>
          <w:wAfter w:w="12" w:type="pct"/>
          <w:trHeight w:val="340" w:hRule="atLeast"/>
          <w:jc w:val="center"/>
        </w:trPr>
        <w:tc>
          <w:tcPr>
            <w:tcW w:w="502" w:type="pct"/>
            <w:vMerge w:val="continue"/>
            <w:vAlign w:val="center"/>
          </w:tcPr>
          <w:p w14:paraId="4A286336">
            <w:pPr>
              <w:pStyle w:val="10"/>
              <w:spacing w:before="48"/>
              <w:rPr>
                <w:szCs w:val="24"/>
              </w:rPr>
            </w:pPr>
          </w:p>
        </w:tc>
        <w:tc>
          <w:tcPr>
            <w:tcW w:w="754" w:type="pct"/>
            <w:vMerge w:val="continue"/>
            <w:vAlign w:val="center"/>
          </w:tcPr>
          <w:p w14:paraId="0A72EC6E">
            <w:pPr>
              <w:pStyle w:val="10"/>
              <w:spacing w:before="48"/>
              <w:rPr>
                <w:szCs w:val="24"/>
              </w:rPr>
            </w:pPr>
          </w:p>
        </w:tc>
        <w:tc>
          <w:tcPr>
            <w:tcW w:w="657" w:type="pct"/>
            <w:vAlign w:val="center"/>
          </w:tcPr>
          <w:p w14:paraId="75E4FB52">
            <w:pPr>
              <w:pStyle w:val="10"/>
              <w:spacing w:before="48"/>
              <w:rPr>
                <w:szCs w:val="24"/>
              </w:rPr>
            </w:pPr>
            <w:r>
              <w:rPr>
                <w:szCs w:val="24"/>
              </w:rPr>
              <w:t>臭气浓度</w:t>
            </w:r>
          </w:p>
        </w:tc>
        <w:tc>
          <w:tcPr>
            <w:tcW w:w="650" w:type="pct"/>
            <w:vMerge w:val="continue"/>
            <w:vAlign w:val="center"/>
          </w:tcPr>
          <w:p w14:paraId="6C8A5DF1">
            <w:pPr>
              <w:pStyle w:val="10"/>
              <w:spacing w:before="48"/>
              <w:rPr>
                <w:szCs w:val="24"/>
                <w:highlight w:val="yellow"/>
              </w:rPr>
            </w:pPr>
          </w:p>
        </w:tc>
        <w:tc>
          <w:tcPr>
            <w:tcW w:w="2425" w:type="pct"/>
            <w:gridSpan w:val="2"/>
            <w:vAlign w:val="center"/>
          </w:tcPr>
          <w:p w14:paraId="1342C8C9">
            <w:pPr>
              <w:pStyle w:val="10"/>
              <w:spacing w:before="48"/>
              <w:rPr>
                <w:szCs w:val="24"/>
              </w:rPr>
            </w:pPr>
            <w:r>
              <w:rPr>
                <w:szCs w:val="24"/>
              </w:rPr>
              <w:t>《恶臭污染物排放标准》(GB14554-93)中表1恶臭污染物厂界标准值(二级标准中新扩改建)</w:t>
            </w:r>
          </w:p>
        </w:tc>
      </w:tr>
      <w:tr w14:paraId="68643B10">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gridAfter w:val="1"/>
          <w:wAfter w:w="12" w:type="pct"/>
          <w:trHeight w:val="340" w:hRule="atLeast"/>
          <w:jc w:val="center"/>
        </w:trPr>
        <w:tc>
          <w:tcPr>
            <w:tcW w:w="502" w:type="pct"/>
            <w:vMerge w:val="continue"/>
            <w:vAlign w:val="center"/>
          </w:tcPr>
          <w:p w14:paraId="794800DD">
            <w:pPr>
              <w:pStyle w:val="10"/>
              <w:spacing w:before="48"/>
              <w:rPr>
                <w:szCs w:val="24"/>
              </w:rPr>
            </w:pPr>
          </w:p>
        </w:tc>
        <w:tc>
          <w:tcPr>
            <w:tcW w:w="754" w:type="pct"/>
            <w:vAlign w:val="center"/>
          </w:tcPr>
          <w:p w14:paraId="79C9982B">
            <w:pPr>
              <w:pStyle w:val="10"/>
              <w:spacing w:before="48"/>
              <w:rPr>
                <w:szCs w:val="24"/>
              </w:rPr>
            </w:pPr>
            <w:r>
              <w:rPr>
                <w:szCs w:val="24"/>
              </w:rPr>
              <w:t>厂区内</w:t>
            </w:r>
          </w:p>
          <w:p w14:paraId="5A562767">
            <w:pPr>
              <w:pStyle w:val="10"/>
              <w:spacing w:before="48"/>
              <w:rPr>
                <w:szCs w:val="24"/>
              </w:rPr>
            </w:pPr>
            <w:r>
              <w:rPr>
                <w:rFonts w:hint="eastAsia"/>
                <w:color w:val="EE0000"/>
                <w:szCs w:val="24"/>
              </w:rPr>
              <w:t>厂房外</w:t>
            </w:r>
          </w:p>
        </w:tc>
        <w:tc>
          <w:tcPr>
            <w:tcW w:w="657" w:type="pct"/>
            <w:vAlign w:val="center"/>
          </w:tcPr>
          <w:p w14:paraId="363283D8">
            <w:pPr>
              <w:pStyle w:val="10"/>
              <w:spacing w:before="48"/>
              <w:rPr>
                <w:szCs w:val="24"/>
              </w:rPr>
            </w:pPr>
            <w:r>
              <w:rPr>
                <w:color w:val="EE0000"/>
                <w:szCs w:val="24"/>
              </w:rPr>
              <w:t>非甲烷总烃</w:t>
            </w:r>
          </w:p>
        </w:tc>
        <w:tc>
          <w:tcPr>
            <w:tcW w:w="650" w:type="pct"/>
            <w:vAlign w:val="center"/>
          </w:tcPr>
          <w:p w14:paraId="4AF8BEC0">
            <w:pPr>
              <w:pStyle w:val="10"/>
              <w:spacing w:before="48"/>
              <w:rPr>
                <w:szCs w:val="24"/>
              </w:rPr>
            </w:pPr>
            <w:r>
              <w:rPr>
                <w:szCs w:val="24"/>
              </w:rPr>
              <w:t>加强通风</w:t>
            </w:r>
          </w:p>
        </w:tc>
        <w:tc>
          <w:tcPr>
            <w:tcW w:w="2425" w:type="pct"/>
            <w:gridSpan w:val="2"/>
            <w:vAlign w:val="center"/>
          </w:tcPr>
          <w:p w14:paraId="43BA97F4">
            <w:pPr>
              <w:pStyle w:val="10"/>
              <w:spacing w:before="48"/>
              <w:rPr>
                <w:szCs w:val="24"/>
              </w:rPr>
            </w:pPr>
            <w:r>
              <w:rPr>
                <w:szCs w:val="24"/>
              </w:rPr>
              <w:t>广东省地方标准《固定污染源挥发性有机物综合排放标准》（DB44/2367-2022）中的表3排放限值和《印刷工业大气污染物排放标准》（GB41616-2022）附录A排放限值间较严者</w:t>
            </w:r>
          </w:p>
        </w:tc>
      </w:tr>
      <w:tr w14:paraId="1EB46BCA">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gridAfter w:val="1"/>
          <w:wAfter w:w="12" w:type="pct"/>
          <w:trHeight w:val="340" w:hRule="atLeast"/>
          <w:jc w:val="center"/>
        </w:trPr>
        <w:tc>
          <w:tcPr>
            <w:tcW w:w="502" w:type="pct"/>
            <w:vMerge w:val="restart"/>
            <w:vAlign w:val="center"/>
          </w:tcPr>
          <w:p w14:paraId="683AC354">
            <w:pPr>
              <w:pStyle w:val="10"/>
              <w:spacing w:before="48"/>
              <w:rPr>
                <w:szCs w:val="24"/>
              </w:rPr>
            </w:pPr>
            <w:r>
              <w:rPr>
                <w:szCs w:val="24"/>
              </w:rPr>
              <w:t>地表水环境</w:t>
            </w:r>
          </w:p>
        </w:tc>
        <w:tc>
          <w:tcPr>
            <w:tcW w:w="754" w:type="pct"/>
            <w:vMerge w:val="restart"/>
            <w:vAlign w:val="center"/>
          </w:tcPr>
          <w:p w14:paraId="31646AA6">
            <w:pPr>
              <w:pStyle w:val="10"/>
              <w:spacing w:before="48"/>
              <w:rPr>
                <w:szCs w:val="24"/>
              </w:rPr>
            </w:pPr>
            <w:r>
              <w:rPr>
                <w:szCs w:val="24"/>
              </w:rPr>
              <w:t>生活污水</w:t>
            </w:r>
          </w:p>
        </w:tc>
        <w:tc>
          <w:tcPr>
            <w:tcW w:w="657" w:type="pct"/>
            <w:vAlign w:val="center"/>
          </w:tcPr>
          <w:p w14:paraId="745C22D1">
            <w:pPr>
              <w:pStyle w:val="10"/>
              <w:spacing w:before="48"/>
              <w:rPr>
                <w:szCs w:val="24"/>
              </w:rPr>
            </w:pPr>
            <w:r>
              <w:rPr>
                <w:szCs w:val="24"/>
              </w:rPr>
              <w:t>CODcr</w:t>
            </w:r>
          </w:p>
        </w:tc>
        <w:tc>
          <w:tcPr>
            <w:tcW w:w="650" w:type="pct"/>
            <w:vMerge w:val="restart"/>
            <w:vAlign w:val="center"/>
          </w:tcPr>
          <w:p w14:paraId="0DB094D4">
            <w:pPr>
              <w:pStyle w:val="10"/>
              <w:spacing w:before="48"/>
              <w:rPr>
                <w:szCs w:val="24"/>
              </w:rPr>
            </w:pPr>
            <w:r>
              <w:rPr>
                <w:szCs w:val="24"/>
              </w:rPr>
              <w:t>经三级化粪池预处理排入园洲镇第五生活污水处理厂</w:t>
            </w:r>
          </w:p>
        </w:tc>
        <w:tc>
          <w:tcPr>
            <w:tcW w:w="2425" w:type="pct"/>
            <w:gridSpan w:val="2"/>
            <w:vMerge w:val="restart"/>
            <w:vAlign w:val="center"/>
          </w:tcPr>
          <w:p w14:paraId="4A4A47E1">
            <w:pPr>
              <w:pStyle w:val="10"/>
              <w:spacing w:before="48"/>
              <w:rPr>
                <w:szCs w:val="24"/>
              </w:rPr>
            </w:pPr>
            <w:r>
              <w:rPr>
                <w:szCs w:val="24"/>
              </w:rPr>
              <w:t>广东省《水污染物排放限值》（DB44/26-2001）第二时段三级标准</w:t>
            </w:r>
          </w:p>
        </w:tc>
      </w:tr>
      <w:tr w14:paraId="5C732A59">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gridAfter w:val="1"/>
          <w:wAfter w:w="12" w:type="pct"/>
          <w:trHeight w:val="340" w:hRule="atLeast"/>
          <w:jc w:val="center"/>
        </w:trPr>
        <w:tc>
          <w:tcPr>
            <w:tcW w:w="502" w:type="pct"/>
            <w:vMerge w:val="continue"/>
            <w:vAlign w:val="center"/>
          </w:tcPr>
          <w:p w14:paraId="0A97F130">
            <w:pPr>
              <w:pStyle w:val="10"/>
              <w:spacing w:before="48"/>
              <w:rPr>
                <w:szCs w:val="24"/>
              </w:rPr>
            </w:pPr>
          </w:p>
        </w:tc>
        <w:tc>
          <w:tcPr>
            <w:tcW w:w="754" w:type="pct"/>
            <w:vMerge w:val="continue"/>
            <w:vAlign w:val="center"/>
          </w:tcPr>
          <w:p w14:paraId="020C78E3">
            <w:pPr>
              <w:pStyle w:val="10"/>
              <w:spacing w:before="48"/>
              <w:rPr>
                <w:szCs w:val="24"/>
              </w:rPr>
            </w:pPr>
          </w:p>
        </w:tc>
        <w:tc>
          <w:tcPr>
            <w:tcW w:w="657" w:type="pct"/>
            <w:vAlign w:val="center"/>
          </w:tcPr>
          <w:p w14:paraId="338643A7">
            <w:pPr>
              <w:pStyle w:val="10"/>
              <w:spacing w:before="48"/>
              <w:rPr>
                <w:szCs w:val="24"/>
              </w:rPr>
            </w:pPr>
            <w:r>
              <w:rPr>
                <w:szCs w:val="24"/>
              </w:rPr>
              <w:t>BOD</w:t>
            </w:r>
            <w:r>
              <w:rPr>
                <w:szCs w:val="24"/>
                <w:vertAlign w:val="subscript"/>
              </w:rPr>
              <w:t>5</w:t>
            </w:r>
          </w:p>
        </w:tc>
        <w:tc>
          <w:tcPr>
            <w:tcW w:w="650" w:type="pct"/>
            <w:vMerge w:val="continue"/>
            <w:vAlign w:val="center"/>
          </w:tcPr>
          <w:p w14:paraId="40DE376F">
            <w:pPr>
              <w:pStyle w:val="10"/>
              <w:spacing w:before="48"/>
              <w:rPr>
                <w:szCs w:val="24"/>
              </w:rPr>
            </w:pPr>
          </w:p>
        </w:tc>
        <w:tc>
          <w:tcPr>
            <w:tcW w:w="2425" w:type="pct"/>
            <w:gridSpan w:val="2"/>
            <w:vMerge w:val="continue"/>
            <w:vAlign w:val="center"/>
          </w:tcPr>
          <w:p w14:paraId="28017F08">
            <w:pPr>
              <w:pStyle w:val="10"/>
              <w:spacing w:before="48"/>
              <w:rPr>
                <w:szCs w:val="24"/>
              </w:rPr>
            </w:pPr>
          </w:p>
        </w:tc>
      </w:tr>
      <w:tr w14:paraId="2E42EDC8">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gridAfter w:val="1"/>
          <w:wAfter w:w="12" w:type="pct"/>
          <w:trHeight w:val="340" w:hRule="atLeast"/>
          <w:jc w:val="center"/>
        </w:trPr>
        <w:tc>
          <w:tcPr>
            <w:tcW w:w="502" w:type="pct"/>
            <w:vMerge w:val="continue"/>
            <w:vAlign w:val="center"/>
          </w:tcPr>
          <w:p w14:paraId="492C8D5F">
            <w:pPr>
              <w:pStyle w:val="10"/>
              <w:spacing w:before="48"/>
              <w:rPr>
                <w:szCs w:val="24"/>
              </w:rPr>
            </w:pPr>
          </w:p>
        </w:tc>
        <w:tc>
          <w:tcPr>
            <w:tcW w:w="754" w:type="pct"/>
            <w:vMerge w:val="continue"/>
            <w:vAlign w:val="center"/>
          </w:tcPr>
          <w:p w14:paraId="4D3844B6">
            <w:pPr>
              <w:pStyle w:val="10"/>
              <w:spacing w:before="48"/>
              <w:rPr>
                <w:szCs w:val="24"/>
              </w:rPr>
            </w:pPr>
          </w:p>
        </w:tc>
        <w:tc>
          <w:tcPr>
            <w:tcW w:w="657" w:type="pct"/>
            <w:vAlign w:val="center"/>
          </w:tcPr>
          <w:p w14:paraId="02B0D3BC">
            <w:pPr>
              <w:pStyle w:val="10"/>
              <w:spacing w:before="48"/>
              <w:rPr>
                <w:szCs w:val="24"/>
              </w:rPr>
            </w:pPr>
            <w:r>
              <w:rPr>
                <w:szCs w:val="24"/>
              </w:rPr>
              <w:t>SS</w:t>
            </w:r>
          </w:p>
        </w:tc>
        <w:tc>
          <w:tcPr>
            <w:tcW w:w="650" w:type="pct"/>
            <w:vMerge w:val="continue"/>
            <w:vAlign w:val="center"/>
          </w:tcPr>
          <w:p w14:paraId="54B79010">
            <w:pPr>
              <w:pStyle w:val="10"/>
              <w:spacing w:before="48"/>
              <w:rPr>
                <w:szCs w:val="24"/>
              </w:rPr>
            </w:pPr>
          </w:p>
        </w:tc>
        <w:tc>
          <w:tcPr>
            <w:tcW w:w="2425" w:type="pct"/>
            <w:gridSpan w:val="2"/>
            <w:vMerge w:val="continue"/>
            <w:vAlign w:val="center"/>
          </w:tcPr>
          <w:p w14:paraId="211E9B92">
            <w:pPr>
              <w:pStyle w:val="10"/>
              <w:spacing w:before="48"/>
              <w:rPr>
                <w:szCs w:val="24"/>
              </w:rPr>
            </w:pPr>
          </w:p>
        </w:tc>
      </w:tr>
      <w:tr w14:paraId="4AE5555F">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gridAfter w:val="1"/>
          <w:wAfter w:w="12" w:type="pct"/>
          <w:trHeight w:val="340" w:hRule="atLeast"/>
          <w:jc w:val="center"/>
        </w:trPr>
        <w:tc>
          <w:tcPr>
            <w:tcW w:w="502" w:type="pct"/>
            <w:vMerge w:val="continue"/>
            <w:vAlign w:val="center"/>
          </w:tcPr>
          <w:p w14:paraId="58A8DEE8">
            <w:pPr>
              <w:pStyle w:val="10"/>
              <w:spacing w:before="48"/>
              <w:rPr>
                <w:szCs w:val="24"/>
              </w:rPr>
            </w:pPr>
          </w:p>
        </w:tc>
        <w:tc>
          <w:tcPr>
            <w:tcW w:w="754" w:type="pct"/>
            <w:vMerge w:val="continue"/>
            <w:vAlign w:val="center"/>
          </w:tcPr>
          <w:p w14:paraId="617C4E89">
            <w:pPr>
              <w:pStyle w:val="10"/>
              <w:spacing w:before="48"/>
              <w:rPr>
                <w:szCs w:val="24"/>
              </w:rPr>
            </w:pPr>
          </w:p>
        </w:tc>
        <w:tc>
          <w:tcPr>
            <w:tcW w:w="657" w:type="pct"/>
            <w:vAlign w:val="center"/>
          </w:tcPr>
          <w:p w14:paraId="78DDB8F4">
            <w:pPr>
              <w:pStyle w:val="10"/>
              <w:spacing w:before="48"/>
              <w:rPr>
                <w:szCs w:val="24"/>
              </w:rPr>
            </w:pPr>
            <w:r>
              <w:rPr>
                <w:szCs w:val="24"/>
              </w:rPr>
              <w:t>氨氮</w:t>
            </w:r>
          </w:p>
        </w:tc>
        <w:tc>
          <w:tcPr>
            <w:tcW w:w="650" w:type="pct"/>
            <w:vMerge w:val="continue"/>
            <w:vAlign w:val="center"/>
          </w:tcPr>
          <w:p w14:paraId="6D0D6B03">
            <w:pPr>
              <w:pStyle w:val="10"/>
              <w:spacing w:before="48"/>
              <w:rPr>
                <w:szCs w:val="24"/>
              </w:rPr>
            </w:pPr>
          </w:p>
        </w:tc>
        <w:tc>
          <w:tcPr>
            <w:tcW w:w="2425" w:type="pct"/>
            <w:gridSpan w:val="2"/>
            <w:vMerge w:val="continue"/>
            <w:vAlign w:val="center"/>
          </w:tcPr>
          <w:p w14:paraId="36CF5464">
            <w:pPr>
              <w:pStyle w:val="10"/>
              <w:spacing w:before="48"/>
              <w:rPr>
                <w:szCs w:val="24"/>
              </w:rPr>
            </w:pPr>
          </w:p>
        </w:tc>
      </w:tr>
      <w:tr w14:paraId="301534DC">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gridAfter w:val="1"/>
          <w:wAfter w:w="12" w:type="pct"/>
          <w:trHeight w:val="340" w:hRule="atLeast"/>
          <w:jc w:val="center"/>
        </w:trPr>
        <w:tc>
          <w:tcPr>
            <w:tcW w:w="502" w:type="pct"/>
            <w:vMerge w:val="continue"/>
            <w:vAlign w:val="center"/>
          </w:tcPr>
          <w:p w14:paraId="5B08FD92">
            <w:pPr>
              <w:pStyle w:val="10"/>
              <w:spacing w:before="48"/>
              <w:rPr>
                <w:szCs w:val="24"/>
              </w:rPr>
            </w:pPr>
          </w:p>
        </w:tc>
        <w:tc>
          <w:tcPr>
            <w:tcW w:w="754" w:type="pct"/>
            <w:vMerge w:val="continue"/>
            <w:vAlign w:val="center"/>
          </w:tcPr>
          <w:p w14:paraId="02F49EA3">
            <w:pPr>
              <w:pStyle w:val="10"/>
              <w:spacing w:before="48"/>
              <w:rPr>
                <w:szCs w:val="24"/>
              </w:rPr>
            </w:pPr>
          </w:p>
        </w:tc>
        <w:tc>
          <w:tcPr>
            <w:tcW w:w="657" w:type="pct"/>
            <w:vAlign w:val="center"/>
          </w:tcPr>
          <w:p w14:paraId="7D768976">
            <w:pPr>
              <w:pStyle w:val="10"/>
              <w:spacing w:before="48"/>
              <w:rPr>
                <w:szCs w:val="24"/>
              </w:rPr>
            </w:pPr>
            <w:r>
              <w:rPr>
                <w:szCs w:val="24"/>
              </w:rPr>
              <w:t>总磷</w:t>
            </w:r>
          </w:p>
        </w:tc>
        <w:tc>
          <w:tcPr>
            <w:tcW w:w="650" w:type="pct"/>
            <w:vMerge w:val="continue"/>
            <w:vAlign w:val="center"/>
          </w:tcPr>
          <w:p w14:paraId="47846131">
            <w:pPr>
              <w:pStyle w:val="10"/>
              <w:spacing w:before="48"/>
              <w:rPr>
                <w:szCs w:val="24"/>
              </w:rPr>
            </w:pPr>
          </w:p>
        </w:tc>
        <w:tc>
          <w:tcPr>
            <w:tcW w:w="2425" w:type="pct"/>
            <w:gridSpan w:val="2"/>
            <w:vMerge w:val="continue"/>
            <w:vAlign w:val="center"/>
          </w:tcPr>
          <w:p w14:paraId="3C915FCE">
            <w:pPr>
              <w:pStyle w:val="10"/>
              <w:spacing w:before="48"/>
              <w:rPr>
                <w:szCs w:val="24"/>
              </w:rPr>
            </w:pPr>
          </w:p>
        </w:tc>
      </w:tr>
      <w:tr w14:paraId="4CF323C1">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gridAfter w:val="1"/>
          <w:wAfter w:w="12" w:type="pct"/>
          <w:trHeight w:val="340" w:hRule="atLeast"/>
          <w:jc w:val="center"/>
        </w:trPr>
        <w:tc>
          <w:tcPr>
            <w:tcW w:w="502" w:type="pct"/>
            <w:vMerge w:val="continue"/>
            <w:vAlign w:val="center"/>
          </w:tcPr>
          <w:p w14:paraId="359C3C7A">
            <w:pPr>
              <w:pStyle w:val="10"/>
              <w:spacing w:before="48"/>
              <w:rPr>
                <w:szCs w:val="24"/>
              </w:rPr>
            </w:pPr>
          </w:p>
        </w:tc>
        <w:tc>
          <w:tcPr>
            <w:tcW w:w="754" w:type="pct"/>
            <w:vMerge w:val="continue"/>
            <w:vAlign w:val="center"/>
          </w:tcPr>
          <w:p w14:paraId="45C8DA61">
            <w:pPr>
              <w:pStyle w:val="10"/>
              <w:spacing w:before="48"/>
              <w:rPr>
                <w:szCs w:val="24"/>
              </w:rPr>
            </w:pPr>
          </w:p>
        </w:tc>
        <w:tc>
          <w:tcPr>
            <w:tcW w:w="657" w:type="pct"/>
            <w:vAlign w:val="center"/>
          </w:tcPr>
          <w:p w14:paraId="456E8EB5">
            <w:pPr>
              <w:pStyle w:val="10"/>
              <w:spacing w:before="48"/>
              <w:rPr>
                <w:szCs w:val="24"/>
              </w:rPr>
            </w:pPr>
            <w:r>
              <w:rPr>
                <w:szCs w:val="24"/>
              </w:rPr>
              <w:t>总氮</w:t>
            </w:r>
          </w:p>
        </w:tc>
        <w:tc>
          <w:tcPr>
            <w:tcW w:w="650" w:type="pct"/>
            <w:vMerge w:val="continue"/>
            <w:vAlign w:val="center"/>
          </w:tcPr>
          <w:p w14:paraId="3D659CEE">
            <w:pPr>
              <w:pStyle w:val="10"/>
              <w:spacing w:before="48"/>
              <w:rPr>
                <w:szCs w:val="24"/>
              </w:rPr>
            </w:pPr>
          </w:p>
        </w:tc>
        <w:tc>
          <w:tcPr>
            <w:tcW w:w="2425" w:type="pct"/>
            <w:gridSpan w:val="2"/>
            <w:vMerge w:val="continue"/>
            <w:vAlign w:val="center"/>
          </w:tcPr>
          <w:p w14:paraId="7E4234DE">
            <w:pPr>
              <w:pStyle w:val="10"/>
              <w:spacing w:before="48"/>
              <w:rPr>
                <w:szCs w:val="24"/>
              </w:rPr>
            </w:pPr>
          </w:p>
        </w:tc>
      </w:tr>
      <w:tr w14:paraId="292C67D9">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gridAfter w:val="1"/>
          <w:wAfter w:w="12" w:type="pct"/>
          <w:trHeight w:val="340" w:hRule="atLeast"/>
          <w:jc w:val="center"/>
        </w:trPr>
        <w:tc>
          <w:tcPr>
            <w:tcW w:w="502" w:type="pct"/>
            <w:vAlign w:val="center"/>
          </w:tcPr>
          <w:p w14:paraId="3899994A">
            <w:pPr>
              <w:pStyle w:val="10"/>
              <w:spacing w:before="48"/>
              <w:rPr>
                <w:szCs w:val="24"/>
              </w:rPr>
            </w:pPr>
            <w:r>
              <w:rPr>
                <w:szCs w:val="24"/>
              </w:rPr>
              <w:t>声环境</w:t>
            </w:r>
          </w:p>
        </w:tc>
        <w:tc>
          <w:tcPr>
            <w:tcW w:w="754" w:type="pct"/>
            <w:vAlign w:val="center"/>
          </w:tcPr>
          <w:p w14:paraId="779A7CA7">
            <w:pPr>
              <w:pStyle w:val="10"/>
              <w:spacing w:before="48"/>
              <w:rPr>
                <w:szCs w:val="24"/>
              </w:rPr>
            </w:pPr>
            <w:r>
              <w:rPr>
                <w:szCs w:val="24"/>
              </w:rPr>
              <w:t>机械设备的噪声</w:t>
            </w:r>
          </w:p>
        </w:tc>
        <w:tc>
          <w:tcPr>
            <w:tcW w:w="657" w:type="pct"/>
            <w:vAlign w:val="center"/>
          </w:tcPr>
          <w:p w14:paraId="7CAD0B86">
            <w:pPr>
              <w:pStyle w:val="10"/>
              <w:spacing w:before="48"/>
              <w:rPr>
                <w:szCs w:val="24"/>
              </w:rPr>
            </w:pPr>
            <w:r>
              <w:rPr>
                <w:szCs w:val="24"/>
              </w:rPr>
              <w:t>噪声</w:t>
            </w:r>
          </w:p>
        </w:tc>
        <w:tc>
          <w:tcPr>
            <w:tcW w:w="650" w:type="pct"/>
            <w:vAlign w:val="center"/>
          </w:tcPr>
          <w:p w14:paraId="15A0136F">
            <w:pPr>
              <w:pStyle w:val="10"/>
              <w:spacing w:before="48"/>
              <w:rPr>
                <w:szCs w:val="24"/>
              </w:rPr>
            </w:pPr>
            <w:r>
              <w:rPr>
                <w:szCs w:val="24"/>
              </w:rPr>
              <w:t>采取消声、减震、隔声等措施</w:t>
            </w:r>
          </w:p>
        </w:tc>
        <w:tc>
          <w:tcPr>
            <w:tcW w:w="2425" w:type="pct"/>
            <w:gridSpan w:val="2"/>
            <w:vAlign w:val="center"/>
          </w:tcPr>
          <w:p w14:paraId="391657A0">
            <w:pPr>
              <w:pStyle w:val="10"/>
              <w:spacing w:before="48"/>
              <w:rPr>
                <w:szCs w:val="24"/>
              </w:rPr>
            </w:pPr>
            <w:r>
              <w:rPr>
                <w:szCs w:val="24"/>
              </w:rPr>
              <w:t>《工业企业厂界环境噪声排放标准》（GB12348-2008）中的2类标准</w:t>
            </w:r>
          </w:p>
        </w:tc>
      </w:tr>
      <w:tr w14:paraId="2AFF9B2A">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trHeight w:val="340" w:hRule="atLeast"/>
          <w:jc w:val="center"/>
        </w:trPr>
        <w:tc>
          <w:tcPr>
            <w:tcW w:w="502" w:type="pct"/>
            <w:vAlign w:val="center"/>
          </w:tcPr>
          <w:p w14:paraId="2798B7B1">
            <w:pPr>
              <w:pStyle w:val="10"/>
              <w:spacing w:before="48"/>
              <w:rPr>
                <w:szCs w:val="24"/>
              </w:rPr>
            </w:pPr>
            <w:r>
              <w:rPr>
                <w:szCs w:val="24"/>
              </w:rPr>
              <w:t>电磁辐射</w:t>
            </w:r>
          </w:p>
        </w:tc>
        <w:tc>
          <w:tcPr>
            <w:tcW w:w="4498" w:type="pct"/>
            <w:gridSpan w:val="6"/>
            <w:vAlign w:val="center"/>
          </w:tcPr>
          <w:p w14:paraId="28CBBC32">
            <w:pPr>
              <w:pStyle w:val="10"/>
              <w:spacing w:before="48"/>
              <w:rPr>
                <w:szCs w:val="24"/>
              </w:rPr>
            </w:pPr>
            <w:r>
              <w:rPr>
                <w:szCs w:val="24"/>
              </w:rPr>
              <w:t>/</w:t>
            </w:r>
          </w:p>
        </w:tc>
      </w:tr>
      <w:tr w14:paraId="58FF4A1E">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gridAfter w:val="1"/>
          <w:wAfter w:w="12" w:type="pct"/>
          <w:trHeight w:val="340" w:hRule="atLeast"/>
          <w:jc w:val="center"/>
        </w:trPr>
        <w:tc>
          <w:tcPr>
            <w:tcW w:w="502" w:type="pct"/>
            <w:vMerge w:val="restart"/>
            <w:vAlign w:val="center"/>
          </w:tcPr>
          <w:p w14:paraId="2AF05B4C">
            <w:pPr>
              <w:pStyle w:val="10"/>
              <w:spacing w:before="48"/>
              <w:rPr>
                <w:szCs w:val="24"/>
              </w:rPr>
            </w:pPr>
            <w:r>
              <w:rPr>
                <w:szCs w:val="24"/>
              </w:rPr>
              <w:t>固体废物</w:t>
            </w:r>
          </w:p>
        </w:tc>
        <w:tc>
          <w:tcPr>
            <w:tcW w:w="754" w:type="pct"/>
            <w:vAlign w:val="center"/>
          </w:tcPr>
          <w:p w14:paraId="61EB3F8F">
            <w:pPr>
              <w:pStyle w:val="10"/>
              <w:spacing w:before="48"/>
              <w:rPr>
                <w:szCs w:val="24"/>
              </w:rPr>
            </w:pPr>
            <w:r>
              <w:rPr>
                <w:szCs w:val="24"/>
              </w:rPr>
              <w:t>生活垃圾</w:t>
            </w:r>
          </w:p>
        </w:tc>
        <w:tc>
          <w:tcPr>
            <w:tcW w:w="1403" w:type="pct"/>
            <w:gridSpan w:val="3"/>
            <w:vAlign w:val="center"/>
          </w:tcPr>
          <w:p w14:paraId="18F23FB2">
            <w:pPr>
              <w:pStyle w:val="10"/>
              <w:spacing w:before="48"/>
              <w:rPr>
                <w:szCs w:val="24"/>
              </w:rPr>
            </w:pPr>
            <w:r>
              <w:rPr>
                <w:szCs w:val="24"/>
              </w:rPr>
              <w:t>交环卫部门统一</w:t>
            </w:r>
          </w:p>
          <w:p w14:paraId="208254FA">
            <w:pPr>
              <w:pStyle w:val="10"/>
              <w:spacing w:before="48"/>
              <w:rPr>
                <w:szCs w:val="24"/>
              </w:rPr>
            </w:pPr>
            <w:r>
              <w:rPr>
                <w:szCs w:val="24"/>
              </w:rPr>
              <w:t>清运</w:t>
            </w:r>
          </w:p>
        </w:tc>
        <w:tc>
          <w:tcPr>
            <w:tcW w:w="2329" w:type="pct"/>
            <w:vMerge w:val="restart"/>
            <w:vAlign w:val="center"/>
          </w:tcPr>
          <w:p w14:paraId="4302AEF8">
            <w:pPr>
              <w:pStyle w:val="10"/>
              <w:spacing w:before="48"/>
              <w:rPr>
                <w:szCs w:val="24"/>
              </w:rPr>
            </w:pPr>
            <w:r>
              <w:rPr>
                <w:szCs w:val="24"/>
              </w:rPr>
              <w:t>《中华人民共和国固体废物污染环境防治法》（2020年修订）、《广东省固体废物污染环境防治条例》（2022年修正）</w:t>
            </w:r>
          </w:p>
        </w:tc>
      </w:tr>
      <w:tr w14:paraId="55EA8F0E">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gridAfter w:val="1"/>
          <w:wAfter w:w="12" w:type="pct"/>
          <w:trHeight w:val="340" w:hRule="atLeast"/>
          <w:jc w:val="center"/>
        </w:trPr>
        <w:tc>
          <w:tcPr>
            <w:tcW w:w="502" w:type="pct"/>
            <w:vMerge w:val="continue"/>
            <w:vAlign w:val="center"/>
          </w:tcPr>
          <w:p w14:paraId="54CB3B90">
            <w:pPr>
              <w:pStyle w:val="10"/>
              <w:spacing w:before="48"/>
              <w:rPr>
                <w:szCs w:val="24"/>
              </w:rPr>
            </w:pPr>
          </w:p>
        </w:tc>
        <w:tc>
          <w:tcPr>
            <w:tcW w:w="754" w:type="pct"/>
            <w:vAlign w:val="center"/>
          </w:tcPr>
          <w:p w14:paraId="13B8D4EA">
            <w:pPr>
              <w:pStyle w:val="10"/>
              <w:spacing w:before="48"/>
              <w:rPr>
                <w:szCs w:val="24"/>
              </w:rPr>
            </w:pPr>
            <w:r>
              <w:rPr>
                <w:szCs w:val="24"/>
              </w:rPr>
              <w:t>一般固体废物</w:t>
            </w:r>
          </w:p>
        </w:tc>
        <w:tc>
          <w:tcPr>
            <w:tcW w:w="1403" w:type="pct"/>
            <w:gridSpan w:val="3"/>
            <w:vAlign w:val="center"/>
          </w:tcPr>
          <w:p w14:paraId="34CCC111">
            <w:pPr>
              <w:pStyle w:val="10"/>
              <w:spacing w:before="48"/>
              <w:rPr>
                <w:szCs w:val="24"/>
              </w:rPr>
            </w:pPr>
            <w:r>
              <w:rPr>
                <w:szCs w:val="24"/>
              </w:rPr>
              <w:t>专业回收公司回收</w:t>
            </w:r>
          </w:p>
        </w:tc>
        <w:tc>
          <w:tcPr>
            <w:tcW w:w="2329" w:type="pct"/>
            <w:vMerge w:val="continue"/>
            <w:vAlign w:val="center"/>
          </w:tcPr>
          <w:p w14:paraId="2E177B86">
            <w:pPr>
              <w:pStyle w:val="10"/>
              <w:spacing w:before="48"/>
              <w:rPr>
                <w:szCs w:val="24"/>
              </w:rPr>
            </w:pPr>
          </w:p>
        </w:tc>
      </w:tr>
      <w:tr w14:paraId="738DE40F">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gridAfter w:val="1"/>
          <w:wAfter w:w="12" w:type="pct"/>
          <w:trHeight w:val="340" w:hRule="atLeast"/>
          <w:jc w:val="center"/>
        </w:trPr>
        <w:tc>
          <w:tcPr>
            <w:tcW w:w="502" w:type="pct"/>
            <w:vMerge w:val="continue"/>
            <w:vAlign w:val="center"/>
          </w:tcPr>
          <w:p w14:paraId="227F01F3">
            <w:pPr>
              <w:pStyle w:val="10"/>
              <w:spacing w:before="48"/>
              <w:rPr>
                <w:szCs w:val="24"/>
              </w:rPr>
            </w:pPr>
          </w:p>
        </w:tc>
        <w:tc>
          <w:tcPr>
            <w:tcW w:w="754" w:type="pct"/>
            <w:vAlign w:val="center"/>
          </w:tcPr>
          <w:p w14:paraId="7D7A9666">
            <w:pPr>
              <w:pStyle w:val="10"/>
              <w:spacing w:before="48"/>
              <w:rPr>
                <w:szCs w:val="24"/>
              </w:rPr>
            </w:pPr>
            <w:r>
              <w:rPr>
                <w:szCs w:val="24"/>
              </w:rPr>
              <w:t>危险废物</w:t>
            </w:r>
          </w:p>
        </w:tc>
        <w:tc>
          <w:tcPr>
            <w:tcW w:w="1403" w:type="pct"/>
            <w:gridSpan w:val="3"/>
            <w:vAlign w:val="center"/>
          </w:tcPr>
          <w:p w14:paraId="62E8C010">
            <w:pPr>
              <w:pStyle w:val="10"/>
              <w:spacing w:before="48"/>
              <w:rPr>
                <w:szCs w:val="24"/>
              </w:rPr>
            </w:pPr>
            <w:r>
              <w:rPr>
                <w:szCs w:val="24"/>
              </w:rPr>
              <w:t>交由有危险废物处理资质的单位处理</w:t>
            </w:r>
          </w:p>
        </w:tc>
        <w:tc>
          <w:tcPr>
            <w:tcW w:w="2329" w:type="pct"/>
            <w:vAlign w:val="center"/>
          </w:tcPr>
          <w:p w14:paraId="161D0D24">
            <w:pPr>
              <w:pStyle w:val="10"/>
              <w:spacing w:before="48"/>
              <w:rPr>
                <w:szCs w:val="24"/>
              </w:rPr>
            </w:pPr>
            <w:r>
              <w:rPr>
                <w:szCs w:val="24"/>
              </w:rPr>
              <w:t>《危险废物贮存污染控制标准》（GB18597-2023）</w:t>
            </w:r>
          </w:p>
        </w:tc>
      </w:tr>
      <w:tr w14:paraId="22A2BBAA">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trHeight w:val="340" w:hRule="atLeast"/>
          <w:jc w:val="center"/>
        </w:trPr>
        <w:tc>
          <w:tcPr>
            <w:tcW w:w="502" w:type="pct"/>
            <w:vAlign w:val="center"/>
          </w:tcPr>
          <w:p w14:paraId="48C6166F">
            <w:pPr>
              <w:pStyle w:val="10"/>
              <w:spacing w:before="48"/>
              <w:rPr>
                <w:szCs w:val="24"/>
              </w:rPr>
            </w:pPr>
            <w:r>
              <w:rPr>
                <w:szCs w:val="24"/>
              </w:rPr>
              <w:t>土壤及地下水污染防治措施</w:t>
            </w:r>
          </w:p>
        </w:tc>
        <w:tc>
          <w:tcPr>
            <w:tcW w:w="4498" w:type="pct"/>
            <w:gridSpan w:val="6"/>
            <w:vAlign w:val="center"/>
          </w:tcPr>
          <w:p w14:paraId="72578553">
            <w:pPr>
              <w:pStyle w:val="10"/>
              <w:spacing w:before="48"/>
              <w:jc w:val="both"/>
              <w:rPr>
                <w:szCs w:val="24"/>
              </w:rPr>
            </w:pPr>
            <w:r>
              <w:rPr>
                <w:szCs w:val="24"/>
              </w:rPr>
              <w:t>危险废物暂存间基础防渗，防渗层为至少lm厚粘土层（渗透系数≤10</w:t>
            </w:r>
            <w:r>
              <w:rPr>
                <w:szCs w:val="24"/>
                <w:vertAlign w:val="superscript"/>
              </w:rPr>
              <w:t xml:space="preserve"> -7</w:t>
            </w:r>
            <w:r>
              <w:rPr>
                <w:szCs w:val="24"/>
              </w:rPr>
              <w:t>cm/s），或2mm厚高密度聚乙烯，或至少2mm厚的其它人工材料，渗透系数≤10</w:t>
            </w:r>
            <w:r>
              <w:rPr>
                <w:szCs w:val="24"/>
                <w:vertAlign w:val="superscript"/>
              </w:rPr>
              <w:t>-10</w:t>
            </w:r>
            <w:r>
              <w:rPr>
                <w:szCs w:val="24"/>
              </w:rPr>
              <w:t>cm/s；其他区域均进行水泥地面硬底化。</w:t>
            </w:r>
          </w:p>
        </w:tc>
      </w:tr>
      <w:tr w14:paraId="4009B4DC">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trHeight w:val="340" w:hRule="atLeast"/>
          <w:jc w:val="center"/>
        </w:trPr>
        <w:tc>
          <w:tcPr>
            <w:tcW w:w="502" w:type="pct"/>
            <w:vAlign w:val="center"/>
          </w:tcPr>
          <w:p w14:paraId="58061BA2">
            <w:pPr>
              <w:pStyle w:val="10"/>
              <w:spacing w:before="48"/>
              <w:rPr>
                <w:szCs w:val="24"/>
              </w:rPr>
            </w:pPr>
            <w:r>
              <w:rPr>
                <w:szCs w:val="24"/>
              </w:rPr>
              <w:t>生态保护措施</w:t>
            </w:r>
          </w:p>
        </w:tc>
        <w:tc>
          <w:tcPr>
            <w:tcW w:w="4498" w:type="pct"/>
            <w:gridSpan w:val="6"/>
            <w:vAlign w:val="center"/>
          </w:tcPr>
          <w:p w14:paraId="7D5EFC80">
            <w:pPr>
              <w:pStyle w:val="10"/>
              <w:spacing w:before="48"/>
              <w:rPr>
                <w:szCs w:val="24"/>
              </w:rPr>
            </w:pPr>
            <w:r>
              <w:rPr>
                <w:szCs w:val="24"/>
              </w:rPr>
              <w:t>/</w:t>
            </w:r>
          </w:p>
        </w:tc>
      </w:tr>
      <w:tr w14:paraId="612ED913">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trHeight w:val="340" w:hRule="atLeast"/>
          <w:jc w:val="center"/>
        </w:trPr>
        <w:tc>
          <w:tcPr>
            <w:tcW w:w="502" w:type="pct"/>
            <w:vAlign w:val="center"/>
          </w:tcPr>
          <w:p w14:paraId="0329A49B">
            <w:pPr>
              <w:pStyle w:val="10"/>
              <w:spacing w:before="48"/>
              <w:rPr>
                <w:spacing w:val="-8"/>
                <w:szCs w:val="24"/>
              </w:rPr>
            </w:pPr>
            <w:r>
              <w:rPr>
                <w:spacing w:val="-8"/>
                <w:szCs w:val="24"/>
              </w:rPr>
              <w:t>环境风险防范措施</w:t>
            </w:r>
          </w:p>
        </w:tc>
        <w:tc>
          <w:tcPr>
            <w:tcW w:w="4498" w:type="pct"/>
            <w:gridSpan w:val="6"/>
            <w:vAlign w:val="center"/>
          </w:tcPr>
          <w:p w14:paraId="6F9C7B30">
            <w:pPr>
              <w:pStyle w:val="10"/>
              <w:spacing w:before="48"/>
              <w:jc w:val="both"/>
              <w:rPr>
                <w:szCs w:val="24"/>
              </w:rPr>
            </w:pPr>
            <w:r>
              <w:rPr>
                <w:szCs w:val="24"/>
              </w:rPr>
              <w:t>建立台账管理制度，确保治理设施正常稳定运行。加强用火管理，厂区内严禁烟火，配备一定数量的灭火器，并定期检查确保其可正常使用，加强电气设备及线路检查，防止线路和设备老化造成的引发事故；制定严格的生产操作规程，加强作业工人的安全教育，杜绝工作失误造成的事故。</w:t>
            </w:r>
          </w:p>
        </w:tc>
      </w:tr>
      <w:tr w14:paraId="74D736C5">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trHeight w:val="340" w:hRule="atLeast"/>
          <w:jc w:val="center"/>
        </w:trPr>
        <w:tc>
          <w:tcPr>
            <w:tcW w:w="502" w:type="pct"/>
            <w:vAlign w:val="center"/>
          </w:tcPr>
          <w:p w14:paraId="0F8592DA">
            <w:pPr>
              <w:pStyle w:val="10"/>
              <w:spacing w:before="48"/>
              <w:rPr>
                <w:spacing w:val="-8"/>
                <w:szCs w:val="24"/>
              </w:rPr>
            </w:pPr>
            <w:r>
              <w:rPr>
                <w:spacing w:val="-8"/>
                <w:szCs w:val="24"/>
              </w:rPr>
              <w:t>其他环境管理要求</w:t>
            </w:r>
          </w:p>
        </w:tc>
        <w:tc>
          <w:tcPr>
            <w:tcW w:w="4498" w:type="pct"/>
            <w:gridSpan w:val="6"/>
            <w:vAlign w:val="center"/>
          </w:tcPr>
          <w:p w14:paraId="125F80A7">
            <w:pPr>
              <w:pStyle w:val="10"/>
              <w:spacing w:before="48"/>
              <w:rPr>
                <w:szCs w:val="24"/>
              </w:rPr>
            </w:pPr>
            <w:r>
              <w:rPr>
                <w:szCs w:val="24"/>
              </w:rPr>
              <w:t>/</w:t>
            </w:r>
          </w:p>
        </w:tc>
      </w:tr>
    </w:tbl>
    <w:p w14:paraId="7F5D14EE">
      <w:pPr>
        <w:adjustRightInd/>
        <w:snapToGrid/>
        <w:ind w:firstLine="420"/>
        <w:rPr>
          <w:rFonts w:asciiTheme="majorBidi" w:hAnsiTheme="majorBidi" w:eastAsiaTheme="minorEastAsia" w:cstheme="majorBidi"/>
          <w:color w:val="000000" w:themeColor="text1"/>
          <w:kern w:val="2"/>
          <w:sz w:val="21"/>
          <w14:textFill>
            <w14:solidFill>
              <w14:schemeClr w14:val="tx1"/>
            </w14:solidFill>
          </w14:textFill>
        </w:rPr>
      </w:pPr>
    </w:p>
    <w:p w14:paraId="5D9F1696">
      <w:pPr>
        <w:pStyle w:val="19"/>
        <w:ind w:firstLine="602"/>
        <w:rPr>
          <w:rFonts w:asciiTheme="majorBidi" w:hAnsiTheme="majorBidi" w:cstheme="majorBidi"/>
          <w:color w:val="000000" w:themeColor="text1"/>
          <w14:textFill>
            <w14:solidFill>
              <w14:schemeClr w14:val="tx1"/>
            </w14:solidFill>
          </w14:textFill>
        </w:rPr>
        <w:sectPr>
          <w:pgSz w:w="11906" w:h="16838"/>
          <w:pgMar w:top="1418" w:right="1134" w:bottom="1418" w:left="1134" w:header="708" w:footer="708" w:gutter="0"/>
          <w:cols w:space="708" w:num="1"/>
          <w:docGrid w:linePitch="360" w:charSpace="0"/>
        </w:sectPr>
      </w:pPr>
    </w:p>
    <w:p w14:paraId="57E60D25">
      <w:pPr>
        <w:pStyle w:val="19"/>
        <w:ind w:firstLine="602"/>
        <w:rPr>
          <w:rFonts w:asciiTheme="majorBidi" w:hAnsiTheme="majorBidi" w:cstheme="majorBidi"/>
          <w:color w:val="000000" w:themeColor="text1"/>
          <w14:textFill>
            <w14:solidFill>
              <w14:schemeClr w14:val="tx1"/>
            </w14:solidFill>
          </w14:textFill>
        </w:rPr>
      </w:pPr>
      <w:bookmarkStart w:id="17" w:name="_Toc200987724"/>
      <w:bookmarkStart w:id="18" w:name="_Toc199146999"/>
      <w:r>
        <w:rPr>
          <w:rFonts w:asciiTheme="majorBidi" w:hAnsiTheme="majorBidi" w:cstheme="majorBidi"/>
          <w:color w:val="000000" w:themeColor="text1"/>
          <w14:textFill>
            <w14:solidFill>
              <w14:schemeClr w14:val="tx1"/>
            </w14:solidFill>
          </w14:textFill>
        </w:rPr>
        <w:t>六、结论</w:t>
      </w:r>
      <w:bookmarkEnd w:id="17"/>
      <w:bookmarkEnd w:id="18"/>
    </w:p>
    <w:tbl>
      <w:tblPr>
        <w:tblStyle w:val="21"/>
        <w:tblW w:w="5000" w:type="pct"/>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autofit"/>
        <w:tblCellMar>
          <w:top w:w="0" w:type="dxa"/>
          <w:left w:w="108" w:type="dxa"/>
          <w:bottom w:w="0" w:type="dxa"/>
          <w:right w:w="108" w:type="dxa"/>
        </w:tblCellMar>
      </w:tblPr>
      <w:tblGrid>
        <w:gridCol w:w="9854"/>
      </w:tblGrid>
      <w:tr w14:paraId="0C96267C">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3041" w:hRule="exact"/>
          <w:jc w:val="center"/>
        </w:trPr>
        <w:tc>
          <w:tcPr>
            <w:tcW w:w="5000" w:type="pct"/>
            <w:vAlign w:val="center"/>
          </w:tcPr>
          <w:p w14:paraId="2F931810">
            <w:pPr>
              <w:ind w:firstLine="480"/>
              <w:rPr>
                <w:rFonts w:asciiTheme="majorBidi" w:hAnsiTheme="majorBidi" w:eastAsiaTheme="minorEastAsia" w:cstheme="majorBidi"/>
                <w:color w:val="000000" w:themeColor="text1"/>
                <w14:textFill>
                  <w14:solidFill>
                    <w14:schemeClr w14:val="tx1"/>
                  </w14:solidFill>
                </w14:textFill>
              </w:rPr>
            </w:pPr>
            <w:r>
              <w:rPr>
                <w:rFonts w:asciiTheme="majorBidi" w:hAnsiTheme="majorBidi" w:eastAsiaTheme="minorEastAsia" w:cstheme="majorBidi"/>
                <w:color w:val="000000" w:themeColor="text1"/>
                <w14:textFill>
                  <w14:solidFill>
                    <w14:schemeClr w14:val="tx1"/>
                  </w14:solidFill>
                </w14:textFill>
              </w:rPr>
              <w:t>项目符合产业政策，土地功能符合规划要求，所在区域环境容量许可。</w:t>
            </w:r>
          </w:p>
          <w:p w14:paraId="1EFA8855">
            <w:pPr>
              <w:ind w:firstLine="480"/>
              <w:rPr>
                <w:rFonts w:asciiTheme="majorBidi" w:hAnsiTheme="majorBidi" w:eastAsiaTheme="minorEastAsia" w:cstheme="majorBidi"/>
                <w:color w:val="000000" w:themeColor="text1"/>
                <w14:textFill>
                  <w14:solidFill>
                    <w14:schemeClr w14:val="tx1"/>
                  </w14:solidFill>
                </w14:textFill>
              </w:rPr>
            </w:pPr>
            <w:r>
              <w:rPr>
                <w:rFonts w:asciiTheme="majorBidi" w:hAnsiTheme="majorBidi" w:eastAsiaTheme="minorEastAsia" w:cstheme="majorBidi"/>
                <w:color w:val="000000" w:themeColor="text1"/>
                <w14:textFill>
                  <w14:solidFill>
                    <w14:schemeClr w14:val="tx1"/>
                  </w14:solidFill>
                </w14:textFill>
              </w:rPr>
              <w:t>如项目在建设和运行期间能够按照本报告的要求落实各项污染控制措施，所产生的污染物能达标排放，则该项目建成及投入运行后对周围环境影响不大，从环境保护角度分析，该项目是可行的。</w:t>
            </w:r>
          </w:p>
          <w:p w14:paraId="7E174A11">
            <w:pPr>
              <w:ind w:firstLine="480"/>
              <w:rPr>
                <w:rFonts w:asciiTheme="majorBidi" w:hAnsiTheme="majorBidi" w:eastAsiaTheme="minorEastAsia" w:cstheme="majorBidi"/>
                <w:color w:val="000000" w:themeColor="text1"/>
                <w14:textFill>
                  <w14:solidFill>
                    <w14:schemeClr w14:val="tx1"/>
                  </w14:solidFill>
                </w14:textFill>
              </w:rPr>
            </w:pPr>
          </w:p>
          <w:p w14:paraId="279983CC">
            <w:pPr>
              <w:ind w:firstLine="480"/>
              <w:rPr>
                <w:rFonts w:asciiTheme="majorBidi" w:hAnsiTheme="majorBidi" w:eastAsiaTheme="minorEastAsia" w:cstheme="majorBidi"/>
                <w:color w:val="000000" w:themeColor="text1"/>
                <w14:textFill>
                  <w14:solidFill>
                    <w14:schemeClr w14:val="tx1"/>
                  </w14:solidFill>
                </w14:textFill>
              </w:rPr>
            </w:pPr>
          </w:p>
          <w:p w14:paraId="11918A12">
            <w:pPr>
              <w:ind w:firstLine="480"/>
              <w:rPr>
                <w:rFonts w:asciiTheme="majorBidi" w:hAnsiTheme="majorBidi" w:eastAsiaTheme="minorEastAsia" w:cstheme="majorBidi"/>
                <w:color w:val="000000" w:themeColor="text1"/>
                <w14:textFill>
                  <w14:solidFill>
                    <w14:schemeClr w14:val="tx1"/>
                  </w14:solidFill>
                </w14:textFill>
              </w:rPr>
            </w:pPr>
          </w:p>
          <w:p w14:paraId="6E8BE0A1">
            <w:pPr>
              <w:ind w:firstLine="480"/>
              <w:rPr>
                <w:rFonts w:asciiTheme="majorBidi" w:hAnsiTheme="majorBidi" w:eastAsiaTheme="minorEastAsia" w:cstheme="majorBidi"/>
                <w:color w:val="000000" w:themeColor="text1"/>
                <w14:textFill>
                  <w14:solidFill>
                    <w14:schemeClr w14:val="tx1"/>
                  </w14:solidFill>
                </w14:textFill>
              </w:rPr>
            </w:pPr>
          </w:p>
          <w:p w14:paraId="2871D0AD">
            <w:pPr>
              <w:ind w:firstLine="480"/>
              <w:rPr>
                <w:rFonts w:asciiTheme="majorBidi" w:hAnsiTheme="majorBidi" w:eastAsiaTheme="minorEastAsia" w:cstheme="majorBidi"/>
                <w:color w:val="000000" w:themeColor="text1"/>
                <w14:textFill>
                  <w14:solidFill>
                    <w14:schemeClr w14:val="tx1"/>
                  </w14:solidFill>
                </w14:textFill>
              </w:rPr>
            </w:pPr>
          </w:p>
          <w:p w14:paraId="2EB63055">
            <w:pPr>
              <w:ind w:firstLine="480"/>
              <w:rPr>
                <w:rFonts w:asciiTheme="majorBidi" w:hAnsiTheme="majorBidi" w:eastAsiaTheme="minorEastAsia" w:cstheme="majorBidi"/>
                <w:color w:val="000000" w:themeColor="text1"/>
                <w14:textFill>
                  <w14:solidFill>
                    <w14:schemeClr w14:val="tx1"/>
                  </w14:solidFill>
                </w14:textFill>
              </w:rPr>
            </w:pPr>
          </w:p>
          <w:p w14:paraId="396829BD">
            <w:pPr>
              <w:ind w:firstLine="480"/>
              <w:rPr>
                <w:rFonts w:asciiTheme="majorBidi" w:hAnsiTheme="majorBidi" w:eastAsiaTheme="minorEastAsia" w:cstheme="majorBidi"/>
                <w:color w:val="000000" w:themeColor="text1"/>
                <w14:textFill>
                  <w14:solidFill>
                    <w14:schemeClr w14:val="tx1"/>
                  </w14:solidFill>
                </w14:textFill>
              </w:rPr>
            </w:pPr>
          </w:p>
          <w:p w14:paraId="24D8569D">
            <w:pPr>
              <w:ind w:firstLine="480"/>
              <w:rPr>
                <w:rFonts w:asciiTheme="majorBidi" w:hAnsiTheme="majorBidi" w:eastAsiaTheme="minorEastAsia" w:cstheme="majorBidi"/>
                <w:color w:val="000000" w:themeColor="text1"/>
                <w14:textFill>
                  <w14:solidFill>
                    <w14:schemeClr w14:val="tx1"/>
                  </w14:solidFill>
                </w14:textFill>
              </w:rPr>
            </w:pPr>
          </w:p>
          <w:p w14:paraId="2C07942C">
            <w:pPr>
              <w:ind w:firstLine="480"/>
              <w:rPr>
                <w:rFonts w:asciiTheme="majorBidi" w:hAnsiTheme="majorBidi" w:eastAsiaTheme="minorEastAsia" w:cstheme="majorBidi"/>
                <w:color w:val="000000" w:themeColor="text1"/>
                <w14:textFill>
                  <w14:solidFill>
                    <w14:schemeClr w14:val="tx1"/>
                  </w14:solidFill>
                </w14:textFill>
              </w:rPr>
            </w:pPr>
          </w:p>
          <w:p w14:paraId="65C76489">
            <w:pPr>
              <w:ind w:firstLine="480"/>
              <w:rPr>
                <w:rFonts w:asciiTheme="majorBidi" w:hAnsiTheme="majorBidi" w:eastAsiaTheme="minorEastAsia" w:cstheme="majorBidi"/>
                <w:color w:val="000000" w:themeColor="text1"/>
                <w14:textFill>
                  <w14:solidFill>
                    <w14:schemeClr w14:val="tx1"/>
                  </w14:solidFill>
                </w14:textFill>
              </w:rPr>
            </w:pPr>
          </w:p>
          <w:p w14:paraId="2814106D">
            <w:pPr>
              <w:ind w:firstLine="480"/>
              <w:rPr>
                <w:rFonts w:asciiTheme="majorBidi" w:hAnsiTheme="majorBidi" w:eastAsiaTheme="minorEastAsia" w:cstheme="majorBidi"/>
                <w:color w:val="000000" w:themeColor="text1"/>
                <w14:textFill>
                  <w14:solidFill>
                    <w14:schemeClr w14:val="tx1"/>
                  </w14:solidFill>
                </w14:textFill>
              </w:rPr>
            </w:pPr>
          </w:p>
          <w:p w14:paraId="012B3E66">
            <w:pPr>
              <w:ind w:firstLine="480"/>
              <w:rPr>
                <w:rFonts w:asciiTheme="majorBidi" w:hAnsiTheme="majorBidi" w:eastAsiaTheme="minorEastAsia" w:cstheme="majorBidi"/>
                <w:color w:val="000000" w:themeColor="text1"/>
                <w14:textFill>
                  <w14:solidFill>
                    <w14:schemeClr w14:val="tx1"/>
                  </w14:solidFill>
                </w14:textFill>
              </w:rPr>
            </w:pPr>
          </w:p>
          <w:p w14:paraId="348D372B">
            <w:pPr>
              <w:ind w:firstLine="480"/>
              <w:rPr>
                <w:rFonts w:asciiTheme="majorBidi" w:hAnsiTheme="majorBidi" w:eastAsiaTheme="minorEastAsia" w:cstheme="majorBidi"/>
                <w:color w:val="000000" w:themeColor="text1"/>
                <w14:textFill>
                  <w14:solidFill>
                    <w14:schemeClr w14:val="tx1"/>
                  </w14:solidFill>
                </w14:textFill>
              </w:rPr>
            </w:pPr>
          </w:p>
          <w:p w14:paraId="59D54486">
            <w:pPr>
              <w:ind w:firstLine="480"/>
              <w:rPr>
                <w:rFonts w:asciiTheme="majorBidi" w:hAnsiTheme="majorBidi" w:eastAsiaTheme="minorEastAsia" w:cstheme="majorBidi"/>
                <w:color w:val="000000" w:themeColor="text1"/>
                <w14:textFill>
                  <w14:solidFill>
                    <w14:schemeClr w14:val="tx1"/>
                  </w14:solidFill>
                </w14:textFill>
              </w:rPr>
            </w:pPr>
          </w:p>
          <w:p w14:paraId="12818970">
            <w:pPr>
              <w:ind w:firstLine="480"/>
              <w:rPr>
                <w:rFonts w:asciiTheme="majorBidi" w:hAnsiTheme="majorBidi" w:eastAsiaTheme="minorEastAsia" w:cstheme="majorBidi"/>
                <w:color w:val="000000" w:themeColor="text1"/>
                <w14:textFill>
                  <w14:solidFill>
                    <w14:schemeClr w14:val="tx1"/>
                  </w14:solidFill>
                </w14:textFill>
              </w:rPr>
            </w:pPr>
          </w:p>
          <w:p w14:paraId="37696A27">
            <w:pPr>
              <w:ind w:firstLine="480"/>
              <w:rPr>
                <w:rFonts w:asciiTheme="majorBidi" w:hAnsiTheme="majorBidi" w:eastAsiaTheme="minorEastAsia" w:cstheme="majorBidi"/>
                <w:color w:val="000000" w:themeColor="text1"/>
                <w14:textFill>
                  <w14:solidFill>
                    <w14:schemeClr w14:val="tx1"/>
                  </w14:solidFill>
                </w14:textFill>
              </w:rPr>
            </w:pPr>
          </w:p>
          <w:p w14:paraId="219D8A29">
            <w:pPr>
              <w:ind w:firstLine="480"/>
              <w:rPr>
                <w:rFonts w:asciiTheme="majorBidi" w:hAnsiTheme="majorBidi" w:eastAsiaTheme="minorEastAsia" w:cstheme="majorBidi"/>
                <w:color w:val="000000" w:themeColor="text1"/>
                <w14:textFill>
                  <w14:solidFill>
                    <w14:schemeClr w14:val="tx1"/>
                  </w14:solidFill>
                </w14:textFill>
              </w:rPr>
            </w:pPr>
          </w:p>
          <w:p w14:paraId="69150379">
            <w:pPr>
              <w:ind w:firstLine="480"/>
              <w:rPr>
                <w:rFonts w:asciiTheme="majorBidi" w:hAnsiTheme="majorBidi" w:eastAsiaTheme="minorEastAsia" w:cstheme="majorBidi"/>
                <w:color w:val="000000" w:themeColor="text1"/>
                <w14:textFill>
                  <w14:solidFill>
                    <w14:schemeClr w14:val="tx1"/>
                  </w14:solidFill>
                </w14:textFill>
              </w:rPr>
            </w:pPr>
          </w:p>
          <w:p w14:paraId="5133E478">
            <w:pPr>
              <w:ind w:firstLine="480"/>
              <w:rPr>
                <w:rFonts w:asciiTheme="majorBidi" w:hAnsiTheme="majorBidi" w:eastAsiaTheme="minorEastAsia" w:cstheme="majorBidi"/>
                <w:color w:val="000000" w:themeColor="text1"/>
                <w14:textFill>
                  <w14:solidFill>
                    <w14:schemeClr w14:val="tx1"/>
                  </w14:solidFill>
                </w14:textFill>
              </w:rPr>
            </w:pPr>
          </w:p>
          <w:p w14:paraId="3776882F">
            <w:pPr>
              <w:ind w:firstLine="480"/>
              <w:rPr>
                <w:rFonts w:asciiTheme="majorBidi" w:hAnsiTheme="majorBidi" w:eastAsiaTheme="minorEastAsia" w:cstheme="majorBidi"/>
                <w:color w:val="000000" w:themeColor="text1"/>
                <w14:textFill>
                  <w14:solidFill>
                    <w14:schemeClr w14:val="tx1"/>
                  </w14:solidFill>
                </w14:textFill>
              </w:rPr>
            </w:pPr>
          </w:p>
          <w:p w14:paraId="6BDCFD20">
            <w:pPr>
              <w:ind w:firstLine="480"/>
              <w:rPr>
                <w:rFonts w:asciiTheme="majorBidi" w:hAnsiTheme="majorBidi" w:eastAsiaTheme="minorEastAsia" w:cstheme="majorBidi"/>
                <w:color w:val="000000" w:themeColor="text1"/>
                <w14:textFill>
                  <w14:solidFill>
                    <w14:schemeClr w14:val="tx1"/>
                  </w14:solidFill>
                </w14:textFill>
              </w:rPr>
            </w:pPr>
          </w:p>
          <w:p w14:paraId="2D564EAE">
            <w:pPr>
              <w:ind w:firstLine="480"/>
              <w:rPr>
                <w:rFonts w:asciiTheme="majorBidi" w:hAnsiTheme="majorBidi" w:eastAsiaTheme="minorEastAsia" w:cstheme="majorBidi"/>
                <w:color w:val="000000" w:themeColor="text1"/>
                <w14:textFill>
                  <w14:solidFill>
                    <w14:schemeClr w14:val="tx1"/>
                  </w14:solidFill>
                </w14:textFill>
              </w:rPr>
            </w:pPr>
          </w:p>
          <w:p w14:paraId="40138E68">
            <w:pPr>
              <w:ind w:firstLine="480"/>
              <w:rPr>
                <w:rFonts w:asciiTheme="majorBidi" w:hAnsiTheme="majorBidi" w:eastAsiaTheme="minorEastAsia" w:cstheme="majorBidi"/>
                <w:color w:val="000000" w:themeColor="text1"/>
                <w14:textFill>
                  <w14:solidFill>
                    <w14:schemeClr w14:val="tx1"/>
                  </w14:solidFill>
                </w14:textFill>
              </w:rPr>
            </w:pPr>
          </w:p>
          <w:p w14:paraId="5CDEA50C">
            <w:pPr>
              <w:ind w:firstLine="480"/>
              <w:rPr>
                <w:rFonts w:asciiTheme="majorBidi" w:hAnsiTheme="majorBidi" w:eastAsiaTheme="minorEastAsia" w:cstheme="majorBidi"/>
                <w:color w:val="000000" w:themeColor="text1"/>
                <w14:textFill>
                  <w14:solidFill>
                    <w14:schemeClr w14:val="tx1"/>
                  </w14:solidFill>
                </w14:textFill>
              </w:rPr>
            </w:pPr>
          </w:p>
          <w:p w14:paraId="390EEC90">
            <w:pPr>
              <w:ind w:firstLine="480"/>
              <w:rPr>
                <w:rFonts w:asciiTheme="majorBidi" w:hAnsiTheme="majorBidi" w:eastAsiaTheme="minorEastAsia" w:cstheme="majorBidi"/>
                <w:color w:val="000000" w:themeColor="text1"/>
                <w14:textFill>
                  <w14:solidFill>
                    <w14:schemeClr w14:val="tx1"/>
                  </w14:solidFill>
                </w14:textFill>
              </w:rPr>
            </w:pPr>
          </w:p>
        </w:tc>
      </w:tr>
    </w:tbl>
    <w:p w14:paraId="3726F9A8">
      <w:pPr>
        <w:ind w:firstLine="640"/>
        <w:outlineLvl w:val="0"/>
        <w:rPr>
          <w:rFonts w:asciiTheme="majorBidi" w:hAnsiTheme="majorBidi" w:eastAsiaTheme="minorEastAsia" w:cstheme="majorBidi"/>
          <w:snapToGrid w:val="0"/>
          <w:color w:val="000000" w:themeColor="text1"/>
          <w:sz w:val="32"/>
          <w:szCs w:val="32"/>
          <w14:textFill>
            <w14:solidFill>
              <w14:schemeClr w14:val="tx1"/>
            </w14:solidFill>
          </w14:textFill>
        </w:rPr>
        <w:sectPr>
          <w:pgSz w:w="11906" w:h="16838"/>
          <w:pgMar w:top="1418" w:right="1134" w:bottom="1418" w:left="1134" w:header="708" w:footer="708" w:gutter="0"/>
          <w:cols w:space="708" w:num="1"/>
          <w:docGrid w:linePitch="360" w:charSpace="0"/>
        </w:sectPr>
      </w:pPr>
    </w:p>
    <w:p w14:paraId="2F792BDB">
      <w:pPr>
        <w:ind w:firstLine="640"/>
        <w:outlineLvl w:val="0"/>
        <w:rPr>
          <w:rFonts w:asciiTheme="majorBidi" w:hAnsiTheme="majorBidi" w:eastAsiaTheme="minorEastAsia" w:cstheme="majorBidi"/>
          <w:snapToGrid w:val="0"/>
          <w:color w:val="000000" w:themeColor="text1"/>
          <w:sz w:val="32"/>
          <w:szCs w:val="32"/>
          <w14:textFill>
            <w14:solidFill>
              <w14:schemeClr w14:val="tx1"/>
            </w14:solidFill>
          </w14:textFill>
        </w:rPr>
      </w:pPr>
      <w:bookmarkStart w:id="19" w:name="_Toc199147000"/>
      <w:bookmarkStart w:id="20" w:name="_Toc200987725"/>
      <w:r>
        <w:rPr>
          <w:rFonts w:asciiTheme="majorBidi" w:hAnsiTheme="majorBidi" w:eastAsiaTheme="minorEastAsia" w:cstheme="majorBidi"/>
          <w:snapToGrid w:val="0"/>
          <w:color w:val="000000" w:themeColor="text1"/>
          <w:sz w:val="32"/>
          <w:szCs w:val="32"/>
          <w14:textFill>
            <w14:solidFill>
              <w14:schemeClr w14:val="tx1"/>
            </w14:solidFill>
          </w14:textFill>
        </w:rPr>
        <w:t>附表</w:t>
      </w:r>
      <w:bookmarkEnd w:id="19"/>
      <w:bookmarkEnd w:id="20"/>
    </w:p>
    <w:p w14:paraId="56942C6D">
      <w:pPr>
        <w:ind w:firstLine="760"/>
        <w:jc w:val="center"/>
        <w:outlineLvl w:val="0"/>
        <w:rPr>
          <w:rFonts w:asciiTheme="majorBidi" w:hAnsiTheme="majorBidi" w:eastAsiaTheme="minorEastAsia" w:cstheme="majorBidi"/>
          <w:snapToGrid w:val="0"/>
          <w:color w:val="000000" w:themeColor="text1"/>
          <w:sz w:val="38"/>
          <w:szCs w:val="38"/>
          <w14:textFill>
            <w14:solidFill>
              <w14:schemeClr w14:val="tx1"/>
            </w14:solidFill>
          </w14:textFill>
        </w:rPr>
      </w:pPr>
      <w:bookmarkStart w:id="21" w:name="_Toc199147001"/>
      <w:bookmarkStart w:id="22" w:name="_Toc200987726"/>
      <w:r>
        <w:rPr>
          <w:rFonts w:asciiTheme="majorBidi" w:hAnsiTheme="majorBidi" w:eastAsiaTheme="minorEastAsia" w:cstheme="majorBidi"/>
          <w:snapToGrid w:val="0"/>
          <w:color w:val="000000" w:themeColor="text1"/>
          <w:sz w:val="38"/>
          <w:szCs w:val="38"/>
          <w14:textFill>
            <w14:solidFill>
              <w14:schemeClr w14:val="tx1"/>
            </w14:solidFill>
          </w14:textFill>
        </w:rPr>
        <w:t>建设项目污染物排放量汇总表</w:t>
      </w:r>
      <w:bookmarkEnd w:id="21"/>
      <w:bookmarkEnd w:id="22"/>
    </w:p>
    <w:tbl>
      <w:tblPr>
        <w:tblStyle w:val="21"/>
        <w:tblW w:w="14100" w:type="dxa"/>
        <w:tblInd w:w="0" w:type="dxa"/>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autofit"/>
        <w:tblCellMar>
          <w:top w:w="0" w:type="dxa"/>
          <w:left w:w="108" w:type="dxa"/>
          <w:bottom w:w="0" w:type="dxa"/>
          <w:right w:w="108" w:type="dxa"/>
        </w:tblCellMar>
      </w:tblPr>
      <w:tblGrid>
        <w:gridCol w:w="1691"/>
        <w:gridCol w:w="1787"/>
        <w:gridCol w:w="1517"/>
        <w:gridCol w:w="1517"/>
        <w:gridCol w:w="1518"/>
        <w:gridCol w:w="1517"/>
        <w:gridCol w:w="1518"/>
        <w:gridCol w:w="1517"/>
        <w:gridCol w:w="1518"/>
      </w:tblGrid>
      <w:tr w14:paraId="19B1EB34">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40" w:hRule="atLeast"/>
        </w:trPr>
        <w:tc>
          <w:tcPr>
            <w:tcW w:w="1691" w:type="dxa"/>
            <w:tcBorders>
              <w:tl2br w:val="single" w:color="auto" w:sz="8" w:space="0"/>
            </w:tcBorders>
            <w:shd w:val="clear" w:color="auto" w:fill="auto"/>
            <w:vAlign w:val="center"/>
          </w:tcPr>
          <w:p w14:paraId="61FB6933">
            <w:pPr>
              <w:pStyle w:val="29"/>
              <w:rPr>
                <w:b/>
                <w:bCs/>
              </w:rPr>
            </w:pPr>
            <w:r>
              <w:rPr>
                <w:b/>
                <w:bCs/>
              </w:rPr>
              <w:t>项目</w:t>
            </w:r>
          </w:p>
          <w:p w14:paraId="28724694">
            <w:pPr>
              <w:pStyle w:val="29"/>
              <w:rPr>
                <w:b/>
                <w:bCs/>
              </w:rPr>
            </w:pPr>
            <w:r>
              <w:rPr>
                <w:b/>
                <w:bCs/>
              </w:rPr>
              <w:t>分类</w:t>
            </w:r>
          </w:p>
        </w:tc>
        <w:tc>
          <w:tcPr>
            <w:tcW w:w="1787" w:type="dxa"/>
            <w:shd w:val="clear" w:color="auto" w:fill="auto"/>
            <w:vAlign w:val="center"/>
          </w:tcPr>
          <w:p w14:paraId="430A6E30">
            <w:pPr>
              <w:pStyle w:val="29"/>
              <w:rPr>
                <w:b/>
                <w:bCs/>
              </w:rPr>
            </w:pPr>
            <w:r>
              <w:rPr>
                <w:b/>
                <w:bCs/>
              </w:rPr>
              <w:t>污染物名称</w:t>
            </w:r>
          </w:p>
        </w:tc>
        <w:tc>
          <w:tcPr>
            <w:tcW w:w="1517" w:type="dxa"/>
            <w:shd w:val="clear" w:color="auto" w:fill="auto"/>
            <w:vAlign w:val="center"/>
          </w:tcPr>
          <w:p w14:paraId="0231F9CA">
            <w:pPr>
              <w:pStyle w:val="29"/>
              <w:rPr>
                <w:b/>
                <w:bCs/>
              </w:rPr>
            </w:pPr>
            <w:r>
              <w:rPr>
                <w:b/>
                <w:bCs/>
              </w:rPr>
              <w:t>现有工程排放量（固体废物产生量）</w:t>
            </w:r>
            <w:r>
              <w:rPr>
                <w:rFonts w:ascii="Cambria Math" w:hAnsi="Cambria Math" w:cs="Cambria Math"/>
                <w:b/>
                <w:bCs/>
              </w:rPr>
              <w:t>①</w:t>
            </w:r>
          </w:p>
        </w:tc>
        <w:tc>
          <w:tcPr>
            <w:tcW w:w="1517" w:type="dxa"/>
            <w:shd w:val="clear" w:color="auto" w:fill="auto"/>
            <w:vAlign w:val="center"/>
          </w:tcPr>
          <w:p w14:paraId="52485F66">
            <w:pPr>
              <w:pStyle w:val="29"/>
              <w:rPr>
                <w:b/>
                <w:bCs/>
              </w:rPr>
            </w:pPr>
            <w:r>
              <w:rPr>
                <w:b/>
                <w:bCs/>
              </w:rPr>
              <w:t>现有工程许可排放量</w:t>
            </w:r>
            <w:r>
              <w:rPr>
                <w:rFonts w:ascii="Cambria Math" w:hAnsi="Cambria Math" w:cs="Cambria Math"/>
                <w:b/>
                <w:bCs/>
              </w:rPr>
              <w:t>②</w:t>
            </w:r>
          </w:p>
        </w:tc>
        <w:tc>
          <w:tcPr>
            <w:tcW w:w="1518" w:type="dxa"/>
            <w:shd w:val="clear" w:color="auto" w:fill="auto"/>
            <w:vAlign w:val="center"/>
          </w:tcPr>
          <w:p w14:paraId="3D809B8E">
            <w:pPr>
              <w:pStyle w:val="29"/>
              <w:rPr>
                <w:b/>
                <w:bCs/>
              </w:rPr>
            </w:pPr>
            <w:r>
              <w:rPr>
                <w:b/>
                <w:bCs/>
              </w:rPr>
              <w:t>在建工程排放量（固体废物产生量）</w:t>
            </w:r>
            <w:r>
              <w:rPr>
                <w:rFonts w:ascii="Cambria Math" w:hAnsi="Cambria Math" w:cs="Cambria Math"/>
                <w:b/>
                <w:bCs/>
              </w:rPr>
              <w:t>③</w:t>
            </w:r>
          </w:p>
        </w:tc>
        <w:tc>
          <w:tcPr>
            <w:tcW w:w="1517" w:type="dxa"/>
            <w:shd w:val="clear" w:color="auto" w:fill="auto"/>
            <w:vAlign w:val="center"/>
          </w:tcPr>
          <w:p w14:paraId="09DC7CB8">
            <w:pPr>
              <w:pStyle w:val="29"/>
              <w:rPr>
                <w:b/>
                <w:bCs/>
              </w:rPr>
            </w:pPr>
            <w:r>
              <w:rPr>
                <w:b/>
                <w:bCs/>
              </w:rPr>
              <w:t>本项目排放量（固体废物产生量）</w:t>
            </w:r>
            <w:r>
              <w:rPr>
                <w:rFonts w:ascii="Cambria Math" w:hAnsi="Cambria Math" w:cs="Cambria Math"/>
                <w:b/>
                <w:bCs/>
              </w:rPr>
              <w:t>④</w:t>
            </w:r>
          </w:p>
        </w:tc>
        <w:tc>
          <w:tcPr>
            <w:tcW w:w="1518" w:type="dxa"/>
            <w:shd w:val="clear" w:color="auto" w:fill="auto"/>
            <w:vAlign w:val="center"/>
          </w:tcPr>
          <w:p w14:paraId="6AA9420F">
            <w:pPr>
              <w:pStyle w:val="29"/>
              <w:rPr>
                <w:b/>
                <w:bCs/>
              </w:rPr>
            </w:pPr>
            <w:r>
              <w:rPr>
                <w:b/>
                <w:bCs/>
              </w:rPr>
              <w:t>以新带老削减量（新建项目不填）</w:t>
            </w:r>
            <w:r>
              <w:rPr>
                <w:rFonts w:ascii="Cambria Math" w:hAnsi="Cambria Math" w:cs="Cambria Math"/>
                <w:b/>
                <w:bCs/>
              </w:rPr>
              <w:t>⑤</w:t>
            </w:r>
          </w:p>
        </w:tc>
        <w:tc>
          <w:tcPr>
            <w:tcW w:w="1517" w:type="dxa"/>
            <w:shd w:val="clear" w:color="auto" w:fill="auto"/>
            <w:vAlign w:val="center"/>
          </w:tcPr>
          <w:p w14:paraId="7A582185">
            <w:pPr>
              <w:pStyle w:val="29"/>
              <w:rPr>
                <w:b/>
                <w:bCs/>
              </w:rPr>
            </w:pPr>
            <w:r>
              <w:rPr>
                <w:b/>
                <w:bCs/>
              </w:rPr>
              <w:t>本项目建成后全厂排放量（固体废物产生量）</w:t>
            </w:r>
            <w:r>
              <w:rPr>
                <w:rFonts w:ascii="Cambria Math" w:hAnsi="Cambria Math" w:cs="Cambria Math"/>
                <w:b/>
                <w:bCs/>
              </w:rPr>
              <w:t>⑥</w:t>
            </w:r>
          </w:p>
        </w:tc>
        <w:tc>
          <w:tcPr>
            <w:tcW w:w="1518" w:type="dxa"/>
            <w:shd w:val="clear" w:color="auto" w:fill="auto"/>
            <w:vAlign w:val="center"/>
          </w:tcPr>
          <w:p w14:paraId="220AF6FC">
            <w:pPr>
              <w:pStyle w:val="29"/>
              <w:rPr>
                <w:b/>
                <w:bCs/>
              </w:rPr>
            </w:pPr>
            <w:r>
              <w:rPr>
                <w:b/>
                <w:bCs/>
              </w:rPr>
              <w:t>变化量</w:t>
            </w:r>
            <w:r>
              <w:rPr>
                <w:rFonts w:ascii="Cambria Math" w:hAnsi="Cambria Math" w:eastAsia="等线" w:cs="Cambria Math"/>
                <w:b/>
                <w:bCs/>
              </w:rPr>
              <w:t>⑦</w:t>
            </w:r>
          </w:p>
        </w:tc>
      </w:tr>
      <w:tr w14:paraId="3205AD61">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40" w:hRule="atLeast"/>
        </w:trPr>
        <w:tc>
          <w:tcPr>
            <w:tcW w:w="1691" w:type="dxa"/>
            <w:vMerge w:val="restart"/>
            <w:shd w:val="clear" w:color="auto" w:fill="auto"/>
            <w:vAlign w:val="center"/>
          </w:tcPr>
          <w:p w14:paraId="2C6AC57D">
            <w:pPr>
              <w:pStyle w:val="29"/>
            </w:pPr>
            <w:r>
              <w:t>废气</w:t>
            </w:r>
          </w:p>
        </w:tc>
        <w:tc>
          <w:tcPr>
            <w:tcW w:w="1787" w:type="dxa"/>
            <w:shd w:val="clear" w:color="auto" w:fill="auto"/>
            <w:vAlign w:val="center"/>
          </w:tcPr>
          <w:p w14:paraId="17271505">
            <w:pPr>
              <w:pStyle w:val="29"/>
            </w:pPr>
            <w:r>
              <w:t>非甲烷总烃</w:t>
            </w:r>
          </w:p>
        </w:tc>
        <w:tc>
          <w:tcPr>
            <w:tcW w:w="1517" w:type="dxa"/>
            <w:shd w:val="clear" w:color="auto" w:fill="auto"/>
            <w:vAlign w:val="center"/>
          </w:tcPr>
          <w:p w14:paraId="515E14AB">
            <w:pPr>
              <w:pStyle w:val="29"/>
              <w:rPr>
                <w:rFonts w:eastAsia="等线"/>
              </w:rPr>
            </w:pPr>
            <w:r>
              <w:rPr>
                <w:rFonts w:eastAsia="等线"/>
              </w:rPr>
              <w:t>0</w:t>
            </w:r>
          </w:p>
        </w:tc>
        <w:tc>
          <w:tcPr>
            <w:tcW w:w="1517" w:type="dxa"/>
            <w:shd w:val="clear" w:color="auto" w:fill="auto"/>
            <w:vAlign w:val="center"/>
          </w:tcPr>
          <w:p w14:paraId="214BB246">
            <w:pPr>
              <w:pStyle w:val="29"/>
              <w:rPr>
                <w:rFonts w:eastAsia="等线"/>
              </w:rPr>
            </w:pPr>
            <w:r>
              <w:rPr>
                <w:rFonts w:eastAsia="等线"/>
              </w:rPr>
              <w:t>0</w:t>
            </w:r>
          </w:p>
        </w:tc>
        <w:tc>
          <w:tcPr>
            <w:tcW w:w="1518" w:type="dxa"/>
            <w:shd w:val="clear" w:color="auto" w:fill="auto"/>
            <w:vAlign w:val="center"/>
          </w:tcPr>
          <w:p w14:paraId="7002EC36">
            <w:pPr>
              <w:pStyle w:val="29"/>
              <w:rPr>
                <w:rFonts w:eastAsia="等线"/>
              </w:rPr>
            </w:pPr>
            <w:r>
              <w:rPr>
                <w:rFonts w:eastAsia="等线"/>
              </w:rPr>
              <w:t>0</w:t>
            </w:r>
          </w:p>
        </w:tc>
        <w:tc>
          <w:tcPr>
            <w:tcW w:w="1517" w:type="dxa"/>
            <w:shd w:val="clear" w:color="auto" w:fill="auto"/>
            <w:vAlign w:val="center"/>
          </w:tcPr>
          <w:p w14:paraId="3B2CCA14">
            <w:pPr>
              <w:pStyle w:val="29"/>
              <w:rPr>
                <w:rFonts w:eastAsia="等线"/>
              </w:rPr>
            </w:pPr>
            <w:r>
              <w:rPr>
                <w:rFonts w:eastAsia="等线"/>
                <w:color w:val="EE0000"/>
              </w:rPr>
              <w:t>0.</w:t>
            </w:r>
            <w:r>
              <w:rPr>
                <w:rFonts w:hint="eastAsia" w:eastAsia="等线"/>
                <w:color w:val="EE0000"/>
              </w:rPr>
              <w:t>2921</w:t>
            </w:r>
            <w:r>
              <w:rPr>
                <w:rFonts w:eastAsia="等线"/>
              </w:rPr>
              <w:t>t/a</w:t>
            </w:r>
          </w:p>
        </w:tc>
        <w:tc>
          <w:tcPr>
            <w:tcW w:w="1518" w:type="dxa"/>
            <w:shd w:val="clear" w:color="auto" w:fill="auto"/>
            <w:vAlign w:val="center"/>
          </w:tcPr>
          <w:p w14:paraId="405141D9">
            <w:pPr>
              <w:pStyle w:val="29"/>
              <w:rPr>
                <w:rFonts w:eastAsia="等线"/>
              </w:rPr>
            </w:pPr>
            <w:r>
              <w:rPr>
                <w:rFonts w:eastAsia="等线"/>
              </w:rPr>
              <w:t>0</w:t>
            </w:r>
          </w:p>
        </w:tc>
        <w:tc>
          <w:tcPr>
            <w:tcW w:w="1517" w:type="dxa"/>
            <w:shd w:val="clear" w:color="auto" w:fill="auto"/>
            <w:vAlign w:val="center"/>
          </w:tcPr>
          <w:p w14:paraId="085800D8">
            <w:pPr>
              <w:pStyle w:val="29"/>
              <w:rPr>
                <w:rFonts w:eastAsia="等线"/>
              </w:rPr>
            </w:pPr>
            <w:r>
              <w:rPr>
                <w:rFonts w:eastAsia="等线"/>
                <w:color w:val="EE0000"/>
              </w:rPr>
              <w:t>0.</w:t>
            </w:r>
            <w:r>
              <w:rPr>
                <w:rFonts w:hint="eastAsia" w:eastAsia="等线"/>
                <w:color w:val="EE0000"/>
              </w:rPr>
              <w:t>2921</w:t>
            </w:r>
            <w:r>
              <w:rPr>
                <w:rFonts w:eastAsia="等线"/>
              </w:rPr>
              <w:t>t/a</w:t>
            </w:r>
          </w:p>
        </w:tc>
        <w:tc>
          <w:tcPr>
            <w:tcW w:w="1518" w:type="dxa"/>
            <w:shd w:val="clear" w:color="auto" w:fill="auto"/>
            <w:vAlign w:val="center"/>
          </w:tcPr>
          <w:p w14:paraId="33251E3C">
            <w:pPr>
              <w:pStyle w:val="29"/>
              <w:rPr>
                <w:rFonts w:eastAsia="等线"/>
              </w:rPr>
            </w:pPr>
            <w:r>
              <w:rPr>
                <w:rFonts w:eastAsia="等线"/>
              </w:rPr>
              <w:t>+</w:t>
            </w:r>
            <w:r>
              <w:rPr>
                <w:rFonts w:eastAsia="等线"/>
                <w:color w:val="EE0000"/>
              </w:rPr>
              <w:t>0.</w:t>
            </w:r>
            <w:r>
              <w:rPr>
                <w:rFonts w:hint="eastAsia" w:eastAsia="等线"/>
                <w:color w:val="EE0000"/>
              </w:rPr>
              <w:t>2921</w:t>
            </w:r>
            <w:r>
              <w:rPr>
                <w:rFonts w:eastAsia="等线"/>
              </w:rPr>
              <w:t>t/a</w:t>
            </w:r>
          </w:p>
        </w:tc>
      </w:tr>
      <w:tr w14:paraId="11AF2E98">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40" w:hRule="atLeast"/>
        </w:trPr>
        <w:tc>
          <w:tcPr>
            <w:tcW w:w="1691" w:type="dxa"/>
            <w:vMerge w:val="continue"/>
            <w:vAlign w:val="center"/>
          </w:tcPr>
          <w:p w14:paraId="1F9DBA48">
            <w:pPr>
              <w:pStyle w:val="29"/>
            </w:pPr>
          </w:p>
        </w:tc>
        <w:tc>
          <w:tcPr>
            <w:tcW w:w="1787" w:type="dxa"/>
            <w:shd w:val="clear" w:color="auto" w:fill="auto"/>
            <w:vAlign w:val="center"/>
          </w:tcPr>
          <w:p w14:paraId="01001016">
            <w:pPr>
              <w:pStyle w:val="29"/>
            </w:pPr>
            <w:r>
              <w:t>颗粒物</w:t>
            </w:r>
          </w:p>
        </w:tc>
        <w:tc>
          <w:tcPr>
            <w:tcW w:w="1517" w:type="dxa"/>
            <w:shd w:val="clear" w:color="auto" w:fill="auto"/>
            <w:vAlign w:val="center"/>
          </w:tcPr>
          <w:p w14:paraId="7A75CABF">
            <w:pPr>
              <w:pStyle w:val="29"/>
              <w:rPr>
                <w:rFonts w:eastAsia="等线"/>
              </w:rPr>
            </w:pPr>
            <w:r>
              <w:rPr>
                <w:rFonts w:eastAsia="等线"/>
              </w:rPr>
              <w:t>0</w:t>
            </w:r>
          </w:p>
        </w:tc>
        <w:tc>
          <w:tcPr>
            <w:tcW w:w="1517" w:type="dxa"/>
            <w:shd w:val="clear" w:color="auto" w:fill="auto"/>
            <w:vAlign w:val="center"/>
          </w:tcPr>
          <w:p w14:paraId="13EFE86B">
            <w:pPr>
              <w:pStyle w:val="29"/>
              <w:rPr>
                <w:rFonts w:eastAsia="等线"/>
              </w:rPr>
            </w:pPr>
            <w:r>
              <w:rPr>
                <w:rFonts w:eastAsia="等线"/>
              </w:rPr>
              <w:t>0</w:t>
            </w:r>
          </w:p>
        </w:tc>
        <w:tc>
          <w:tcPr>
            <w:tcW w:w="1518" w:type="dxa"/>
            <w:shd w:val="clear" w:color="auto" w:fill="auto"/>
            <w:vAlign w:val="center"/>
          </w:tcPr>
          <w:p w14:paraId="75B40697">
            <w:pPr>
              <w:pStyle w:val="29"/>
              <w:rPr>
                <w:rFonts w:eastAsia="等线"/>
              </w:rPr>
            </w:pPr>
            <w:r>
              <w:rPr>
                <w:rFonts w:eastAsia="等线"/>
              </w:rPr>
              <w:t>0</w:t>
            </w:r>
          </w:p>
        </w:tc>
        <w:tc>
          <w:tcPr>
            <w:tcW w:w="1517" w:type="dxa"/>
            <w:shd w:val="clear" w:color="auto" w:fill="auto"/>
            <w:vAlign w:val="center"/>
          </w:tcPr>
          <w:p w14:paraId="166DD821">
            <w:pPr>
              <w:pStyle w:val="29"/>
              <w:rPr>
                <w:rFonts w:eastAsia="等线"/>
              </w:rPr>
            </w:pPr>
            <w:r>
              <w:rPr>
                <w:rFonts w:eastAsia="等线"/>
              </w:rPr>
              <w:t>0</w:t>
            </w:r>
            <w:r>
              <w:rPr>
                <w:rFonts w:eastAsia="等线"/>
                <w:color w:val="EE0000"/>
              </w:rPr>
              <w:t>.2025</w:t>
            </w:r>
            <w:r>
              <w:rPr>
                <w:rFonts w:eastAsia="等线"/>
              </w:rPr>
              <w:t xml:space="preserve"> t/a</w:t>
            </w:r>
          </w:p>
        </w:tc>
        <w:tc>
          <w:tcPr>
            <w:tcW w:w="1518" w:type="dxa"/>
            <w:shd w:val="clear" w:color="auto" w:fill="auto"/>
            <w:vAlign w:val="center"/>
          </w:tcPr>
          <w:p w14:paraId="0F09147A">
            <w:pPr>
              <w:pStyle w:val="29"/>
              <w:rPr>
                <w:rFonts w:eastAsia="等线"/>
              </w:rPr>
            </w:pPr>
            <w:r>
              <w:rPr>
                <w:rFonts w:eastAsia="等线"/>
              </w:rPr>
              <w:t>0</w:t>
            </w:r>
          </w:p>
        </w:tc>
        <w:tc>
          <w:tcPr>
            <w:tcW w:w="1517" w:type="dxa"/>
            <w:shd w:val="clear" w:color="auto" w:fill="auto"/>
            <w:vAlign w:val="center"/>
          </w:tcPr>
          <w:p w14:paraId="6A633F6B">
            <w:pPr>
              <w:pStyle w:val="29"/>
              <w:rPr>
                <w:rFonts w:eastAsia="等线"/>
              </w:rPr>
            </w:pPr>
            <w:r>
              <w:rPr>
                <w:rFonts w:eastAsia="等线"/>
              </w:rPr>
              <w:t>0</w:t>
            </w:r>
            <w:r>
              <w:rPr>
                <w:rFonts w:eastAsia="等线"/>
                <w:color w:val="EE0000"/>
              </w:rPr>
              <w:t>.2025</w:t>
            </w:r>
            <w:r>
              <w:rPr>
                <w:rFonts w:eastAsia="等线"/>
              </w:rPr>
              <w:t xml:space="preserve"> t/a</w:t>
            </w:r>
          </w:p>
        </w:tc>
        <w:tc>
          <w:tcPr>
            <w:tcW w:w="1518" w:type="dxa"/>
            <w:shd w:val="clear" w:color="auto" w:fill="auto"/>
            <w:vAlign w:val="center"/>
          </w:tcPr>
          <w:p w14:paraId="7C84E76D">
            <w:pPr>
              <w:pStyle w:val="29"/>
              <w:rPr>
                <w:rFonts w:eastAsia="等线"/>
              </w:rPr>
            </w:pPr>
            <w:r>
              <w:rPr>
                <w:rFonts w:eastAsia="等线"/>
              </w:rPr>
              <w:t>+0</w:t>
            </w:r>
            <w:r>
              <w:rPr>
                <w:rFonts w:eastAsia="等线"/>
                <w:color w:val="EE0000"/>
              </w:rPr>
              <w:t>.2025</w:t>
            </w:r>
            <w:r>
              <w:rPr>
                <w:rFonts w:eastAsia="等线"/>
              </w:rPr>
              <w:t xml:space="preserve"> t/a</w:t>
            </w:r>
          </w:p>
        </w:tc>
      </w:tr>
      <w:tr w14:paraId="1C2ABC3C">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40" w:hRule="atLeast"/>
        </w:trPr>
        <w:tc>
          <w:tcPr>
            <w:tcW w:w="1691" w:type="dxa"/>
            <w:vMerge w:val="restart"/>
            <w:shd w:val="clear" w:color="auto" w:fill="auto"/>
            <w:vAlign w:val="center"/>
          </w:tcPr>
          <w:p w14:paraId="089B4993">
            <w:pPr>
              <w:pStyle w:val="29"/>
            </w:pPr>
            <w:r>
              <w:t>废水</w:t>
            </w:r>
          </w:p>
        </w:tc>
        <w:tc>
          <w:tcPr>
            <w:tcW w:w="1787" w:type="dxa"/>
            <w:shd w:val="clear" w:color="auto" w:fill="auto"/>
            <w:noWrap/>
            <w:vAlign w:val="center"/>
          </w:tcPr>
          <w:p w14:paraId="48624366">
            <w:pPr>
              <w:pStyle w:val="29"/>
              <w:rPr>
                <w:rFonts w:eastAsia="等线"/>
              </w:rPr>
            </w:pPr>
            <w:r>
              <w:t>废水量</w:t>
            </w:r>
          </w:p>
        </w:tc>
        <w:tc>
          <w:tcPr>
            <w:tcW w:w="1517" w:type="dxa"/>
            <w:shd w:val="clear" w:color="auto" w:fill="auto"/>
            <w:vAlign w:val="center"/>
          </w:tcPr>
          <w:p w14:paraId="7CC08654">
            <w:pPr>
              <w:pStyle w:val="29"/>
              <w:rPr>
                <w:rFonts w:eastAsia="等线"/>
              </w:rPr>
            </w:pPr>
            <w:r>
              <w:rPr>
                <w:rFonts w:eastAsia="等线"/>
              </w:rPr>
              <w:t>0</w:t>
            </w:r>
          </w:p>
        </w:tc>
        <w:tc>
          <w:tcPr>
            <w:tcW w:w="1517" w:type="dxa"/>
            <w:shd w:val="clear" w:color="auto" w:fill="auto"/>
            <w:vAlign w:val="center"/>
          </w:tcPr>
          <w:p w14:paraId="00EE4266">
            <w:pPr>
              <w:pStyle w:val="29"/>
              <w:rPr>
                <w:rFonts w:eastAsia="等线"/>
              </w:rPr>
            </w:pPr>
            <w:r>
              <w:rPr>
                <w:rFonts w:eastAsia="等线"/>
              </w:rPr>
              <w:t>0</w:t>
            </w:r>
          </w:p>
        </w:tc>
        <w:tc>
          <w:tcPr>
            <w:tcW w:w="1518" w:type="dxa"/>
            <w:shd w:val="clear" w:color="auto" w:fill="auto"/>
            <w:vAlign w:val="center"/>
          </w:tcPr>
          <w:p w14:paraId="4F75FC86">
            <w:pPr>
              <w:pStyle w:val="29"/>
              <w:rPr>
                <w:rFonts w:eastAsia="等线"/>
              </w:rPr>
            </w:pPr>
            <w:r>
              <w:rPr>
                <w:rFonts w:eastAsia="等线"/>
              </w:rPr>
              <w:t>0</w:t>
            </w:r>
          </w:p>
        </w:tc>
        <w:tc>
          <w:tcPr>
            <w:tcW w:w="1517" w:type="dxa"/>
            <w:shd w:val="clear" w:color="auto" w:fill="auto"/>
            <w:vAlign w:val="center"/>
          </w:tcPr>
          <w:p w14:paraId="7C6586BB">
            <w:pPr>
              <w:pStyle w:val="29"/>
              <w:rPr>
                <w:rFonts w:eastAsia="等线"/>
              </w:rPr>
            </w:pPr>
            <w:r>
              <w:rPr>
                <w:rFonts w:eastAsia="等线"/>
              </w:rPr>
              <w:t>540 t/a</w:t>
            </w:r>
          </w:p>
        </w:tc>
        <w:tc>
          <w:tcPr>
            <w:tcW w:w="1518" w:type="dxa"/>
            <w:shd w:val="clear" w:color="auto" w:fill="auto"/>
            <w:vAlign w:val="center"/>
          </w:tcPr>
          <w:p w14:paraId="5DEEA85F">
            <w:pPr>
              <w:pStyle w:val="29"/>
              <w:rPr>
                <w:rFonts w:eastAsia="等线"/>
              </w:rPr>
            </w:pPr>
            <w:r>
              <w:rPr>
                <w:rFonts w:eastAsia="等线"/>
              </w:rPr>
              <w:t>0</w:t>
            </w:r>
          </w:p>
        </w:tc>
        <w:tc>
          <w:tcPr>
            <w:tcW w:w="1517" w:type="dxa"/>
            <w:shd w:val="clear" w:color="auto" w:fill="auto"/>
            <w:vAlign w:val="center"/>
          </w:tcPr>
          <w:p w14:paraId="27BE28D8">
            <w:pPr>
              <w:pStyle w:val="29"/>
              <w:rPr>
                <w:rFonts w:eastAsia="等线"/>
              </w:rPr>
            </w:pPr>
            <w:r>
              <w:rPr>
                <w:rFonts w:eastAsia="等线"/>
              </w:rPr>
              <w:t>540 t/a</w:t>
            </w:r>
          </w:p>
        </w:tc>
        <w:tc>
          <w:tcPr>
            <w:tcW w:w="1518" w:type="dxa"/>
            <w:shd w:val="clear" w:color="auto" w:fill="auto"/>
            <w:vAlign w:val="center"/>
          </w:tcPr>
          <w:p w14:paraId="4531A243">
            <w:pPr>
              <w:pStyle w:val="29"/>
              <w:rPr>
                <w:rFonts w:eastAsia="等线"/>
              </w:rPr>
            </w:pPr>
            <w:r>
              <w:rPr>
                <w:rFonts w:eastAsia="等线"/>
              </w:rPr>
              <w:t>+540 t/a</w:t>
            </w:r>
          </w:p>
        </w:tc>
      </w:tr>
      <w:tr w14:paraId="6DD80D3B">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40" w:hRule="atLeast"/>
        </w:trPr>
        <w:tc>
          <w:tcPr>
            <w:tcW w:w="1691" w:type="dxa"/>
            <w:vMerge w:val="continue"/>
            <w:shd w:val="clear" w:color="auto" w:fill="auto"/>
            <w:vAlign w:val="center"/>
          </w:tcPr>
          <w:p w14:paraId="5CBA5EBF">
            <w:pPr>
              <w:pStyle w:val="29"/>
            </w:pPr>
          </w:p>
        </w:tc>
        <w:tc>
          <w:tcPr>
            <w:tcW w:w="1787" w:type="dxa"/>
            <w:shd w:val="clear" w:color="auto" w:fill="auto"/>
            <w:noWrap/>
            <w:vAlign w:val="center"/>
          </w:tcPr>
          <w:p w14:paraId="74D1A6F1">
            <w:pPr>
              <w:pStyle w:val="29"/>
              <w:rPr>
                <w:rFonts w:eastAsia="等线"/>
              </w:rPr>
            </w:pPr>
            <w:r>
              <w:rPr>
                <w:rFonts w:eastAsia="等线"/>
              </w:rPr>
              <w:t>COD</w:t>
            </w:r>
            <w:r>
              <w:rPr>
                <w:rFonts w:eastAsia="等线"/>
                <w:vertAlign w:val="subscript"/>
              </w:rPr>
              <w:t>Cr</w:t>
            </w:r>
          </w:p>
        </w:tc>
        <w:tc>
          <w:tcPr>
            <w:tcW w:w="1517" w:type="dxa"/>
            <w:shd w:val="clear" w:color="auto" w:fill="auto"/>
            <w:vAlign w:val="center"/>
          </w:tcPr>
          <w:p w14:paraId="29FE586C">
            <w:pPr>
              <w:pStyle w:val="29"/>
              <w:rPr>
                <w:rFonts w:eastAsia="等线"/>
              </w:rPr>
            </w:pPr>
            <w:r>
              <w:rPr>
                <w:rFonts w:eastAsia="等线"/>
              </w:rPr>
              <w:t>0</w:t>
            </w:r>
          </w:p>
        </w:tc>
        <w:tc>
          <w:tcPr>
            <w:tcW w:w="1517" w:type="dxa"/>
            <w:shd w:val="clear" w:color="auto" w:fill="auto"/>
            <w:vAlign w:val="center"/>
          </w:tcPr>
          <w:p w14:paraId="1D92FE3B">
            <w:pPr>
              <w:pStyle w:val="29"/>
              <w:rPr>
                <w:rFonts w:eastAsia="等线"/>
              </w:rPr>
            </w:pPr>
            <w:r>
              <w:rPr>
                <w:rFonts w:eastAsia="等线"/>
              </w:rPr>
              <w:t>0</w:t>
            </w:r>
          </w:p>
        </w:tc>
        <w:tc>
          <w:tcPr>
            <w:tcW w:w="1518" w:type="dxa"/>
            <w:shd w:val="clear" w:color="auto" w:fill="auto"/>
            <w:vAlign w:val="center"/>
          </w:tcPr>
          <w:p w14:paraId="2B2FCC7D">
            <w:pPr>
              <w:pStyle w:val="29"/>
              <w:rPr>
                <w:rFonts w:eastAsia="等线"/>
              </w:rPr>
            </w:pPr>
            <w:r>
              <w:rPr>
                <w:rFonts w:eastAsia="等线"/>
              </w:rPr>
              <w:t>0</w:t>
            </w:r>
          </w:p>
        </w:tc>
        <w:tc>
          <w:tcPr>
            <w:tcW w:w="1517" w:type="dxa"/>
            <w:shd w:val="clear" w:color="auto" w:fill="auto"/>
            <w:vAlign w:val="center"/>
          </w:tcPr>
          <w:p w14:paraId="63C4B3F2">
            <w:pPr>
              <w:pStyle w:val="29"/>
              <w:rPr>
                <w:rFonts w:eastAsia="等线"/>
              </w:rPr>
            </w:pPr>
            <w:r>
              <w:rPr>
                <w:rFonts w:eastAsia="等线"/>
              </w:rPr>
              <w:t>0.1277 t/a</w:t>
            </w:r>
          </w:p>
        </w:tc>
        <w:tc>
          <w:tcPr>
            <w:tcW w:w="1518" w:type="dxa"/>
            <w:shd w:val="clear" w:color="auto" w:fill="auto"/>
            <w:vAlign w:val="center"/>
          </w:tcPr>
          <w:p w14:paraId="0C383145">
            <w:pPr>
              <w:pStyle w:val="29"/>
              <w:rPr>
                <w:rFonts w:eastAsia="等线"/>
              </w:rPr>
            </w:pPr>
            <w:r>
              <w:rPr>
                <w:rFonts w:eastAsia="等线"/>
              </w:rPr>
              <w:t>0</w:t>
            </w:r>
          </w:p>
        </w:tc>
        <w:tc>
          <w:tcPr>
            <w:tcW w:w="1517" w:type="dxa"/>
            <w:shd w:val="clear" w:color="auto" w:fill="auto"/>
            <w:vAlign w:val="center"/>
          </w:tcPr>
          <w:p w14:paraId="62C6DC30">
            <w:pPr>
              <w:pStyle w:val="29"/>
              <w:rPr>
                <w:rFonts w:eastAsia="等线"/>
              </w:rPr>
            </w:pPr>
            <w:r>
              <w:rPr>
                <w:rFonts w:eastAsia="等线"/>
              </w:rPr>
              <w:t>0.1277 t/a</w:t>
            </w:r>
          </w:p>
        </w:tc>
        <w:tc>
          <w:tcPr>
            <w:tcW w:w="1518" w:type="dxa"/>
            <w:shd w:val="clear" w:color="auto" w:fill="auto"/>
            <w:vAlign w:val="center"/>
          </w:tcPr>
          <w:p w14:paraId="01F9F927">
            <w:pPr>
              <w:pStyle w:val="29"/>
              <w:rPr>
                <w:rFonts w:eastAsia="等线"/>
              </w:rPr>
            </w:pPr>
            <w:r>
              <w:rPr>
                <w:rFonts w:eastAsia="等线"/>
              </w:rPr>
              <w:t>+0.1277 t/a</w:t>
            </w:r>
          </w:p>
        </w:tc>
      </w:tr>
      <w:tr w14:paraId="52163BD2">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40" w:hRule="atLeast"/>
        </w:trPr>
        <w:tc>
          <w:tcPr>
            <w:tcW w:w="1691" w:type="dxa"/>
            <w:vMerge w:val="continue"/>
            <w:vAlign w:val="center"/>
          </w:tcPr>
          <w:p w14:paraId="2E83FFBF">
            <w:pPr>
              <w:pStyle w:val="29"/>
            </w:pPr>
          </w:p>
        </w:tc>
        <w:tc>
          <w:tcPr>
            <w:tcW w:w="1787" w:type="dxa"/>
            <w:shd w:val="clear" w:color="auto" w:fill="auto"/>
            <w:noWrap/>
            <w:vAlign w:val="center"/>
          </w:tcPr>
          <w:p w14:paraId="18F713D6">
            <w:pPr>
              <w:pStyle w:val="29"/>
              <w:rPr>
                <w:rFonts w:eastAsia="等线"/>
              </w:rPr>
            </w:pPr>
            <w:r>
              <w:rPr>
                <w:rFonts w:eastAsia="等线"/>
              </w:rPr>
              <w:t>BOD</w:t>
            </w:r>
            <w:r>
              <w:rPr>
                <w:rFonts w:eastAsia="等线"/>
                <w:vertAlign w:val="subscript"/>
              </w:rPr>
              <w:t>5</w:t>
            </w:r>
          </w:p>
        </w:tc>
        <w:tc>
          <w:tcPr>
            <w:tcW w:w="1517" w:type="dxa"/>
            <w:shd w:val="clear" w:color="auto" w:fill="auto"/>
            <w:vAlign w:val="center"/>
          </w:tcPr>
          <w:p w14:paraId="59C0BD3A">
            <w:pPr>
              <w:pStyle w:val="29"/>
              <w:rPr>
                <w:rFonts w:eastAsia="等线"/>
              </w:rPr>
            </w:pPr>
            <w:r>
              <w:rPr>
                <w:rFonts w:eastAsia="等线"/>
              </w:rPr>
              <w:t>0</w:t>
            </w:r>
          </w:p>
        </w:tc>
        <w:tc>
          <w:tcPr>
            <w:tcW w:w="1517" w:type="dxa"/>
            <w:shd w:val="clear" w:color="auto" w:fill="auto"/>
            <w:vAlign w:val="center"/>
          </w:tcPr>
          <w:p w14:paraId="522834A8">
            <w:pPr>
              <w:pStyle w:val="29"/>
              <w:rPr>
                <w:rFonts w:eastAsia="等线"/>
              </w:rPr>
            </w:pPr>
            <w:r>
              <w:rPr>
                <w:rFonts w:eastAsia="等线"/>
              </w:rPr>
              <w:t>0</w:t>
            </w:r>
          </w:p>
        </w:tc>
        <w:tc>
          <w:tcPr>
            <w:tcW w:w="1518" w:type="dxa"/>
            <w:shd w:val="clear" w:color="auto" w:fill="auto"/>
            <w:vAlign w:val="center"/>
          </w:tcPr>
          <w:p w14:paraId="6B790205">
            <w:pPr>
              <w:pStyle w:val="29"/>
              <w:rPr>
                <w:rFonts w:eastAsia="等线"/>
              </w:rPr>
            </w:pPr>
            <w:r>
              <w:rPr>
                <w:rFonts w:eastAsia="等线"/>
              </w:rPr>
              <w:t>0</w:t>
            </w:r>
          </w:p>
        </w:tc>
        <w:tc>
          <w:tcPr>
            <w:tcW w:w="1517" w:type="dxa"/>
            <w:shd w:val="clear" w:color="auto" w:fill="auto"/>
            <w:vAlign w:val="center"/>
          </w:tcPr>
          <w:p w14:paraId="1C4F76B9">
            <w:pPr>
              <w:pStyle w:val="29"/>
              <w:rPr>
                <w:rFonts w:eastAsia="等线"/>
              </w:rPr>
            </w:pPr>
            <w:r>
              <w:rPr>
                <w:rFonts w:eastAsia="等线"/>
              </w:rPr>
              <w:t>0.0864 t/a</w:t>
            </w:r>
          </w:p>
        </w:tc>
        <w:tc>
          <w:tcPr>
            <w:tcW w:w="1518" w:type="dxa"/>
            <w:shd w:val="clear" w:color="auto" w:fill="auto"/>
            <w:vAlign w:val="center"/>
          </w:tcPr>
          <w:p w14:paraId="2F8A6941">
            <w:pPr>
              <w:pStyle w:val="29"/>
              <w:rPr>
                <w:rFonts w:eastAsia="等线"/>
              </w:rPr>
            </w:pPr>
            <w:r>
              <w:rPr>
                <w:rFonts w:eastAsia="等线"/>
              </w:rPr>
              <w:t>0</w:t>
            </w:r>
          </w:p>
        </w:tc>
        <w:tc>
          <w:tcPr>
            <w:tcW w:w="1517" w:type="dxa"/>
            <w:shd w:val="clear" w:color="auto" w:fill="auto"/>
            <w:vAlign w:val="center"/>
          </w:tcPr>
          <w:p w14:paraId="6BF4B87B">
            <w:pPr>
              <w:pStyle w:val="29"/>
              <w:rPr>
                <w:rFonts w:eastAsia="等线"/>
              </w:rPr>
            </w:pPr>
            <w:r>
              <w:rPr>
                <w:rFonts w:eastAsia="等线"/>
              </w:rPr>
              <w:t>0.0864 t/a</w:t>
            </w:r>
          </w:p>
        </w:tc>
        <w:tc>
          <w:tcPr>
            <w:tcW w:w="1518" w:type="dxa"/>
            <w:shd w:val="clear" w:color="auto" w:fill="auto"/>
            <w:vAlign w:val="center"/>
          </w:tcPr>
          <w:p w14:paraId="265626AB">
            <w:pPr>
              <w:pStyle w:val="29"/>
              <w:rPr>
                <w:rFonts w:eastAsia="等线"/>
              </w:rPr>
            </w:pPr>
            <w:r>
              <w:rPr>
                <w:rFonts w:eastAsia="等线"/>
              </w:rPr>
              <w:t>+0.0864 t/a</w:t>
            </w:r>
          </w:p>
        </w:tc>
      </w:tr>
      <w:tr w14:paraId="77122CC9">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40" w:hRule="atLeast"/>
        </w:trPr>
        <w:tc>
          <w:tcPr>
            <w:tcW w:w="1691" w:type="dxa"/>
            <w:vMerge w:val="continue"/>
            <w:vAlign w:val="center"/>
          </w:tcPr>
          <w:p w14:paraId="3A01CEFE">
            <w:pPr>
              <w:pStyle w:val="29"/>
            </w:pPr>
          </w:p>
        </w:tc>
        <w:tc>
          <w:tcPr>
            <w:tcW w:w="1787" w:type="dxa"/>
            <w:shd w:val="clear" w:color="auto" w:fill="auto"/>
            <w:vAlign w:val="center"/>
          </w:tcPr>
          <w:p w14:paraId="726EA8BB">
            <w:pPr>
              <w:pStyle w:val="29"/>
            </w:pPr>
            <w:r>
              <w:t>SS</w:t>
            </w:r>
          </w:p>
        </w:tc>
        <w:tc>
          <w:tcPr>
            <w:tcW w:w="1517" w:type="dxa"/>
            <w:shd w:val="clear" w:color="auto" w:fill="auto"/>
            <w:vAlign w:val="center"/>
          </w:tcPr>
          <w:p w14:paraId="1A4C128F">
            <w:pPr>
              <w:pStyle w:val="29"/>
              <w:rPr>
                <w:rFonts w:eastAsia="等线"/>
              </w:rPr>
            </w:pPr>
            <w:r>
              <w:rPr>
                <w:rFonts w:eastAsia="等线"/>
              </w:rPr>
              <w:t>0</w:t>
            </w:r>
          </w:p>
        </w:tc>
        <w:tc>
          <w:tcPr>
            <w:tcW w:w="1517" w:type="dxa"/>
            <w:shd w:val="clear" w:color="auto" w:fill="auto"/>
            <w:vAlign w:val="center"/>
          </w:tcPr>
          <w:p w14:paraId="7370BEE7">
            <w:pPr>
              <w:pStyle w:val="29"/>
              <w:rPr>
                <w:rFonts w:eastAsia="等线"/>
              </w:rPr>
            </w:pPr>
            <w:r>
              <w:rPr>
                <w:rFonts w:eastAsia="等线"/>
              </w:rPr>
              <w:t>0</w:t>
            </w:r>
          </w:p>
        </w:tc>
        <w:tc>
          <w:tcPr>
            <w:tcW w:w="1518" w:type="dxa"/>
            <w:shd w:val="clear" w:color="auto" w:fill="auto"/>
            <w:vAlign w:val="center"/>
          </w:tcPr>
          <w:p w14:paraId="4758A4A5">
            <w:pPr>
              <w:pStyle w:val="29"/>
              <w:rPr>
                <w:rFonts w:eastAsia="等线"/>
              </w:rPr>
            </w:pPr>
            <w:r>
              <w:rPr>
                <w:rFonts w:eastAsia="等线"/>
              </w:rPr>
              <w:t>0</w:t>
            </w:r>
          </w:p>
        </w:tc>
        <w:tc>
          <w:tcPr>
            <w:tcW w:w="1517" w:type="dxa"/>
            <w:shd w:val="clear" w:color="auto" w:fill="auto"/>
            <w:vAlign w:val="center"/>
          </w:tcPr>
          <w:p w14:paraId="2EB12A2E">
            <w:pPr>
              <w:pStyle w:val="29"/>
              <w:rPr>
                <w:rFonts w:eastAsia="等线"/>
              </w:rPr>
            </w:pPr>
            <w:r>
              <w:rPr>
                <w:rFonts w:eastAsia="等线"/>
              </w:rPr>
              <w:t>0.0808 t/a</w:t>
            </w:r>
          </w:p>
        </w:tc>
        <w:tc>
          <w:tcPr>
            <w:tcW w:w="1518" w:type="dxa"/>
            <w:shd w:val="clear" w:color="auto" w:fill="auto"/>
            <w:vAlign w:val="center"/>
          </w:tcPr>
          <w:p w14:paraId="5DABF130">
            <w:pPr>
              <w:pStyle w:val="29"/>
              <w:rPr>
                <w:rFonts w:eastAsia="等线"/>
              </w:rPr>
            </w:pPr>
            <w:r>
              <w:rPr>
                <w:rFonts w:eastAsia="等线"/>
              </w:rPr>
              <w:t>0</w:t>
            </w:r>
          </w:p>
        </w:tc>
        <w:tc>
          <w:tcPr>
            <w:tcW w:w="1517" w:type="dxa"/>
            <w:shd w:val="clear" w:color="auto" w:fill="auto"/>
            <w:vAlign w:val="center"/>
          </w:tcPr>
          <w:p w14:paraId="2850AD68">
            <w:pPr>
              <w:pStyle w:val="29"/>
              <w:rPr>
                <w:rFonts w:eastAsia="等线"/>
              </w:rPr>
            </w:pPr>
            <w:r>
              <w:rPr>
                <w:rFonts w:eastAsia="等线"/>
              </w:rPr>
              <w:t>0.0808 t/a</w:t>
            </w:r>
          </w:p>
        </w:tc>
        <w:tc>
          <w:tcPr>
            <w:tcW w:w="1518" w:type="dxa"/>
            <w:shd w:val="clear" w:color="auto" w:fill="auto"/>
            <w:vAlign w:val="center"/>
          </w:tcPr>
          <w:p w14:paraId="3A1948FF">
            <w:pPr>
              <w:pStyle w:val="29"/>
              <w:rPr>
                <w:rFonts w:eastAsia="等线"/>
              </w:rPr>
            </w:pPr>
            <w:r>
              <w:rPr>
                <w:rFonts w:eastAsia="等线"/>
              </w:rPr>
              <w:t>+0.0808 t/a</w:t>
            </w:r>
          </w:p>
        </w:tc>
      </w:tr>
      <w:tr w14:paraId="0A97D184">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40" w:hRule="atLeast"/>
        </w:trPr>
        <w:tc>
          <w:tcPr>
            <w:tcW w:w="1691" w:type="dxa"/>
            <w:vMerge w:val="continue"/>
            <w:shd w:val="clear" w:color="auto" w:fill="auto"/>
            <w:vAlign w:val="center"/>
          </w:tcPr>
          <w:p w14:paraId="0F4D062C">
            <w:pPr>
              <w:pStyle w:val="29"/>
            </w:pPr>
          </w:p>
        </w:tc>
        <w:tc>
          <w:tcPr>
            <w:tcW w:w="1787" w:type="dxa"/>
            <w:shd w:val="clear" w:color="auto" w:fill="auto"/>
            <w:vAlign w:val="center"/>
          </w:tcPr>
          <w:p w14:paraId="18F26FDF">
            <w:pPr>
              <w:pStyle w:val="29"/>
            </w:pPr>
            <w:r>
              <w:t>氨氮</w:t>
            </w:r>
          </w:p>
        </w:tc>
        <w:tc>
          <w:tcPr>
            <w:tcW w:w="1517" w:type="dxa"/>
            <w:shd w:val="clear" w:color="auto" w:fill="auto"/>
            <w:vAlign w:val="center"/>
          </w:tcPr>
          <w:p w14:paraId="27BA8618">
            <w:pPr>
              <w:pStyle w:val="29"/>
            </w:pPr>
            <w:r>
              <w:rPr>
                <w:rFonts w:eastAsia="等线"/>
              </w:rPr>
              <w:t>0</w:t>
            </w:r>
          </w:p>
        </w:tc>
        <w:tc>
          <w:tcPr>
            <w:tcW w:w="1517" w:type="dxa"/>
            <w:shd w:val="clear" w:color="auto" w:fill="auto"/>
            <w:vAlign w:val="center"/>
          </w:tcPr>
          <w:p w14:paraId="39B71685">
            <w:pPr>
              <w:pStyle w:val="29"/>
              <w:rPr>
                <w:rFonts w:eastAsia="Times New Roman"/>
              </w:rPr>
            </w:pPr>
            <w:r>
              <w:rPr>
                <w:rFonts w:eastAsia="等线"/>
              </w:rPr>
              <w:t>0</w:t>
            </w:r>
          </w:p>
        </w:tc>
        <w:tc>
          <w:tcPr>
            <w:tcW w:w="1518" w:type="dxa"/>
            <w:shd w:val="clear" w:color="auto" w:fill="auto"/>
            <w:vAlign w:val="center"/>
          </w:tcPr>
          <w:p w14:paraId="3FE7B0F3">
            <w:pPr>
              <w:pStyle w:val="29"/>
              <w:rPr>
                <w:rFonts w:eastAsia="Times New Roman"/>
              </w:rPr>
            </w:pPr>
            <w:r>
              <w:rPr>
                <w:rFonts w:eastAsia="等线"/>
              </w:rPr>
              <w:t>0</w:t>
            </w:r>
          </w:p>
        </w:tc>
        <w:tc>
          <w:tcPr>
            <w:tcW w:w="1517" w:type="dxa"/>
            <w:shd w:val="clear" w:color="auto" w:fill="auto"/>
            <w:vAlign w:val="center"/>
          </w:tcPr>
          <w:p w14:paraId="367C42CE">
            <w:pPr>
              <w:pStyle w:val="29"/>
              <w:rPr>
                <w:rFonts w:eastAsia="等线"/>
              </w:rPr>
            </w:pPr>
            <w:r>
              <w:rPr>
                <w:rFonts w:eastAsia="等线"/>
              </w:rPr>
              <w:t>0.0153 t/a</w:t>
            </w:r>
          </w:p>
        </w:tc>
        <w:tc>
          <w:tcPr>
            <w:tcW w:w="1518" w:type="dxa"/>
            <w:shd w:val="clear" w:color="auto" w:fill="auto"/>
            <w:vAlign w:val="center"/>
          </w:tcPr>
          <w:p w14:paraId="581B9B39">
            <w:pPr>
              <w:pStyle w:val="29"/>
              <w:rPr>
                <w:rFonts w:eastAsia="等线"/>
              </w:rPr>
            </w:pPr>
            <w:r>
              <w:rPr>
                <w:rFonts w:eastAsia="等线"/>
              </w:rPr>
              <w:t>0</w:t>
            </w:r>
          </w:p>
        </w:tc>
        <w:tc>
          <w:tcPr>
            <w:tcW w:w="1517" w:type="dxa"/>
            <w:shd w:val="clear" w:color="auto" w:fill="auto"/>
            <w:vAlign w:val="center"/>
          </w:tcPr>
          <w:p w14:paraId="361EB100">
            <w:pPr>
              <w:pStyle w:val="29"/>
              <w:rPr>
                <w:rFonts w:eastAsia="等线"/>
              </w:rPr>
            </w:pPr>
            <w:r>
              <w:rPr>
                <w:rFonts w:eastAsia="等线"/>
              </w:rPr>
              <w:t>0.0153 t/a</w:t>
            </w:r>
          </w:p>
        </w:tc>
        <w:tc>
          <w:tcPr>
            <w:tcW w:w="1518" w:type="dxa"/>
            <w:shd w:val="clear" w:color="auto" w:fill="auto"/>
            <w:vAlign w:val="center"/>
          </w:tcPr>
          <w:p w14:paraId="527917ED">
            <w:pPr>
              <w:pStyle w:val="29"/>
              <w:rPr>
                <w:rFonts w:eastAsia="等线"/>
              </w:rPr>
            </w:pPr>
            <w:r>
              <w:rPr>
                <w:rFonts w:eastAsia="等线"/>
              </w:rPr>
              <w:t>+0.0153 t/a</w:t>
            </w:r>
          </w:p>
        </w:tc>
      </w:tr>
      <w:tr w14:paraId="235C4CB2">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40" w:hRule="atLeast"/>
        </w:trPr>
        <w:tc>
          <w:tcPr>
            <w:tcW w:w="1691" w:type="dxa"/>
            <w:vMerge w:val="continue"/>
            <w:shd w:val="clear" w:color="auto" w:fill="auto"/>
            <w:vAlign w:val="center"/>
          </w:tcPr>
          <w:p w14:paraId="7D4D7670">
            <w:pPr>
              <w:pStyle w:val="29"/>
            </w:pPr>
          </w:p>
        </w:tc>
        <w:tc>
          <w:tcPr>
            <w:tcW w:w="1787" w:type="dxa"/>
            <w:shd w:val="clear" w:color="auto" w:fill="auto"/>
            <w:vAlign w:val="center"/>
          </w:tcPr>
          <w:p w14:paraId="1FC59D73">
            <w:pPr>
              <w:pStyle w:val="29"/>
            </w:pPr>
            <w:r>
              <w:t>总磷</w:t>
            </w:r>
          </w:p>
        </w:tc>
        <w:tc>
          <w:tcPr>
            <w:tcW w:w="1517" w:type="dxa"/>
            <w:shd w:val="clear" w:color="auto" w:fill="auto"/>
            <w:vAlign w:val="center"/>
          </w:tcPr>
          <w:p w14:paraId="7B361ADE">
            <w:pPr>
              <w:pStyle w:val="29"/>
            </w:pPr>
            <w:r>
              <w:rPr>
                <w:rFonts w:eastAsia="等线"/>
              </w:rPr>
              <w:t>0</w:t>
            </w:r>
          </w:p>
        </w:tc>
        <w:tc>
          <w:tcPr>
            <w:tcW w:w="1517" w:type="dxa"/>
            <w:shd w:val="clear" w:color="auto" w:fill="auto"/>
            <w:vAlign w:val="center"/>
          </w:tcPr>
          <w:p w14:paraId="65B1AB89">
            <w:pPr>
              <w:pStyle w:val="29"/>
              <w:rPr>
                <w:rFonts w:eastAsia="Times New Roman"/>
              </w:rPr>
            </w:pPr>
            <w:r>
              <w:rPr>
                <w:rFonts w:eastAsia="等线"/>
              </w:rPr>
              <w:t>0</w:t>
            </w:r>
          </w:p>
        </w:tc>
        <w:tc>
          <w:tcPr>
            <w:tcW w:w="1518" w:type="dxa"/>
            <w:shd w:val="clear" w:color="auto" w:fill="auto"/>
            <w:vAlign w:val="center"/>
          </w:tcPr>
          <w:p w14:paraId="6C0E8E65">
            <w:pPr>
              <w:pStyle w:val="29"/>
              <w:rPr>
                <w:rFonts w:eastAsia="Times New Roman"/>
              </w:rPr>
            </w:pPr>
            <w:r>
              <w:rPr>
                <w:rFonts w:eastAsia="等线"/>
              </w:rPr>
              <w:t>0</w:t>
            </w:r>
          </w:p>
        </w:tc>
        <w:tc>
          <w:tcPr>
            <w:tcW w:w="1517" w:type="dxa"/>
            <w:shd w:val="clear" w:color="auto" w:fill="auto"/>
            <w:vAlign w:val="center"/>
          </w:tcPr>
          <w:p w14:paraId="05799A8D">
            <w:pPr>
              <w:pStyle w:val="29"/>
              <w:rPr>
                <w:rFonts w:eastAsia="等线"/>
              </w:rPr>
            </w:pPr>
            <w:r>
              <w:rPr>
                <w:rFonts w:eastAsia="等线"/>
              </w:rPr>
              <w:t>0.0018 t/a</w:t>
            </w:r>
          </w:p>
        </w:tc>
        <w:tc>
          <w:tcPr>
            <w:tcW w:w="1518" w:type="dxa"/>
            <w:shd w:val="clear" w:color="auto" w:fill="auto"/>
            <w:vAlign w:val="center"/>
          </w:tcPr>
          <w:p w14:paraId="252ACF64">
            <w:pPr>
              <w:pStyle w:val="29"/>
              <w:rPr>
                <w:rFonts w:eastAsia="等线"/>
              </w:rPr>
            </w:pPr>
            <w:r>
              <w:rPr>
                <w:rFonts w:eastAsia="等线"/>
              </w:rPr>
              <w:t>0</w:t>
            </w:r>
          </w:p>
        </w:tc>
        <w:tc>
          <w:tcPr>
            <w:tcW w:w="1517" w:type="dxa"/>
            <w:shd w:val="clear" w:color="auto" w:fill="auto"/>
            <w:vAlign w:val="center"/>
          </w:tcPr>
          <w:p w14:paraId="766303B2">
            <w:pPr>
              <w:pStyle w:val="29"/>
              <w:rPr>
                <w:rFonts w:eastAsia="等线"/>
              </w:rPr>
            </w:pPr>
            <w:r>
              <w:rPr>
                <w:rFonts w:eastAsia="等线"/>
              </w:rPr>
              <w:t>0.0018 t/a</w:t>
            </w:r>
          </w:p>
        </w:tc>
        <w:tc>
          <w:tcPr>
            <w:tcW w:w="1518" w:type="dxa"/>
            <w:shd w:val="clear" w:color="auto" w:fill="auto"/>
            <w:vAlign w:val="center"/>
          </w:tcPr>
          <w:p w14:paraId="4F91B1BC">
            <w:pPr>
              <w:pStyle w:val="29"/>
              <w:rPr>
                <w:rFonts w:eastAsia="等线"/>
              </w:rPr>
            </w:pPr>
            <w:r>
              <w:rPr>
                <w:rFonts w:eastAsia="等线"/>
              </w:rPr>
              <w:t>+0.0018 t/a</w:t>
            </w:r>
          </w:p>
        </w:tc>
      </w:tr>
      <w:tr w14:paraId="3069872D">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40" w:hRule="atLeast"/>
        </w:trPr>
        <w:tc>
          <w:tcPr>
            <w:tcW w:w="1691" w:type="dxa"/>
            <w:vMerge w:val="continue"/>
            <w:shd w:val="clear" w:color="auto" w:fill="auto"/>
            <w:vAlign w:val="center"/>
          </w:tcPr>
          <w:p w14:paraId="26F70283">
            <w:pPr>
              <w:pStyle w:val="29"/>
            </w:pPr>
          </w:p>
        </w:tc>
        <w:tc>
          <w:tcPr>
            <w:tcW w:w="1787" w:type="dxa"/>
            <w:shd w:val="clear" w:color="auto" w:fill="auto"/>
            <w:vAlign w:val="center"/>
          </w:tcPr>
          <w:p w14:paraId="6D2817C1">
            <w:pPr>
              <w:pStyle w:val="29"/>
            </w:pPr>
            <w:r>
              <w:t>总氮</w:t>
            </w:r>
          </w:p>
        </w:tc>
        <w:tc>
          <w:tcPr>
            <w:tcW w:w="1517" w:type="dxa"/>
            <w:shd w:val="clear" w:color="auto" w:fill="auto"/>
            <w:vAlign w:val="center"/>
          </w:tcPr>
          <w:p w14:paraId="362441D9">
            <w:pPr>
              <w:pStyle w:val="29"/>
            </w:pPr>
            <w:r>
              <w:rPr>
                <w:rFonts w:eastAsia="等线"/>
              </w:rPr>
              <w:t>0</w:t>
            </w:r>
          </w:p>
        </w:tc>
        <w:tc>
          <w:tcPr>
            <w:tcW w:w="1517" w:type="dxa"/>
            <w:shd w:val="clear" w:color="auto" w:fill="auto"/>
            <w:vAlign w:val="center"/>
          </w:tcPr>
          <w:p w14:paraId="27FEE9B1">
            <w:pPr>
              <w:pStyle w:val="29"/>
              <w:rPr>
                <w:rFonts w:eastAsia="Times New Roman"/>
              </w:rPr>
            </w:pPr>
            <w:r>
              <w:rPr>
                <w:rFonts w:eastAsia="等线"/>
              </w:rPr>
              <w:t>0</w:t>
            </w:r>
          </w:p>
        </w:tc>
        <w:tc>
          <w:tcPr>
            <w:tcW w:w="1518" w:type="dxa"/>
            <w:shd w:val="clear" w:color="auto" w:fill="auto"/>
            <w:vAlign w:val="center"/>
          </w:tcPr>
          <w:p w14:paraId="7957E631">
            <w:pPr>
              <w:pStyle w:val="29"/>
              <w:rPr>
                <w:rFonts w:eastAsia="Times New Roman"/>
              </w:rPr>
            </w:pPr>
            <w:r>
              <w:rPr>
                <w:rFonts w:eastAsia="等线"/>
              </w:rPr>
              <w:t>0</w:t>
            </w:r>
          </w:p>
        </w:tc>
        <w:tc>
          <w:tcPr>
            <w:tcW w:w="1517" w:type="dxa"/>
            <w:shd w:val="clear" w:color="auto" w:fill="auto"/>
            <w:vAlign w:val="center"/>
          </w:tcPr>
          <w:p w14:paraId="3C26DD2A">
            <w:pPr>
              <w:pStyle w:val="29"/>
              <w:rPr>
                <w:rFonts w:eastAsia="等线"/>
              </w:rPr>
            </w:pPr>
            <w:r>
              <w:rPr>
                <w:rFonts w:eastAsia="等线"/>
              </w:rPr>
              <w:t>0.0166 t/a</w:t>
            </w:r>
          </w:p>
        </w:tc>
        <w:tc>
          <w:tcPr>
            <w:tcW w:w="1518" w:type="dxa"/>
            <w:shd w:val="clear" w:color="auto" w:fill="auto"/>
            <w:vAlign w:val="center"/>
          </w:tcPr>
          <w:p w14:paraId="39FF555F">
            <w:pPr>
              <w:pStyle w:val="29"/>
              <w:rPr>
                <w:rFonts w:eastAsia="等线"/>
              </w:rPr>
            </w:pPr>
            <w:r>
              <w:rPr>
                <w:rFonts w:eastAsia="等线"/>
              </w:rPr>
              <w:t>0</w:t>
            </w:r>
          </w:p>
        </w:tc>
        <w:tc>
          <w:tcPr>
            <w:tcW w:w="1517" w:type="dxa"/>
            <w:shd w:val="clear" w:color="auto" w:fill="auto"/>
            <w:vAlign w:val="center"/>
          </w:tcPr>
          <w:p w14:paraId="137AF16F">
            <w:pPr>
              <w:pStyle w:val="29"/>
              <w:rPr>
                <w:rFonts w:eastAsia="等线"/>
              </w:rPr>
            </w:pPr>
            <w:r>
              <w:rPr>
                <w:rFonts w:eastAsia="等线"/>
              </w:rPr>
              <w:t>0.0166 t/a</w:t>
            </w:r>
          </w:p>
        </w:tc>
        <w:tc>
          <w:tcPr>
            <w:tcW w:w="1518" w:type="dxa"/>
            <w:shd w:val="clear" w:color="auto" w:fill="auto"/>
            <w:vAlign w:val="center"/>
          </w:tcPr>
          <w:p w14:paraId="6E8CF395">
            <w:pPr>
              <w:pStyle w:val="29"/>
              <w:rPr>
                <w:rFonts w:eastAsia="等线"/>
              </w:rPr>
            </w:pPr>
            <w:r>
              <w:rPr>
                <w:rFonts w:eastAsia="等线"/>
              </w:rPr>
              <w:t>+0.0166 t/a</w:t>
            </w:r>
          </w:p>
        </w:tc>
      </w:tr>
      <w:tr w14:paraId="05B58228">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40" w:hRule="atLeast"/>
        </w:trPr>
        <w:tc>
          <w:tcPr>
            <w:tcW w:w="1691" w:type="dxa"/>
            <w:shd w:val="clear" w:color="auto" w:fill="auto"/>
            <w:vAlign w:val="center"/>
          </w:tcPr>
          <w:p w14:paraId="5B73A07D">
            <w:pPr>
              <w:pStyle w:val="29"/>
            </w:pPr>
            <w:r>
              <w:t>生活垃圾</w:t>
            </w:r>
          </w:p>
        </w:tc>
        <w:tc>
          <w:tcPr>
            <w:tcW w:w="1787" w:type="dxa"/>
            <w:shd w:val="clear" w:color="auto" w:fill="auto"/>
            <w:vAlign w:val="center"/>
          </w:tcPr>
          <w:p w14:paraId="7DE0BEC3">
            <w:pPr>
              <w:pStyle w:val="29"/>
            </w:pPr>
            <w:r>
              <w:t>生活垃圾</w:t>
            </w:r>
          </w:p>
        </w:tc>
        <w:tc>
          <w:tcPr>
            <w:tcW w:w="1517" w:type="dxa"/>
            <w:shd w:val="clear" w:color="auto" w:fill="auto"/>
            <w:vAlign w:val="center"/>
          </w:tcPr>
          <w:p w14:paraId="32033980">
            <w:pPr>
              <w:pStyle w:val="29"/>
              <w:rPr>
                <w:rFonts w:eastAsia="等线"/>
              </w:rPr>
            </w:pPr>
            <w:r>
              <w:rPr>
                <w:rFonts w:eastAsia="等线"/>
              </w:rPr>
              <w:t>0</w:t>
            </w:r>
          </w:p>
        </w:tc>
        <w:tc>
          <w:tcPr>
            <w:tcW w:w="1517" w:type="dxa"/>
            <w:shd w:val="clear" w:color="auto" w:fill="auto"/>
            <w:vAlign w:val="center"/>
          </w:tcPr>
          <w:p w14:paraId="40C1A450">
            <w:pPr>
              <w:pStyle w:val="29"/>
              <w:rPr>
                <w:rFonts w:eastAsia="等线"/>
              </w:rPr>
            </w:pPr>
            <w:r>
              <w:rPr>
                <w:rFonts w:eastAsia="等线"/>
              </w:rPr>
              <w:t>0</w:t>
            </w:r>
          </w:p>
        </w:tc>
        <w:tc>
          <w:tcPr>
            <w:tcW w:w="1518" w:type="dxa"/>
            <w:shd w:val="clear" w:color="auto" w:fill="auto"/>
            <w:vAlign w:val="center"/>
          </w:tcPr>
          <w:p w14:paraId="5FC96F78">
            <w:pPr>
              <w:pStyle w:val="29"/>
              <w:rPr>
                <w:rFonts w:eastAsia="等线"/>
              </w:rPr>
            </w:pPr>
            <w:r>
              <w:rPr>
                <w:rFonts w:eastAsia="等线"/>
              </w:rPr>
              <w:t>0</w:t>
            </w:r>
          </w:p>
        </w:tc>
        <w:tc>
          <w:tcPr>
            <w:tcW w:w="1517" w:type="dxa"/>
            <w:shd w:val="clear" w:color="auto" w:fill="auto"/>
            <w:vAlign w:val="center"/>
          </w:tcPr>
          <w:p w14:paraId="4DC649B3">
            <w:pPr>
              <w:pStyle w:val="29"/>
              <w:rPr>
                <w:rFonts w:eastAsia="等线"/>
              </w:rPr>
            </w:pPr>
            <w:r>
              <w:rPr>
                <w:rFonts w:eastAsia="等线"/>
              </w:rPr>
              <w:t>9 t/a</w:t>
            </w:r>
          </w:p>
        </w:tc>
        <w:tc>
          <w:tcPr>
            <w:tcW w:w="1518" w:type="dxa"/>
            <w:shd w:val="clear" w:color="auto" w:fill="auto"/>
            <w:vAlign w:val="center"/>
          </w:tcPr>
          <w:p w14:paraId="4B064293">
            <w:pPr>
              <w:pStyle w:val="29"/>
              <w:rPr>
                <w:rFonts w:eastAsia="等线"/>
              </w:rPr>
            </w:pPr>
            <w:r>
              <w:rPr>
                <w:rFonts w:eastAsia="等线"/>
              </w:rPr>
              <w:t>0</w:t>
            </w:r>
          </w:p>
        </w:tc>
        <w:tc>
          <w:tcPr>
            <w:tcW w:w="1517" w:type="dxa"/>
            <w:shd w:val="clear" w:color="auto" w:fill="auto"/>
            <w:vAlign w:val="center"/>
          </w:tcPr>
          <w:p w14:paraId="4A34E67B">
            <w:pPr>
              <w:pStyle w:val="29"/>
              <w:rPr>
                <w:rFonts w:eastAsia="等线"/>
              </w:rPr>
            </w:pPr>
            <w:r>
              <w:rPr>
                <w:rFonts w:eastAsia="等线"/>
              </w:rPr>
              <w:t>9 t/a</w:t>
            </w:r>
          </w:p>
        </w:tc>
        <w:tc>
          <w:tcPr>
            <w:tcW w:w="1518" w:type="dxa"/>
            <w:shd w:val="clear" w:color="auto" w:fill="auto"/>
            <w:vAlign w:val="center"/>
          </w:tcPr>
          <w:p w14:paraId="6A7AD7CB">
            <w:pPr>
              <w:pStyle w:val="29"/>
              <w:rPr>
                <w:rFonts w:eastAsia="等线"/>
              </w:rPr>
            </w:pPr>
            <w:r>
              <w:rPr>
                <w:rFonts w:eastAsia="等线"/>
              </w:rPr>
              <w:t>+9 t/a</w:t>
            </w:r>
          </w:p>
        </w:tc>
      </w:tr>
      <w:tr w14:paraId="0BA4ED10">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40" w:hRule="atLeast"/>
        </w:trPr>
        <w:tc>
          <w:tcPr>
            <w:tcW w:w="1691" w:type="dxa"/>
            <w:vMerge w:val="restart"/>
            <w:shd w:val="clear" w:color="auto" w:fill="auto"/>
            <w:vAlign w:val="center"/>
          </w:tcPr>
          <w:p w14:paraId="1F4EF23A">
            <w:pPr>
              <w:pStyle w:val="29"/>
            </w:pPr>
            <w:r>
              <w:t>一般工业固体废物</w:t>
            </w:r>
          </w:p>
        </w:tc>
        <w:tc>
          <w:tcPr>
            <w:tcW w:w="1787" w:type="dxa"/>
            <w:shd w:val="clear" w:color="auto" w:fill="auto"/>
            <w:vAlign w:val="center"/>
          </w:tcPr>
          <w:p w14:paraId="32AF6FAA">
            <w:pPr>
              <w:pStyle w:val="29"/>
            </w:pPr>
            <w:r>
              <w:t>废包装材料</w:t>
            </w:r>
          </w:p>
        </w:tc>
        <w:tc>
          <w:tcPr>
            <w:tcW w:w="1517" w:type="dxa"/>
            <w:shd w:val="clear" w:color="auto" w:fill="auto"/>
            <w:vAlign w:val="center"/>
          </w:tcPr>
          <w:p w14:paraId="0F5BA95F">
            <w:pPr>
              <w:pStyle w:val="29"/>
              <w:rPr>
                <w:rFonts w:eastAsia="等线"/>
              </w:rPr>
            </w:pPr>
            <w:r>
              <w:rPr>
                <w:rFonts w:eastAsia="等线"/>
              </w:rPr>
              <w:t>0</w:t>
            </w:r>
          </w:p>
        </w:tc>
        <w:tc>
          <w:tcPr>
            <w:tcW w:w="1517" w:type="dxa"/>
            <w:shd w:val="clear" w:color="auto" w:fill="auto"/>
            <w:vAlign w:val="center"/>
          </w:tcPr>
          <w:p w14:paraId="4A7D6878">
            <w:pPr>
              <w:pStyle w:val="29"/>
              <w:rPr>
                <w:rFonts w:eastAsia="等线"/>
              </w:rPr>
            </w:pPr>
            <w:r>
              <w:rPr>
                <w:rFonts w:eastAsia="等线"/>
              </w:rPr>
              <w:t>0</w:t>
            </w:r>
          </w:p>
        </w:tc>
        <w:tc>
          <w:tcPr>
            <w:tcW w:w="1518" w:type="dxa"/>
            <w:shd w:val="clear" w:color="auto" w:fill="auto"/>
            <w:vAlign w:val="center"/>
          </w:tcPr>
          <w:p w14:paraId="481D9DF5">
            <w:pPr>
              <w:pStyle w:val="29"/>
              <w:rPr>
                <w:rFonts w:eastAsia="等线"/>
              </w:rPr>
            </w:pPr>
            <w:r>
              <w:rPr>
                <w:rFonts w:eastAsia="等线"/>
              </w:rPr>
              <w:t>0</w:t>
            </w:r>
          </w:p>
        </w:tc>
        <w:tc>
          <w:tcPr>
            <w:tcW w:w="1517" w:type="dxa"/>
            <w:shd w:val="clear" w:color="auto" w:fill="auto"/>
            <w:vAlign w:val="center"/>
          </w:tcPr>
          <w:p w14:paraId="33419C18">
            <w:pPr>
              <w:pStyle w:val="29"/>
              <w:rPr>
                <w:rFonts w:eastAsia="等线"/>
              </w:rPr>
            </w:pPr>
            <w:r>
              <w:rPr>
                <w:rFonts w:eastAsia="等线"/>
              </w:rPr>
              <w:t>0.1 t/a</w:t>
            </w:r>
          </w:p>
        </w:tc>
        <w:tc>
          <w:tcPr>
            <w:tcW w:w="1518" w:type="dxa"/>
            <w:shd w:val="clear" w:color="auto" w:fill="auto"/>
            <w:vAlign w:val="center"/>
          </w:tcPr>
          <w:p w14:paraId="770E0142">
            <w:pPr>
              <w:pStyle w:val="29"/>
              <w:rPr>
                <w:rFonts w:eastAsia="等线"/>
              </w:rPr>
            </w:pPr>
            <w:r>
              <w:rPr>
                <w:rFonts w:eastAsia="等线"/>
              </w:rPr>
              <w:t>0</w:t>
            </w:r>
          </w:p>
        </w:tc>
        <w:tc>
          <w:tcPr>
            <w:tcW w:w="1517" w:type="dxa"/>
            <w:shd w:val="clear" w:color="auto" w:fill="auto"/>
            <w:vAlign w:val="center"/>
          </w:tcPr>
          <w:p w14:paraId="6F53382F">
            <w:pPr>
              <w:pStyle w:val="29"/>
              <w:rPr>
                <w:rFonts w:eastAsia="等线"/>
              </w:rPr>
            </w:pPr>
            <w:r>
              <w:rPr>
                <w:rFonts w:eastAsia="等线"/>
              </w:rPr>
              <w:t>0.1 t/a</w:t>
            </w:r>
          </w:p>
        </w:tc>
        <w:tc>
          <w:tcPr>
            <w:tcW w:w="1518" w:type="dxa"/>
            <w:shd w:val="clear" w:color="auto" w:fill="auto"/>
            <w:vAlign w:val="center"/>
          </w:tcPr>
          <w:p w14:paraId="669F62FA">
            <w:pPr>
              <w:pStyle w:val="29"/>
              <w:rPr>
                <w:rFonts w:eastAsia="等线"/>
              </w:rPr>
            </w:pPr>
            <w:r>
              <w:rPr>
                <w:rFonts w:eastAsia="等线"/>
              </w:rPr>
              <w:t>+0.1 t/a</w:t>
            </w:r>
          </w:p>
        </w:tc>
      </w:tr>
      <w:tr w14:paraId="5CEF7385">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40" w:hRule="atLeast"/>
        </w:trPr>
        <w:tc>
          <w:tcPr>
            <w:tcW w:w="1691" w:type="dxa"/>
            <w:vMerge w:val="continue"/>
            <w:shd w:val="clear" w:color="auto" w:fill="auto"/>
            <w:vAlign w:val="center"/>
          </w:tcPr>
          <w:p w14:paraId="5B8053C2">
            <w:pPr>
              <w:pStyle w:val="29"/>
              <w:rPr>
                <w:rFonts w:eastAsia="等线"/>
              </w:rPr>
            </w:pPr>
          </w:p>
        </w:tc>
        <w:tc>
          <w:tcPr>
            <w:tcW w:w="1787" w:type="dxa"/>
            <w:shd w:val="clear" w:color="auto" w:fill="auto"/>
            <w:vAlign w:val="center"/>
          </w:tcPr>
          <w:p w14:paraId="651A139D">
            <w:pPr>
              <w:pStyle w:val="29"/>
            </w:pPr>
            <w:r>
              <w:rPr>
                <w:color w:val="EE0000"/>
              </w:rPr>
              <w:t>钢废料</w:t>
            </w:r>
          </w:p>
        </w:tc>
        <w:tc>
          <w:tcPr>
            <w:tcW w:w="1517" w:type="dxa"/>
            <w:shd w:val="clear" w:color="auto" w:fill="auto"/>
            <w:vAlign w:val="center"/>
          </w:tcPr>
          <w:p w14:paraId="346F5B95">
            <w:pPr>
              <w:pStyle w:val="29"/>
              <w:rPr>
                <w:rFonts w:eastAsia="等线"/>
              </w:rPr>
            </w:pPr>
            <w:r>
              <w:rPr>
                <w:rFonts w:eastAsia="等线"/>
              </w:rPr>
              <w:t>0</w:t>
            </w:r>
          </w:p>
        </w:tc>
        <w:tc>
          <w:tcPr>
            <w:tcW w:w="1517" w:type="dxa"/>
            <w:shd w:val="clear" w:color="auto" w:fill="auto"/>
            <w:vAlign w:val="center"/>
          </w:tcPr>
          <w:p w14:paraId="2F192C09">
            <w:pPr>
              <w:pStyle w:val="29"/>
              <w:rPr>
                <w:rFonts w:eastAsia="等线"/>
              </w:rPr>
            </w:pPr>
            <w:r>
              <w:rPr>
                <w:rFonts w:eastAsia="等线"/>
              </w:rPr>
              <w:t>0</w:t>
            </w:r>
          </w:p>
        </w:tc>
        <w:tc>
          <w:tcPr>
            <w:tcW w:w="1518" w:type="dxa"/>
            <w:shd w:val="clear" w:color="auto" w:fill="auto"/>
            <w:vAlign w:val="center"/>
          </w:tcPr>
          <w:p w14:paraId="73BB24FE">
            <w:pPr>
              <w:pStyle w:val="29"/>
              <w:rPr>
                <w:rFonts w:eastAsia="等线"/>
              </w:rPr>
            </w:pPr>
            <w:r>
              <w:rPr>
                <w:rFonts w:eastAsia="等线"/>
              </w:rPr>
              <w:t>0</w:t>
            </w:r>
          </w:p>
        </w:tc>
        <w:tc>
          <w:tcPr>
            <w:tcW w:w="1517" w:type="dxa"/>
            <w:shd w:val="clear" w:color="auto" w:fill="auto"/>
            <w:vAlign w:val="center"/>
          </w:tcPr>
          <w:p w14:paraId="6D87084D">
            <w:pPr>
              <w:pStyle w:val="29"/>
              <w:rPr>
                <w:rFonts w:eastAsia="等线"/>
              </w:rPr>
            </w:pPr>
            <w:r>
              <w:rPr>
                <w:rFonts w:eastAsia="等线"/>
              </w:rPr>
              <w:t>1.2 t/a</w:t>
            </w:r>
          </w:p>
        </w:tc>
        <w:tc>
          <w:tcPr>
            <w:tcW w:w="1518" w:type="dxa"/>
            <w:shd w:val="clear" w:color="auto" w:fill="auto"/>
            <w:vAlign w:val="center"/>
          </w:tcPr>
          <w:p w14:paraId="70565EB1">
            <w:pPr>
              <w:pStyle w:val="29"/>
              <w:rPr>
                <w:rFonts w:eastAsia="等线"/>
              </w:rPr>
            </w:pPr>
            <w:r>
              <w:rPr>
                <w:rFonts w:eastAsia="等线"/>
              </w:rPr>
              <w:t>0</w:t>
            </w:r>
          </w:p>
        </w:tc>
        <w:tc>
          <w:tcPr>
            <w:tcW w:w="1517" w:type="dxa"/>
            <w:shd w:val="clear" w:color="auto" w:fill="auto"/>
            <w:vAlign w:val="center"/>
          </w:tcPr>
          <w:p w14:paraId="3C7B9BB8">
            <w:pPr>
              <w:pStyle w:val="29"/>
              <w:rPr>
                <w:rFonts w:eastAsia="等线"/>
              </w:rPr>
            </w:pPr>
            <w:r>
              <w:rPr>
                <w:rFonts w:eastAsia="等线"/>
              </w:rPr>
              <w:t>1.2 t/a</w:t>
            </w:r>
          </w:p>
        </w:tc>
        <w:tc>
          <w:tcPr>
            <w:tcW w:w="1518" w:type="dxa"/>
            <w:shd w:val="clear" w:color="auto" w:fill="auto"/>
            <w:vAlign w:val="center"/>
          </w:tcPr>
          <w:p w14:paraId="6D11BF94">
            <w:pPr>
              <w:pStyle w:val="29"/>
              <w:rPr>
                <w:rFonts w:eastAsia="等线"/>
              </w:rPr>
            </w:pPr>
            <w:r>
              <w:rPr>
                <w:rFonts w:eastAsia="等线"/>
              </w:rPr>
              <w:t>+1.2 t/a</w:t>
            </w:r>
          </w:p>
        </w:tc>
      </w:tr>
      <w:tr w14:paraId="44EB87FC">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40" w:hRule="atLeast"/>
        </w:trPr>
        <w:tc>
          <w:tcPr>
            <w:tcW w:w="1691" w:type="dxa"/>
            <w:vMerge w:val="restart"/>
            <w:shd w:val="clear" w:color="auto" w:fill="auto"/>
            <w:vAlign w:val="center"/>
          </w:tcPr>
          <w:p w14:paraId="692F9EBD">
            <w:pPr>
              <w:pStyle w:val="29"/>
            </w:pPr>
            <w:r>
              <w:t>危险废物</w:t>
            </w:r>
          </w:p>
        </w:tc>
        <w:tc>
          <w:tcPr>
            <w:tcW w:w="1787" w:type="dxa"/>
            <w:shd w:val="clear" w:color="auto" w:fill="auto"/>
            <w:vAlign w:val="center"/>
          </w:tcPr>
          <w:p w14:paraId="62E9A84D">
            <w:pPr>
              <w:pStyle w:val="29"/>
            </w:pPr>
            <w:r>
              <w:t>废机油</w:t>
            </w:r>
          </w:p>
        </w:tc>
        <w:tc>
          <w:tcPr>
            <w:tcW w:w="1517" w:type="dxa"/>
            <w:shd w:val="clear" w:color="auto" w:fill="auto"/>
            <w:vAlign w:val="center"/>
          </w:tcPr>
          <w:p w14:paraId="38EA848A">
            <w:pPr>
              <w:pStyle w:val="29"/>
              <w:rPr>
                <w:rFonts w:eastAsia="等线"/>
              </w:rPr>
            </w:pPr>
            <w:r>
              <w:rPr>
                <w:rFonts w:eastAsia="等线"/>
              </w:rPr>
              <w:t>0</w:t>
            </w:r>
          </w:p>
        </w:tc>
        <w:tc>
          <w:tcPr>
            <w:tcW w:w="1517" w:type="dxa"/>
            <w:shd w:val="clear" w:color="auto" w:fill="auto"/>
            <w:vAlign w:val="center"/>
          </w:tcPr>
          <w:p w14:paraId="17EB718F">
            <w:pPr>
              <w:pStyle w:val="29"/>
              <w:rPr>
                <w:rFonts w:eastAsia="等线"/>
              </w:rPr>
            </w:pPr>
            <w:r>
              <w:rPr>
                <w:rFonts w:eastAsia="等线"/>
              </w:rPr>
              <w:t>0</w:t>
            </w:r>
          </w:p>
        </w:tc>
        <w:tc>
          <w:tcPr>
            <w:tcW w:w="1518" w:type="dxa"/>
            <w:shd w:val="clear" w:color="auto" w:fill="auto"/>
            <w:vAlign w:val="center"/>
          </w:tcPr>
          <w:p w14:paraId="3E70431B">
            <w:pPr>
              <w:pStyle w:val="29"/>
              <w:rPr>
                <w:rFonts w:eastAsia="等线"/>
              </w:rPr>
            </w:pPr>
            <w:r>
              <w:rPr>
                <w:rFonts w:eastAsia="等线"/>
              </w:rPr>
              <w:t>0</w:t>
            </w:r>
          </w:p>
        </w:tc>
        <w:tc>
          <w:tcPr>
            <w:tcW w:w="1517" w:type="dxa"/>
            <w:shd w:val="clear" w:color="auto" w:fill="auto"/>
            <w:vAlign w:val="center"/>
          </w:tcPr>
          <w:p w14:paraId="73CB3993">
            <w:pPr>
              <w:pStyle w:val="29"/>
              <w:rPr>
                <w:rFonts w:eastAsia="等线"/>
              </w:rPr>
            </w:pPr>
            <w:r>
              <w:rPr>
                <w:rFonts w:eastAsia="等线"/>
              </w:rPr>
              <w:t>0.012 t/a</w:t>
            </w:r>
          </w:p>
        </w:tc>
        <w:tc>
          <w:tcPr>
            <w:tcW w:w="1518" w:type="dxa"/>
            <w:shd w:val="clear" w:color="auto" w:fill="auto"/>
            <w:vAlign w:val="center"/>
          </w:tcPr>
          <w:p w14:paraId="566CA347">
            <w:pPr>
              <w:pStyle w:val="29"/>
              <w:rPr>
                <w:rFonts w:eastAsia="等线"/>
              </w:rPr>
            </w:pPr>
            <w:r>
              <w:rPr>
                <w:rFonts w:eastAsia="等线"/>
              </w:rPr>
              <w:t>0</w:t>
            </w:r>
          </w:p>
        </w:tc>
        <w:tc>
          <w:tcPr>
            <w:tcW w:w="1517" w:type="dxa"/>
            <w:shd w:val="clear" w:color="auto" w:fill="auto"/>
            <w:vAlign w:val="center"/>
          </w:tcPr>
          <w:p w14:paraId="20C0C3C5">
            <w:pPr>
              <w:pStyle w:val="29"/>
              <w:rPr>
                <w:rFonts w:eastAsia="等线"/>
              </w:rPr>
            </w:pPr>
            <w:r>
              <w:rPr>
                <w:rFonts w:eastAsia="等线"/>
              </w:rPr>
              <w:t>0.012 t/a</w:t>
            </w:r>
          </w:p>
        </w:tc>
        <w:tc>
          <w:tcPr>
            <w:tcW w:w="1518" w:type="dxa"/>
            <w:shd w:val="clear" w:color="auto" w:fill="auto"/>
            <w:vAlign w:val="center"/>
          </w:tcPr>
          <w:p w14:paraId="1E232267">
            <w:pPr>
              <w:pStyle w:val="29"/>
              <w:rPr>
                <w:rFonts w:eastAsia="等线"/>
              </w:rPr>
            </w:pPr>
            <w:r>
              <w:rPr>
                <w:rFonts w:eastAsia="等线"/>
              </w:rPr>
              <w:t>+0.012 t/a</w:t>
            </w:r>
          </w:p>
        </w:tc>
      </w:tr>
      <w:tr w14:paraId="2E2EFFB9">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40" w:hRule="atLeast"/>
        </w:trPr>
        <w:tc>
          <w:tcPr>
            <w:tcW w:w="1691" w:type="dxa"/>
            <w:vMerge w:val="continue"/>
            <w:shd w:val="clear" w:color="auto" w:fill="auto"/>
            <w:vAlign w:val="center"/>
          </w:tcPr>
          <w:p w14:paraId="0FB0B350">
            <w:pPr>
              <w:pStyle w:val="29"/>
            </w:pPr>
          </w:p>
        </w:tc>
        <w:tc>
          <w:tcPr>
            <w:tcW w:w="1787" w:type="dxa"/>
            <w:shd w:val="clear" w:color="auto" w:fill="auto"/>
            <w:vAlign w:val="center"/>
          </w:tcPr>
          <w:p w14:paraId="08DBC0FC">
            <w:pPr>
              <w:pStyle w:val="29"/>
            </w:pPr>
            <w:r>
              <w:t>废</w:t>
            </w:r>
            <w:r>
              <w:rPr>
                <w:color w:val="0000FF"/>
              </w:rPr>
              <w:t>电火花机</w:t>
            </w:r>
            <w:r>
              <w:t>油</w:t>
            </w:r>
          </w:p>
        </w:tc>
        <w:tc>
          <w:tcPr>
            <w:tcW w:w="1517" w:type="dxa"/>
            <w:shd w:val="clear" w:color="auto" w:fill="auto"/>
            <w:vAlign w:val="center"/>
          </w:tcPr>
          <w:p w14:paraId="71872A82">
            <w:pPr>
              <w:pStyle w:val="29"/>
              <w:rPr>
                <w:rFonts w:eastAsia="等线"/>
              </w:rPr>
            </w:pPr>
            <w:r>
              <w:rPr>
                <w:rFonts w:eastAsia="等线"/>
              </w:rPr>
              <w:t>0</w:t>
            </w:r>
          </w:p>
        </w:tc>
        <w:tc>
          <w:tcPr>
            <w:tcW w:w="1517" w:type="dxa"/>
            <w:shd w:val="clear" w:color="auto" w:fill="auto"/>
            <w:vAlign w:val="center"/>
          </w:tcPr>
          <w:p w14:paraId="6976A872">
            <w:pPr>
              <w:pStyle w:val="29"/>
              <w:rPr>
                <w:rFonts w:eastAsia="等线"/>
              </w:rPr>
            </w:pPr>
            <w:r>
              <w:rPr>
                <w:rFonts w:eastAsia="等线"/>
              </w:rPr>
              <w:t>0</w:t>
            </w:r>
          </w:p>
        </w:tc>
        <w:tc>
          <w:tcPr>
            <w:tcW w:w="1518" w:type="dxa"/>
            <w:shd w:val="clear" w:color="auto" w:fill="auto"/>
            <w:vAlign w:val="center"/>
          </w:tcPr>
          <w:p w14:paraId="08291AEC">
            <w:pPr>
              <w:pStyle w:val="29"/>
              <w:rPr>
                <w:rFonts w:eastAsia="等线"/>
              </w:rPr>
            </w:pPr>
            <w:r>
              <w:rPr>
                <w:rFonts w:eastAsia="等线"/>
              </w:rPr>
              <w:t>0</w:t>
            </w:r>
          </w:p>
        </w:tc>
        <w:tc>
          <w:tcPr>
            <w:tcW w:w="1517" w:type="dxa"/>
            <w:shd w:val="clear" w:color="auto" w:fill="auto"/>
            <w:vAlign w:val="center"/>
          </w:tcPr>
          <w:p w14:paraId="2BFA8CBA">
            <w:pPr>
              <w:pStyle w:val="29"/>
              <w:rPr>
                <w:rFonts w:eastAsia="等线"/>
              </w:rPr>
            </w:pPr>
            <w:r>
              <w:rPr>
                <w:rFonts w:eastAsia="等线"/>
              </w:rPr>
              <w:t>0.008t/a</w:t>
            </w:r>
          </w:p>
        </w:tc>
        <w:tc>
          <w:tcPr>
            <w:tcW w:w="1518" w:type="dxa"/>
            <w:shd w:val="clear" w:color="auto" w:fill="auto"/>
            <w:vAlign w:val="center"/>
          </w:tcPr>
          <w:p w14:paraId="45F58FDD">
            <w:pPr>
              <w:pStyle w:val="29"/>
              <w:rPr>
                <w:rFonts w:eastAsia="等线"/>
              </w:rPr>
            </w:pPr>
            <w:r>
              <w:rPr>
                <w:rFonts w:eastAsia="等线"/>
              </w:rPr>
              <w:t>0</w:t>
            </w:r>
          </w:p>
        </w:tc>
        <w:tc>
          <w:tcPr>
            <w:tcW w:w="1517" w:type="dxa"/>
            <w:shd w:val="clear" w:color="auto" w:fill="auto"/>
            <w:vAlign w:val="center"/>
          </w:tcPr>
          <w:p w14:paraId="789CF862">
            <w:pPr>
              <w:pStyle w:val="29"/>
              <w:rPr>
                <w:rFonts w:eastAsia="等线"/>
              </w:rPr>
            </w:pPr>
            <w:r>
              <w:rPr>
                <w:rFonts w:eastAsia="等线"/>
              </w:rPr>
              <w:t>0.008t/a</w:t>
            </w:r>
          </w:p>
        </w:tc>
        <w:tc>
          <w:tcPr>
            <w:tcW w:w="1518" w:type="dxa"/>
            <w:shd w:val="clear" w:color="auto" w:fill="auto"/>
            <w:vAlign w:val="center"/>
          </w:tcPr>
          <w:p w14:paraId="38F1C568">
            <w:pPr>
              <w:pStyle w:val="29"/>
              <w:rPr>
                <w:rFonts w:eastAsia="等线"/>
              </w:rPr>
            </w:pPr>
            <w:r>
              <w:rPr>
                <w:rFonts w:eastAsia="等线"/>
              </w:rPr>
              <w:t>+0.008t/a</w:t>
            </w:r>
          </w:p>
        </w:tc>
      </w:tr>
      <w:tr w14:paraId="3DFC579D">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40" w:hRule="atLeast"/>
        </w:trPr>
        <w:tc>
          <w:tcPr>
            <w:tcW w:w="1691" w:type="dxa"/>
            <w:vMerge w:val="continue"/>
            <w:vAlign w:val="center"/>
          </w:tcPr>
          <w:p w14:paraId="1ACC9BBA">
            <w:pPr>
              <w:pStyle w:val="29"/>
            </w:pPr>
          </w:p>
        </w:tc>
        <w:tc>
          <w:tcPr>
            <w:tcW w:w="1787" w:type="dxa"/>
            <w:shd w:val="clear" w:color="auto" w:fill="auto"/>
            <w:vAlign w:val="center"/>
          </w:tcPr>
          <w:p w14:paraId="367EE57E">
            <w:pPr>
              <w:pStyle w:val="29"/>
            </w:pPr>
            <w:r>
              <w:t>废油桶</w:t>
            </w:r>
          </w:p>
        </w:tc>
        <w:tc>
          <w:tcPr>
            <w:tcW w:w="1517" w:type="dxa"/>
            <w:shd w:val="clear" w:color="auto" w:fill="auto"/>
            <w:vAlign w:val="center"/>
          </w:tcPr>
          <w:p w14:paraId="3D36F215">
            <w:pPr>
              <w:pStyle w:val="29"/>
              <w:rPr>
                <w:rFonts w:eastAsia="等线"/>
              </w:rPr>
            </w:pPr>
            <w:r>
              <w:rPr>
                <w:rFonts w:eastAsia="等线"/>
              </w:rPr>
              <w:t>0</w:t>
            </w:r>
          </w:p>
        </w:tc>
        <w:tc>
          <w:tcPr>
            <w:tcW w:w="1517" w:type="dxa"/>
            <w:shd w:val="clear" w:color="auto" w:fill="auto"/>
            <w:vAlign w:val="center"/>
          </w:tcPr>
          <w:p w14:paraId="7FF1EB43">
            <w:pPr>
              <w:pStyle w:val="29"/>
              <w:rPr>
                <w:rFonts w:eastAsia="等线"/>
              </w:rPr>
            </w:pPr>
            <w:r>
              <w:rPr>
                <w:rFonts w:eastAsia="等线"/>
              </w:rPr>
              <w:t>0</w:t>
            </w:r>
          </w:p>
        </w:tc>
        <w:tc>
          <w:tcPr>
            <w:tcW w:w="1518" w:type="dxa"/>
            <w:shd w:val="clear" w:color="auto" w:fill="auto"/>
            <w:vAlign w:val="center"/>
          </w:tcPr>
          <w:p w14:paraId="7EDB6F29">
            <w:pPr>
              <w:pStyle w:val="29"/>
              <w:rPr>
                <w:rFonts w:eastAsia="等线"/>
              </w:rPr>
            </w:pPr>
            <w:r>
              <w:rPr>
                <w:rFonts w:eastAsia="等线"/>
              </w:rPr>
              <w:t>0</w:t>
            </w:r>
          </w:p>
        </w:tc>
        <w:tc>
          <w:tcPr>
            <w:tcW w:w="1517" w:type="dxa"/>
            <w:shd w:val="clear" w:color="auto" w:fill="auto"/>
            <w:vAlign w:val="center"/>
          </w:tcPr>
          <w:p w14:paraId="4344619E">
            <w:pPr>
              <w:pStyle w:val="29"/>
              <w:rPr>
                <w:rFonts w:eastAsia="等线"/>
              </w:rPr>
            </w:pPr>
            <w:r>
              <w:rPr>
                <w:rFonts w:eastAsia="等线"/>
              </w:rPr>
              <w:t>0.002 t/a</w:t>
            </w:r>
          </w:p>
        </w:tc>
        <w:tc>
          <w:tcPr>
            <w:tcW w:w="1518" w:type="dxa"/>
            <w:shd w:val="clear" w:color="auto" w:fill="auto"/>
            <w:vAlign w:val="center"/>
          </w:tcPr>
          <w:p w14:paraId="3161CFA1">
            <w:pPr>
              <w:pStyle w:val="29"/>
              <w:rPr>
                <w:rFonts w:eastAsia="等线"/>
              </w:rPr>
            </w:pPr>
            <w:r>
              <w:rPr>
                <w:rFonts w:eastAsia="等线"/>
              </w:rPr>
              <w:t>0</w:t>
            </w:r>
          </w:p>
        </w:tc>
        <w:tc>
          <w:tcPr>
            <w:tcW w:w="1517" w:type="dxa"/>
            <w:shd w:val="clear" w:color="auto" w:fill="auto"/>
            <w:vAlign w:val="center"/>
          </w:tcPr>
          <w:p w14:paraId="1067162D">
            <w:pPr>
              <w:pStyle w:val="29"/>
              <w:rPr>
                <w:rFonts w:eastAsia="等线"/>
              </w:rPr>
            </w:pPr>
            <w:r>
              <w:rPr>
                <w:rFonts w:eastAsia="等线"/>
              </w:rPr>
              <w:t>0.002 t/a</w:t>
            </w:r>
          </w:p>
        </w:tc>
        <w:tc>
          <w:tcPr>
            <w:tcW w:w="1518" w:type="dxa"/>
            <w:shd w:val="clear" w:color="auto" w:fill="auto"/>
            <w:vAlign w:val="center"/>
          </w:tcPr>
          <w:p w14:paraId="5DCA8926">
            <w:pPr>
              <w:pStyle w:val="29"/>
              <w:rPr>
                <w:rFonts w:eastAsia="等线"/>
              </w:rPr>
            </w:pPr>
            <w:r>
              <w:rPr>
                <w:rFonts w:eastAsia="等线"/>
              </w:rPr>
              <w:t>+0.002 t/a</w:t>
            </w:r>
          </w:p>
        </w:tc>
      </w:tr>
      <w:tr w14:paraId="5C4C5315">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40" w:hRule="atLeast"/>
        </w:trPr>
        <w:tc>
          <w:tcPr>
            <w:tcW w:w="1691" w:type="dxa"/>
            <w:vMerge w:val="continue"/>
            <w:vAlign w:val="center"/>
          </w:tcPr>
          <w:p w14:paraId="14B9EF97">
            <w:pPr>
              <w:pStyle w:val="29"/>
            </w:pPr>
          </w:p>
        </w:tc>
        <w:tc>
          <w:tcPr>
            <w:tcW w:w="1787" w:type="dxa"/>
            <w:shd w:val="clear" w:color="auto" w:fill="auto"/>
            <w:vAlign w:val="center"/>
          </w:tcPr>
          <w:p w14:paraId="3C292742">
            <w:pPr>
              <w:pStyle w:val="29"/>
            </w:pPr>
            <w:r>
              <w:t>废含油抹布及手套</w:t>
            </w:r>
          </w:p>
        </w:tc>
        <w:tc>
          <w:tcPr>
            <w:tcW w:w="1517" w:type="dxa"/>
            <w:shd w:val="clear" w:color="auto" w:fill="auto"/>
            <w:vAlign w:val="center"/>
          </w:tcPr>
          <w:p w14:paraId="11D3D9AF">
            <w:pPr>
              <w:pStyle w:val="29"/>
              <w:rPr>
                <w:rFonts w:eastAsia="等线"/>
              </w:rPr>
            </w:pPr>
            <w:r>
              <w:rPr>
                <w:rFonts w:eastAsia="等线"/>
              </w:rPr>
              <w:t>0</w:t>
            </w:r>
          </w:p>
        </w:tc>
        <w:tc>
          <w:tcPr>
            <w:tcW w:w="1517" w:type="dxa"/>
            <w:shd w:val="clear" w:color="auto" w:fill="auto"/>
            <w:vAlign w:val="center"/>
          </w:tcPr>
          <w:p w14:paraId="0752C5BA">
            <w:pPr>
              <w:pStyle w:val="29"/>
              <w:rPr>
                <w:rFonts w:eastAsia="等线"/>
              </w:rPr>
            </w:pPr>
            <w:r>
              <w:rPr>
                <w:rFonts w:eastAsia="等线"/>
              </w:rPr>
              <w:t>0</w:t>
            </w:r>
          </w:p>
        </w:tc>
        <w:tc>
          <w:tcPr>
            <w:tcW w:w="1518" w:type="dxa"/>
            <w:shd w:val="clear" w:color="auto" w:fill="auto"/>
            <w:vAlign w:val="center"/>
          </w:tcPr>
          <w:p w14:paraId="0D781810">
            <w:pPr>
              <w:pStyle w:val="29"/>
              <w:rPr>
                <w:rFonts w:eastAsia="等线"/>
              </w:rPr>
            </w:pPr>
            <w:r>
              <w:rPr>
                <w:rFonts w:eastAsia="等线"/>
              </w:rPr>
              <w:t>0</w:t>
            </w:r>
          </w:p>
        </w:tc>
        <w:tc>
          <w:tcPr>
            <w:tcW w:w="1517" w:type="dxa"/>
            <w:shd w:val="clear" w:color="auto" w:fill="auto"/>
            <w:vAlign w:val="center"/>
          </w:tcPr>
          <w:p w14:paraId="533FC6B9">
            <w:pPr>
              <w:pStyle w:val="29"/>
              <w:rPr>
                <w:rFonts w:eastAsia="等线"/>
              </w:rPr>
            </w:pPr>
            <w:r>
              <w:rPr>
                <w:rFonts w:eastAsia="等线"/>
              </w:rPr>
              <w:t>0.05 t/a</w:t>
            </w:r>
          </w:p>
        </w:tc>
        <w:tc>
          <w:tcPr>
            <w:tcW w:w="1518" w:type="dxa"/>
            <w:shd w:val="clear" w:color="auto" w:fill="auto"/>
            <w:vAlign w:val="center"/>
          </w:tcPr>
          <w:p w14:paraId="50B787CA">
            <w:pPr>
              <w:pStyle w:val="29"/>
              <w:rPr>
                <w:rFonts w:eastAsia="等线"/>
              </w:rPr>
            </w:pPr>
            <w:r>
              <w:rPr>
                <w:rFonts w:eastAsia="等线"/>
              </w:rPr>
              <w:t>0</w:t>
            </w:r>
          </w:p>
        </w:tc>
        <w:tc>
          <w:tcPr>
            <w:tcW w:w="1517" w:type="dxa"/>
            <w:shd w:val="clear" w:color="auto" w:fill="auto"/>
            <w:vAlign w:val="center"/>
          </w:tcPr>
          <w:p w14:paraId="2BE12F65">
            <w:pPr>
              <w:pStyle w:val="29"/>
              <w:rPr>
                <w:rFonts w:eastAsia="等线"/>
              </w:rPr>
            </w:pPr>
            <w:r>
              <w:rPr>
                <w:rFonts w:eastAsia="等线"/>
              </w:rPr>
              <w:t>0.05 t/a</w:t>
            </w:r>
          </w:p>
        </w:tc>
        <w:tc>
          <w:tcPr>
            <w:tcW w:w="1518" w:type="dxa"/>
            <w:shd w:val="clear" w:color="auto" w:fill="auto"/>
            <w:vAlign w:val="center"/>
          </w:tcPr>
          <w:p w14:paraId="78E3F574">
            <w:pPr>
              <w:pStyle w:val="29"/>
              <w:rPr>
                <w:rFonts w:eastAsia="等线"/>
              </w:rPr>
            </w:pPr>
            <w:r>
              <w:rPr>
                <w:rFonts w:eastAsia="等线"/>
              </w:rPr>
              <w:t>+0.05 t/a</w:t>
            </w:r>
          </w:p>
        </w:tc>
      </w:tr>
      <w:tr w14:paraId="4875E9C3">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40" w:hRule="atLeast"/>
        </w:trPr>
        <w:tc>
          <w:tcPr>
            <w:tcW w:w="1691" w:type="dxa"/>
            <w:vMerge w:val="continue"/>
            <w:vAlign w:val="center"/>
          </w:tcPr>
          <w:p w14:paraId="771C34DA">
            <w:pPr>
              <w:pStyle w:val="29"/>
            </w:pPr>
          </w:p>
        </w:tc>
        <w:tc>
          <w:tcPr>
            <w:tcW w:w="1787" w:type="dxa"/>
            <w:shd w:val="clear" w:color="auto" w:fill="auto"/>
            <w:vAlign w:val="center"/>
          </w:tcPr>
          <w:p w14:paraId="10248270">
            <w:pPr>
              <w:pStyle w:val="29"/>
            </w:pPr>
            <w:r>
              <w:t>废抹布手套</w:t>
            </w:r>
          </w:p>
        </w:tc>
        <w:tc>
          <w:tcPr>
            <w:tcW w:w="1517" w:type="dxa"/>
            <w:shd w:val="clear" w:color="auto" w:fill="auto"/>
            <w:vAlign w:val="center"/>
          </w:tcPr>
          <w:p w14:paraId="63ACC43F">
            <w:pPr>
              <w:pStyle w:val="29"/>
              <w:rPr>
                <w:rFonts w:eastAsia="等线"/>
              </w:rPr>
            </w:pPr>
            <w:r>
              <w:rPr>
                <w:rFonts w:eastAsia="等线"/>
              </w:rPr>
              <w:t>0</w:t>
            </w:r>
          </w:p>
        </w:tc>
        <w:tc>
          <w:tcPr>
            <w:tcW w:w="1517" w:type="dxa"/>
            <w:shd w:val="clear" w:color="auto" w:fill="auto"/>
            <w:vAlign w:val="center"/>
          </w:tcPr>
          <w:p w14:paraId="75F1A29D">
            <w:pPr>
              <w:pStyle w:val="29"/>
              <w:rPr>
                <w:rFonts w:eastAsia="等线"/>
              </w:rPr>
            </w:pPr>
            <w:r>
              <w:rPr>
                <w:rFonts w:eastAsia="等线"/>
              </w:rPr>
              <w:t>0</w:t>
            </w:r>
          </w:p>
        </w:tc>
        <w:tc>
          <w:tcPr>
            <w:tcW w:w="1518" w:type="dxa"/>
            <w:shd w:val="clear" w:color="auto" w:fill="auto"/>
            <w:vAlign w:val="center"/>
          </w:tcPr>
          <w:p w14:paraId="51F8594B">
            <w:pPr>
              <w:pStyle w:val="29"/>
              <w:rPr>
                <w:rFonts w:eastAsia="等线"/>
              </w:rPr>
            </w:pPr>
            <w:r>
              <w:rPr>
                <w:rFonts w:eastAsia="等线"/>
              </w:rPr>
              <w:t>0</w:t>
            </w:r>
          </w:p>
        </w:tc>
        <w:tc>
          <w:tcPr>
            <w:tcW w:w="1517" w:type="dxa"/>
            <w:shd w:val="clear" w:color="auto" w:fill="auto"/>
            <w:vAlign w:val="center"/>
          </w:tcPr>
          <w:p w14:paraId="3F86809E">
            <w:pPr>
              <w:pStyle w:val="29"/>
              <w:rPr>
                <w:rFonts w:eastAsia="等线"/>
              </w:rPr>
            </w:pPr>
            <w:r>
              <w:rPr>
                <w:rFonts w:eastAsia="等线"/>
              </w:rPr>
              <w:t>0.05 t/a</w:t>
            </w:r>
          </w:p>
        </w:tc>
        <w:tc>
          <w:tcPr>
            <w:tcW w:w="1518" w:type="dxa"/>
            <w:shd w:val="clear" w:color="auto" w:fill="auto"/>
            <w:vAlign w:val="center"/>
          </w:tcPr>
          <w:p w14:paraId="2600F63B">
            <w:pPr>
              <w:pStyle w:val="29"/>
              <w:rPr>
                <w:rFonts w:eastAsia="等线"/>
              </w:rPr>
            </w:pPr>
            <w:r>
              <w:rPr>
                <w:rFonts w:eastAsia="等线"/>
              </w:rPr>
              <w:t>0</w:t>
            </w:r>
          </w:p>
        </w:tc>
        <w:tc>
          <w:tcPr>
            <w:tcW w:w="1517" w:type="dxa"/>
            <w:shd w:val="clear" w:color="auto" w:fill="auto"/>
            <w:vAlign w:val="center"/>
          </w:tcPr>
          <w:p w14:paraId="0DF2FE31">
            <w:pPr>
              <w:pStyle w:val="29"/>
              <w:rPr>
                <w:rFonts w:eastAsia="等线"/>
              </w:rPr>
            </w:pPr>
            <w:r>
              <w:rPr>
                <w:rFonts w:eastAsia="等线"/>
              </w:rPr>
              <w:t>0.05 t/a</w:t>
            </w:r>
          </w:p>
        </w:tc>
        <w:tc>
          <w:tcPr>
            <w:tcW w:w="1518" w:type="dxa"/>
            <w:shd w:val="clear" w:color="auto" w:fill="auto"/>
            <w:vAlign w:val="center"/>
          </w:tcPr>
          <w:p w14:paraId="3E0E5F97">
            <w:pPr>
              <w:pStyle w:val="29"/>
              <w:rPr>
                <w:rFonts w:eastAsia="等线"/>
              </w:rPr>
            </w:pPr>
            <w:r>
              <w:rPr>
                <w:rFonts w:eastAsia="等线"/>
              </w:rPr>
              <w:t>+0.05 t/a</w:t>
            </w:r>
          </w:p>
        </w:tc>
      </w:tr>
      <w:tr w14:paraId="1BA86619">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40" w:hRule="atLeast"/>
        </w:trPr>
        <w:tc>
          <w:tcPr>
            <w:tcW w:w="1691" w:type="dxa"/>
            <w:vMerge w:val="continue"/>
            <w:vAlign w:val="center"/>
          </w:tcPr>
          <w:p w14:paraId="6E95C9BC">
            <w:pPr>
              <w:pStyle w:val="29"/>
            </w:pPr>
          </w:p>
        </w:tc>
        <w:tc>
          <w:tcPr>
            <w:tcW w:w="1787" w:type="dxa"/>
            <w:shd w:val="clear" w:color="auto" w:fill="auto"/>
            <w:vAlign w:val="center"/>
          </w:tcPr>
          <w:p w14:paraId="036920B8">
            <w:pPr>
              <w:pStyle w:val="29"/>
            </w:pPr>
            <w:r>
              <w:t>废空桶</w:t>
            </w:r>
          </w:p>
        </w:tc>
        <w:tc>
          <w:tcPr>
            <w:tcW w:w="1517" w:type="dxa"/>
            <w:shd w:val="clear" w:color="auto" w:fill="auto"/>
            <w:vAlign w:val="center"/>
          </w:tcPr>
          <w:p w14:paraId="7318EA37">
            <w:pPr>
              <w:pStyle w:val="29"/>
              <w:rPr>
                <w:rFonts w:eastAsia="等线"/>
              </w:rPr>
            </w:pPr>
            <w:r>
              <w:rPr>
                <w:rFonts w:eastAsia="等线"/>
              </w:rPr>
              <w:t>0</w:t>
            </w:r>
          </w:p>
        </w:tc>
        <w:tc>
          <w:tcPr>
            <w:tcW w:w="1517" w:type="dxa"/>
            <w:shd w:val="clear" w:color="auto" w:fill="auto"/>
            <w:vAlign w:val="center"/>
          </w:tcPr>
          <w:p w14:paraId="1DDE22BD">
            <w:pPr>
              <w:pStyle w:val="29"/>
              <w:rPr>
                <w:rFonts w:eastAsia="等线"/>
              </w:rPr>
            </w:pPr>
            <w:r>
              <w:rPr>
                <w:rFonts w:eastAsia="等线"/>
              </w:rPr>
              <w:t>0</w:t>
            </w:r>
          </w:p>
        </w:tc>
        <w:tc>
          <w:tcPr>
            <w:tcW w:w="1518" w:type="dxa"/>
            <w:shd w:val="clear" w:color="auto" w:fill="auto"/>
            <w:vAlign w:val="center"/>
          </w:tcPr>
          <w:p w14:paraId="6DE76FB8">
            <w:pPr>
              <w:pStyle w:val="29"/>
              <w:rPr>
                <w:rFonts w:eastAsia="等线"/>
              </w:rPr>
            </w:pPr>
            <w:r>
              <w:rPr>
                <w:rFonts w:eastAsia="等线"/>
              </w:rPr>
              <w:t>0</w:t>
            </w:r>
          </w:p>
        </w:tc>
        <w:tc>
          <w:tcPr>
            <w:tcW w:w="1517" w:type="dxa"/>
            <w:shd w:val="clear" w:color="auto" w:fill="auto"/>
            <w:vAlign w:val="center"/>
          </w:tcPr>
          <w:p w14:paraId="62B5D57C">
            <w:pPr>
              <w:pStyle w:val="29"/>
              <w:rPr>
                <w:rFonts w:eastAsia="等线"/>
              </w:rPr>
            </w:pPr>
            <w:r>
              <w:rPr>
                <w:rFonts w:eastAsia="等线"/>
                <w:color w:val="EE0000"/>
              </w:rPr>
              <w:t>0.</w:t>
            </w:r>
            <w:r>
              <w:rPr>
                <w:rFonts w:hint="eastAsia" w:eastAsia="等线"/>
                <w:color w:val="EE0000"/>
              </w:rPr>
              <w:t>155</w:t>
            </w:r>
            <w:r>
              <w:rPr>
                <w:rFonts w:eastAsia="等线"/>
              </w:rPr>
              <w:t xml:space="preserve"> t/a</w:t>
            </w:r>
          </w:p>
        </w:tc>
        <w:tc>
          <w:tcPr>
            <w:tcW w:w="1518" w:type="dxa"/>
            <w:shd w:val="clear" w:color="auto" w:fill="auto"/>
            <w:vAlign w:val="center"/>
          </w:tcPr>
          <w:p w14:paraId="74CBE8C2">
            <w:pPr>
              <w:pStyle w:val="29"/>
              <w:rPr>
                <w:rFonts w:eastAsia="等线"/>
              </w:rPr>
            </w:pPr>
            <w:r>
              <w:rPr>
                <w:rFonts w:eastAsia="等线"/>
              </w:rPr>
              <w:t>0</w:t>
            </w:r>
          </w:p>
        </w:tc>
        <w:tc>
          <w:tcPr>
            <w:tcW w:w="1517" w:type="dxa"/>
            <w:shd w:val="clear" w:color="auto" w:fill="auto"/>
            <w:vAlign w:val="center"/>
          </w:tcPr>
          <w:p w14:paraId="4DAD5E33">
            <w:pPr>
              <w:pStyle w:val="29"/>
              <w:rPr>
                <w:rFonts w:eastAsia="等线"/>
              </w:rPr>
            </w:pPr>
            <w:r>
              <w:rPr>
                <w:rFonts w:eastAsia="等线"/>
                <w:color w:val="EE0000"/>
              </w:rPr>
              <w:t>0.</w:t>
            </w:r>
            <w:r>
              <w:rPr>
                <w:rFonts w:hint="eastAsia" w:eastAsia="等线"/>
                <w:color w:val="EE0000"/>
              </w:rPr>
              <w:t>155</w:t>
            </w:r>
            <w:r>
              <w:rPr>
                <w:rFonts w:eastAsia="等线"/>
              </w:rPr>
              <w:t xml:space="preserve"> t/a</w:t>
            </w:r>
          </w:p>
        </w:tc>
        <w:tc>
          <w:tcPr>
            <w:tcW w:w="1518" w:type="dxa"/>
            <w:shd w:val="clear" w:color="auto" w:fill="auto"/>
            <w:vAlign w:val="center"/>
          </w:tcPr>
          <w:p w14:paraId="0F03B0F5">
            <w:pPr>
              <w:pStyle w:val="29"/>
              <w:rPr>
                <w:rFonts w:eastAsia="等线"/>
              </w:rPr>
            </w:pPr>
            <w:r>
              <w:rPr>
                <w:rFonts w:eastAsia="等线"/>
              </w:rPr>
              <w:t>+</w:t>
            </w:r>
            <w:r>
              <w:rPr>
                <w:rFonts w:eastAsia="等线"/>
                <w:color w:val="EE0000"/>
              </w:rPr>
              <w:t>0.</w:t>
            </w:r>
            <w:r>
              <w:rPr>
                <w:rFonts w:hint="eastAsia" w:eastAsia="等线"/>
                <w:color w:val="EE0000"/>
              </w:rPr>
              <w:t>155</w:t>
            </w:r>
            <w:r>
              <w:rPr>
                <w:rFonts w:eastAsia="等线"/>
              </w:rPr>
              <w:t xml:space="preserve"> t/a</w:t>
            </w:r>
          </w:p>
        </w:tc>
      </w:tr>
      <w:tr w14:paraId="64B7CC0D">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40" w:hRule="atLeast"/>
        </w:trPr>
        <w:tc>
          <w:tcPr>
            <w:tcW w:w="1691" w:type="dxa"/>
            <w:vMerge w:val="continue"/>
            <w:vAlign w:val="center"/>
          </w:tcPr>
          <w:p w14:paraId="26617E50">
            <w:pPr>
              <w:pStyle w:val="29"/>
            </w:pPr>
          </w:p>
        </w:tc>
        <w:tc>
          <w:tcPr>
            <w:tcW w:w="1787" w:type="dxa"/>
            <w:shd w:val="clear" w:color="auto" w:fill="auto"/>
            <w:vAlign w:val="center"/>
          </w:tcPr>
          <w:p w14:paraId="05378381">
            <w:pPr>
              <w:pStyle w:val="29"/>
            </w:pPr>
            <w:r>
              <w:t>废活性炭</w:t>
            </w:r>
          </w:p>
        </w:tc>
        <w:tc>
          <w:tcPr>
            <w:tcW w:w="1517" w:type="dxa"/>
            <w:shd w:val="clear" w:color="auto" w:fill="auto"/>
            <w:vAlign w:val="center"/>
          </w:tcPr>
          <w:p w14:paraId="3DBCA76F">
            <w:pPr>
              <w:pStyle w:val="29"/>
              <w:rPr>
                <w:rFonts w:eastAsia="等线"/>
              </w:rPr>
            </w:pPr>
            <w:r>
              <w:rPr>
                <w:rFonts w:eastAsia="等线"/>
              </w:rPr>
              <w:t>0</w:t>
            </w:r>
          </w:p>
        </w:tc>
        <w:tc>
          <w:tcPr>
            <w:tcW w:w="1517" w:type="dxa"/>
            <w:shd w:val="clear" w:color="auto" w:fill="auto"/>
            <w:vAlign w:val="center"/>
          </w:tcPr>
          <w:p w14:paraId="09701050">
            <w:pPr>
              <w:pStyle w:val="29"/>
              <w:rPr>
                <w:rFonts w:eastAsia="等线"/>
              </w:rPr>
            </w:pPr>
            <w:r>
              <w:rPr>
                <w:rFonts w:eastAsia="等线"/>
              </w:rPr>
              <w:t>0</w:t>
            </w:r>
          </w:p>
        </w:tc>
        <w:tc>
          <w:tcPr>
            <w:tcW w:w="1518" w:type="dxa"/>
            <w:shd w:val="clear" w:color="auto" w:fill="auto"/>
            <w:vAlign w:val="center"/>
          </w:tcPr>
          <w:p w14:paraId="2B2E8F60">
            <w:pPr>
              <w:pStyle w:val="29"/>
              <w:rPr>
                <w:rFonts w:eastAsia="等线"/>
              </w:rPr>
            </w:pPr>
            <w:r>
              <w:rPr>
                <w:rFonts w:eastAsia="等线"/>
              </w:rPr>
              <w:t>0</w:t>
            </w:r>
          </w:p>
        </w:tc>
        <w:tc>
          <w:tcPr>
            <w:tcW w:w="1517" w:type="dxa"/>
            <w:shd w:val="clear" w:color="auto" w:fill="auto"/>
            <w:vAlign w:val="center"/>
          </w:tcPr>
          <w:p w14:paraId="343F2633">
            <w:pPr>
              <w:pStyle w:val="29"/>
              <w:rPr>
                <w:rFonts w:eastAsia="等线"/>
              </w:rPr>
            </w:pPr>
            <w:r>
              <w:rPr>
                <w:rFonts w:hint="eastAsia" w:eastAsia="等线"/>
                <w:color w:val="0000FF"/>
              </w:rPr>
              <w:t>3.4179</w:t>
            </w:r>
            <w:r>
              <w:rPr>
                <w:rFonts w:eastAsia="等线"/>
              </w:rPr>
              <w:t>t/a</w:t>
            </w:r>
          </w:p>
        </w:tc>
        <w:tc>
          <w:tcPr>
            <w:tcW w:w="1518" w:type="dxa"/>
            <w:shd w:val="clear" w:color="auto" w:fill="auto"/>
            <w:vAlign w:val="center"/>
          </w:tcPr>
          <w:p w14:paraId="75A94193">
            <w:pPr>
              <w:pStyle w:val="29"/>
              <w:rPr>
                <w:rFonts w:eastAsia="等线"/>
              </w:rPr>
            </w:pPr>
            <w:r>
              <w:rPr>
                <w:rFonts w:eastAsia="等线"/>
              </w:rPr>
              <w:t>0</w:t>
            </w:r>
          </w:p>
        </w:tc>
        <w:tc>
          <w:tcPr>
            <w:tcW w:w="1517" w:type="dxa"/>
            <w:shd w:val="clear" w:color="auto" w:fill="auto"/>
            <w:vAlign w:val="center"/>
          </w:tcPr>
          <w:p w14:paraId="79459671">
            <w:pPr>
              <w:pStyle w:val="29"/>
              <w:rPr>
                <w:rFonts w:eastAsia="等线"/>
              </w:rPr>
            </w:pPr>
            <w:r>
              <w:rPr>
                <w:rFonts w:eastAsia="等线"/>
                <w:color w:val="0000FF"/>
              </w:rPr>
              <w:t>3.4179</w:t>
            </w:r>
            <w:r>
              <w:rPr>
                <w:rFonts w:eastAsia="等线"/>
              </w:rPr>
              <w:t>t/a</w:t>
            </w:r>
          </w:p>
        </w:tc>
        <w:tc>
          <w:tcPr>
            <w:tcW w:w="1518" w:type="dxa"/>
            <w:shd w:val="clear" w:color="auto" w:fill="auto"/>
            <w:vAlign w:val="center"/>
          </w:tcPr>
          <w:p w14:paraId="7DA95892">
            <w:pPr>
              <w:pStyle w:val="29"/>
              <w:rPr>
                <w:rFonts w:eastAsia="等线"/>
              </w:rPr>
            </w:pPr>
            <w:r>
              <w:rPr>
                <w:rFonts w:eastAsia="等线"/>
              </w:rPr>
              <w:t>+</w:t>
            </w:r>
            <w:r>
              <w:rPr>
                <w:rFonts w:eastAsia="等线"/>
                <w:color w:val="0000FF"/>
              </w:rPr>
              <w:t>3.4179</w:t>
            </w:r>
            <w:r>
              <w:rPr>
                <w:rFonts w:eastAsia="等线"/>
              </w:rPr>
              <w:t>t/a</w:t>
            </w:r>
          </w:p>
        </w:tc>
      </w:tr>
      <w:tr w14:paraId="44BF3482">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40" w:hRule="atLeast"/>
        </w:trPr>
        <w:tc>
          <w:tcPr>
            <w:tcW w:w="1691" w:type="dxa"/>
            <w:vMerge w:val="continue"/>
            <w:vAlign w:val="center"/>
          </w:tcPr>
          <w:p w14:paraId="7A1C0807">
            <w:pPr>
              <w:pStyle w:val="29"/>
            </w:pPr>
          </w:p>
        </w:tc>
        <w:tc>
          <w:tcPr>
            <w:tcW w:w="1787" w:type="dxa"/>
            <w:shd w:val="clear" w:color="auto" w:fill="auto"/>
            <w:vAlign w:val="center"/>
          </w:tcPr>
          <w:p w14:paraId="206CF7AB">
            <w:pPr>
              <w:pStyle w:val="29"/>
            </w:pPr>
            <w:r>
              <w:t>水帘柜废液</w:t>
            </w:r>
          </w:p>
        </w:tc>
        <w:tc>
          <w:tcPr>
            <w:tcW w:w="1517" w:type="dxa"/>
            <w:shd w:val="clear" w:color="auto" w:fill="auto"/>
            <w:vAlign w:val="center"/>
          </w:tcPr>
          <w:p w14:paraId="0F66302B">
            <w:pPr>
              <w:pStyle w:val="29"/>
              <w:rPr>
                <w:rFonts w:eastAsia="等线"/>
              </w:rPr>
            </w:pPr>
            <w:r>
              <w:rPr>
                <w:rFonts w:eastAsia="等线"/>
              </w:rPr>
              <w:t>0</w:t>
            </w:r>
          </w:p>
        </w:tc>
        <w:tc>
          <w:tcPr>
            <w:tcW w:w="1517" w:type="dxa"/>
            <w:shd w:val="clear" w:color="auto" w:fill="auto"/>
            <w:vAlign w:val="center"/>
          </w:tcPr>
          <w:p w14:paraId="5E529B50">
            <w:pPr>
              <w:pStyle w:val="29"/>
              <w:rPr>
                <w:rFonts w:eastAsia="等线"/>
              </w:rPr>
            </w:pPr>
            <w:r>
              <w:rPr>
                <w:rFonts w:eastAsia="等线"/>
              </w:rPr>
              <w:t>0</w:t>
            </w:r>
          </w:p>
        </w:tc>
        <w:tc>
          <w:tcPr>
            <w:tcW w:w="1518" w:type="dxa"/>
            <w:shd w:val="clear" w:color="auto" w:fill="auto"/>
            <w:vAlign w:val="center"/>
          </w:tcPr>
          <w:p w14:paraId="221D4706">
            <w:pPr>
              <w:pStyle w:val="29"/>
              <w:rPr>
                <w:rFonts w:eastAsia="等线"/>
              </w:rPr>
            </w:pPr>
            <w:r>
              <w:rPr>
                <w:rFonts w:eastAsia="等线"/>
              </w:rPr>
              <w:t>0</w:t>
            </w:r>
          </w:p>
        </w:tc>
        <w:tc>
          <w:tcPr>
            <w:tcW w:w="1517" w:type="dxa"/>
            <w:shd w:val="clear" w:color="auto" w:fill="auto"/>
            <w:vAlign w:val="center"/>
          </w:tcPr>
          <w:p w14:paraId="583A676D">
            <w:pPr>
              <w:pStyle w:val="29"/>
              <w:rPr>
                <w:rFonts w:eastAsia="等线"/>
              </w:rPr>
            </w:pPr>
            <w:r>
              <w:rPr>
                <w:rFonts w:eastAsia="等线"/>
              </w:rPr>
              <w:t>32 t/a</w:t>
            </w:r>
          </w:p>
        </w:tc>
        <w:tc>
          <w:tcPr>
            <w:tcW w:w="1518" w:type="dxa"/>
            <w:shd w:val="clear" w:color="auto" w:fill="auto"/>
            <w:vAlign w:val="center"/>
          </w:tcPr>
          <w:p w14:paraId="539EADEB">
            <w:pPr>
              <w:pStyle w:val="29"/>
              <w:rPr>
                <w:rFonts w:eastAsia="等线"/>
              </w:rPr>
            </w:pPr>
            <w:r>
              <w:rPr>
                <w:rFonts w:eastAsia="等线"/>
              </w:rPr>
              <w:t>0</w:t>
            </w:r>
          </w:p>
        </w:tc>
        <w:tc>
          <w:tcPr>
            <w:tcW w:w="1517" w:type="dxa"/>
            <w:shd w:val="clear" w:color="auto" w:fill="auto"/>
            <w:vAlign w:val="center"/>
          </w:tcPr>
          <w:p w14:paraId="0982EABD">
            <w:pPr>
              <w:pStyle w:val="29"/>
              <w:rPr>
                <w:rFonts w:eastAsia="等线"/>
              </w:rPr>
            </w:pPr>
            <w:r>
              <w:rPr>
                <w:rFonts w:eastAsia="等线"/>
              </w:rPr>
              <w:t>32 t/a</w:t>
            </w:r>
          </w:p>
        </w:tc>
        <w:tc>
          <w:tcPr>
            <w:tcW w:w="1518" w:type="dxa"/>
            <w:shd w:val="clear" w:color="auto" w:fill="auto"/>
            <w:vAlign w:val="center"/>
          </w:tcPr>
          <w:p w14:paraId="7E740A61">
            <w:pPr>
              <w:pStyle w:val="29"/>
              <w:rPr>
                <w:rFonts w:eastAsia="等线"/>
              </w:rPr>
            </w:pPr>
            <w:r>
              <w:rPr>
                <w:rFonts w:eastAsia="等线"/>
              </w:rPr>
              <w:t>+32 t/a</w:t>
            </w:r>
          </w:p>
        </w:tc>
      </w:tr>
      <w:tr w14:paraId="34C4CAC6">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40" w:hRule="atLeast"/>
        </w:trPr>
        <w:tc>
          <w:tcPr>
            <w:tcW w:w="1691" w:type="dxa"/>
            <w:vMerge w:val="continue"/>
            <w:vAlign w:val="center"/>
          </w:tcPr>
          <w:p w14:paraId="764E3012">
            <w:pPr>
              <w:pStyle w:val="29"/>
            </w:pPr>
          </w:p>
        </w:tc>
        <w:tc>
          <w:tcPr>
            <w:tcW w:w="1787" w:type="dxa"/>
            <w:shd w:val="clear" w:color="auto" w:fill="auto"/>
            <w:vAlign w:val="center"/>
          </w:tcPr>
          <w:p w14:paraId="3097225E">
            <w:pPr>
              <w:pStyle w:val="29"/>
            </w:pPr>
            <w:r>
              <w:t>喷枪清洗废液</w:t>
            </w:r>
          </w:p>
        </w:tc>
        <w:tc>
          <w:tcPr>
            <w:tcW w:w="1517" w:type="dxa"/>
            <w:shd w:val="clear" w:color="auto" w:fill="auto"/>
            <w:vAlign w:val="center"/>
          </w:tcPr>
          <w:p w14:paraId="310E457E">
            <w:pPr>
              <w:pStyle w:val="29"/>
              <w:rPr>
                <w:rFonts w:eastAsia="等线"/>
              </w:rPr>
            </w:pPr>
            <w:r>
              <w:rPr>
                <w:rFonts w:eastAsia="等线"/>
              </w:rPr>
              <w:t>0</w:t>
            </w:r>
          </w:p>
        </w:tc>
        <w:tc>
          <w:tcPr>
            <w:tcW w:w="1517" w:type="dxa"/>
            <w:shd w:val="clear" w:color="auto" w:fill="auto"/>
            <w:vAlign w:val="center"/>
          </w:tcPr>
          <w:p w14:paraId="0B8CC858">
            <w:pPr>
              <w:pStyle w:val="29"/>
              <w:rPr>
                <w:rFonts w:eastAsia="等线"/>
              </w:rPr>
            </w:pPr>
            <w:r>
              <w:rPr>
                <w:rFonts w:eastAsia="等线"/>
              </w:rPr>
              <w:t>0</w:t>
            </w:r>
          </w:p>
        </w:tc>
        <w:tc>
          <w:tcPr>
            <w:tcW w:w="1518" w:type="dxa"/>
            <w:shd w:val="clear" w:color="auto" w:fill="auto"/>
            <w:vAlign w:val="center"/>
          </w:tcPr>
          <w:p w14:paraId="32EE9C14">
            <w:pPr>
              <w:pStyle w:val="29"/>
              <w:rPr>
                <w:rFonts w:eastAsia="等线"/>
              </w:rPr>
            </w:pPr>
            <w:r>
              <w:rPr>
                <w:rFonts w:eastAsia="等线"/>
              </w:rPr>
              <w:t>0</w:t>
            </w:r>
          </w:p>
        </w:tc>
        <w:tc>
          <w:tcPr>
            <w:tcW w:w="1517" w:type="dxa"/>
            <w:shd w:val="clear" w:color="auto" w:fill="auto"/>
            <w:vAlign w:val="center"/>
          </w:tcPr>
          <w:p w14:paraId="06E68961">
            <w:pPr>
              <w:pStyle w:val="29"/>
              <w:rPr>
                <w:rFonts w:eastAsia="等线"/>
              </w:rPr>
            </w:pPr>
            <w:r>
              <w:rPr>
                <w:rFonts w:hint="eastAsia"/>
                <w:bCs/>
                <w:color w:val="EE0000"/>
              </w:rPr>
              <w:t>0.6</w:t>
            </w:r>
            <w:r>
              <w:rPr>
                <w:rFonts w:eastAsia="等线"/>
              </w:rPr>
              <w:t xml:space="preserve"> t/a</w:t>
            </w:r>
          </w:p>
        </w:tc>
        <w:tc>
          <w:tcPr>
            <w:tcW w:w="1518" w:type="dxa"/>
            <w:shd w:val="clear" w:color="auto" w:fill="auto"/>
            <w:vAlign w:val="center"/>
          </w:tcPr>
          <w:p w14:paraId="5531071C">
            <w:pPr>
              <w:pStyle w:val="29"/>
              <w:rPr>
                <w:rFonts w:eastAsia="等线"/>
              </w:rPr>
            </w:pPr>
            <w:r>
              <w:rPr>
                <w:rFonts w:eastAsia="等线"/>
              </w:rPr>
              <w:t>0</w:t>
            </w:r>
          </w:p>
        </w:tc>
        <w:tc>
          <w:tcPr>
            <w:tcW w:w="1517" w:type="dxa"/>
            <w:shd w:val="clear" w:color="auto" w:fill="auto"/>
            <w:vAlign w:val="center"/>
          </w:tcPr>
          <w:p w14:paraId="54EA91D7">
            <w:pPr>
              <w:pStyle w:val="29"/>
              <w:rPr>
                <w:rFonts w:eastAsia="等线"/>
              </w:rPr>
            </w:pPr>
            <w:r>
              <w:rPr>
                <w:rFonts w:eastAsia="等线"/>
                <w:color w:val="EE0000"/>
              </w:rPr>
              <w:t>0.6</w:t>
            </w:r>
            <w:r>
              <w:rPr>
                <w:rFonts w:eastAsia="等线"/>
              </w:rPr>
              <w:t xml:space="preserve"> t/a</w:t>
            </w:r>
          </w:p>
        </w:tc>
        <w:tc>
          <w:tcPr>
            <w:tcW w:w="1518" w:type="dxa"/>
            <w:shd w:val="clear" w:color="auto" w:fill="auto"/>
            <w:vAlign w:val="center"/>
          </w:tcPr>
          <w:p w14:paraId="45E9C8AF">
            <w:pPr>
              <w:pStyle w:val="29"/>
              <w:rPr>
                <w:rFonts w:eastAsia="等线"/>
              </w:rPr>
            </w:pPr>
            <w:r>
              <w:rPr>
                <w:rFonts w:eastAsia="等线"/>
              </w:rPr>
              <w:t>+</w:t>
            </w:r>
            <w:r>
              <w:rPr>
                <w:rFonts w:eastAsia="等线"/>
                <w:color w:val="EE0000"/>
              </w:rPr>
              <w:t>0.6</w:t>
            </w:r>
            <w:r>
              <w:rPr>
                <w:rFonts w:eastAsia="等线"/>
              </w:rPr>
              <w:t xml:space="preserve"> t/a</w:t>
            </w:r>
          </w:p>
        </w:tc>
      </w:tr>
      <w:tr w14:paraId="4667676B">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40" w:hRule="atLeast"/>
        </w:trPr>
        <w:tc>
          <w:tcPr>
            <w:tcW w:w="1691" w:type="dxa"/>
            <w:vMerge w:val="continue"/>
            <w:vAlign w:val="center"/>
          </w:tcPr>
          <w:p w14:paraId="7CA3E8AA">
            <w:pPr>
              <w:pStyle w:val="29"/>
            </w:pPr>
          </w:p>
        </w:tc>
        <w:tc>
          <w:tcPr>
            <w:tcW w:w="1787" w:type="dxa"/>
            <w:shd w:val="clear" w:color="auto" w:fill="auto"/>
            <w:vAlign w:val="center"/>
          </w:tcPr>
          <w:p w14:paraId="3721C0B0">
            <w:pPr>
              <w:pStyle w:val="29"/>
            </w:pPr>
            <w:r>
              <w:t>喷淋塔废液</w:t>
            </w:r>
          </w:p>
        </w:tc>
        <w:tc>
          <w:tcPr>
            <w:tcW w:w="1517" w:type="dxa"/>
            <w:shd w:val="clear" w:color="auto" w:fill="auto"/>
            <w:vAlign w:val="center"/>
          </w:tcPr>
          <w:p w14:paraId="24E9EE64">
            <w:pPr>
              <w:pStyle w:val="29"/>
              <w:rPr>
                <w:rFonts w:eastAsia="等线"/>
              </w:rPr>
            </w:pPr>
            <w:r>
              <w:rPr>
                <w:rFonts w:eastAsia="等线"/>
              </w:rPr>
              <w:t>0</w:t>
            </w:r>
          </w:p>
        </w:tc>
        <w:tc>
          <w:tcPr>
            <w:tcW w:w="1517" w:type="dxa"/>
            <w:shd w:val="clear" w:color="auto" w:fill="auto"/>
            <w:vAlign w:val="center"/>
          </w:tcPr>
          <w:p w14:paraId="3D6B2C9F">
            <w:pPr>
              <w:pStyle w:val="29"/>
              <w:rPr>
                <w:rFonts w:eastAsia="等线"/>
              </w:rPr>
            </w:pPr>
            <w:r>
              <w:rPr>
                <w:rFonts w:eastAsia="等线"/>
              </w:rPr>
              <w:t>0</w:t>
            </w:r>
          </w:p>
        </w:tc>
        <w:tc>
          <w:tcPr>
            <w:tcW w:w="1518" w:type="dxa"/>
            <w:shd w:val="clear" w:color="auto" w:fill="auto"/>
            <w:vAlign w:val="center"/>
          </w:tcPr>
          <w:p w14:paraId="539BB5BD">
            <w:pPr>
              <w:pStyle w:val="29"/>
              <w:rPr>
                <w:rFonts w:eastAsia="等线"/>
              </w:rPr>
            </w:pPr>
            <w:r>
              <w:rPr>
                <w:rFonts w:eastAsia="等线"/>
              </w:rPr>
              <w:t>0</w:t>
            </w:r>
          </w:p>
        </w:tc>
        <w:tc>
          <w:tcPr>
            <w:tcW w:w="1517" w:type="dxa"/>
            <w:shd w:val="clear" w:color="auto" w:fill="auto"/>
            <w:vAlign w:val="center"/>
          </w:tcPr>
          <w:p w14:paraId="1797F5AB">
            <w:pPr>
              <w:pStyle w:val="29"/>
              <w:rPr>
                <w:rFonts w:eastAsia="等线"/>
              </w:rPr>
            </w:pPr>
            <w:r>
              <w:rPr>
                <w:rFonts w:eastAsia="等线"/>
                <w:color w:val="EE0000"/>
              </w:rPr>
              <w:t>4.5</w:t>
            </w:r>
            <w:r>
              <w:rPr>
                <w:rFonts w:eastAsia="等线"/>
              </w:rPr>
              <w:t xml:space="preserve"> t/a</w:t>
            </w:r>
          </w:p>
        </w:tc>
        <w:tc>
          <w:tcPr>
            <w:tcW w:w="1518" w:type="dxa"/>
            <w:shd w:val="clear" w:color="auto" w:fill="auto"/>
            <w:vAlign w:val="center"/>
          </w:tcPr>
          <w:p w14:paraId="3BB86B13">
            <w:pPr>
              <w:pStyle w:val="29"/>
              <w:rPr>
                <w:rFonts w:eastAsia="等线"/>
              </w:rPr>
            </w:pPr>
            <w:r>
              <w:rPr>
                <w:rFonts w:eastAsia="等线"/>
              </w:rPr>
              <w:t>0</w:t>
            </w:r>
          </w:p>
        </w:tc>
        <w:tc>
          <w:tcPr>
            <w:tcW w:w="1517" w:type="dxa"/>
            <w:shd w:val="clear" w:color="auto" w:fill="auto"/>
            <w:vAlign w:val="center"/>
          </w:tcPr>
          <w:p w14:paraId="2CF09C75">
            <w:pPr>
              <w:pStyle w:val="29"/>
              <w:rPr>
                <w:rFonts w:eastAsia="等线"/>
              </w:rPr>
            </w:pPr>
            <w:r>
              <w:rPr>
                <w:rFonts w:eastAsia="等线"/>
                <w:color w:val="EE0000"/>
              </w:rPr>
              <w:t>4.5</w:t>
            </w:r>
            <w:r>
              <w:rPr>
                <w:rFonts w:eastAsia="等线"/>
              </w:rPr>
              <w:t xml:space="preserve"> t/a</w:t>
            </w:r>
          </w:p>
        </w:tc>
        <w:tc>
          <w:tcPr>
            <w:tcW w:w="1518" w:type="dxa"/>
            <w:shd w:val="clear" w:color="auto" w:fill="auto"/>
            <w:vAlign w:val="center"/>
          </w:tcPr>
          <w:p w14:paraId="25AF0534">
            <w:pPr>
              <w:pStyle w:val="29"/>
              <w:rPr>
                <w:rFonts w:eastAsia="等线"/>
              </w:rPr>
            </w:pPr>
            <w:r>
              <w:rPr>
                <w:rFonts w:eastAsia="等线"/>
              </w:rPr>
              <w:t>+</w:t>
            </w:r>
            <w:r>
              <w:rPr>
                <w:rFonts w:eastAsia="等线"/>
                <w:color w:val="EE0000"/>
              </w:rPr>
              <w:t>4.5</w:t>
            </w:r>
            <w:r>
              <w:rPr>
                <w:rFonts w:eastAsia="等线"/>
              </w:rPr>
              <w:t xml:space="preserve"> t/a</w:t>
            </w:r>
          </w:p>
        </w:tc>
      </w:tr>
      <w:tr w14:paraId="60502092">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40" w:hRule="atLeast"/>
        </w:trPr>
        <w:tc>
          <w:tcPr>
            <w:tcW w:w="1691" w:type="dxa"/>
            <w:vMerge w:val="continue"/>
            <w:vAlign w:val="center"/>
          </w:tcPr>
          <w:p w14:paraId="7C7327DD">
            <w:pPr>
              <w:pStyle w:val="29"/>
            </w:pPr>
          </w:p>
        </w:tc>
        <w:tc>
          <w:tcPr>
            <w:tcW w:w="1787" w:type="dxa"/>
            <w:shd w:val="clear" w:color="auto" w:fill="auto"/>
            <w:vAlign w:val="center"/>
          </w:tcPr>
          <w:p w14:paraId="68CD571F">
            <w:pPr>
              <w:pStyle w:val="29"/>
            </w:pPr>
            <w:r>
              <w:t>漆渣</w:t>
            </w:r>
          </w:p>
        </w:tc>
        <w:tc>
          <w:tcPr>
            <w:tcW w:w="1517" w:type="dxa"/>
            <w:shd w:val="clear" w:color="auto" w:fill="auto"/>
            <w:vAlign w:val="center"/>
          </w:tcPr>
          <w:p w14:paraId="28943A9F">
            <w:pPr>
              <w:pStyle w:val="29"/>
              <w:rPr>
                <w:rFonts w:eastAsia="等线"/>
              </w:rPr>
            </w:pPr>
            <w:r>
              <w:rPr>
                <w:rFonts w:eastAsia="等线"/>
              </w:rPr>
              <w:t>0</w:t>
            </w:r>
          </w:p>
        </w:tc>
        <w:tc>
          <w:tcPr>
            <w:tcW w:w="1517" w:type="dxa"/>
            <w:shd w:val="clear" w:color="auto" w:fill="auto"/>
            <w:vAlign w:val="center"/>
          </w:tcPr>
          <w:p w14:paraId="5999B0FD">
            <w:pPr>
              <w:pStyle w:val="29"/>
              <w:rPr>
                <w:rFonts w:eastAsia="等线"/>
              </w:rPr>
            </w:pPr>
            <w:r>
              <w:rPr>
                <w:rFonts w:eastAsia="等线"/>
              </w:rPr>
              <w:t>0</w:t>
            </w:r>
          </w:p>
        </w:tc>
        <w:tc>
          <w:tcPr>
            <w:tcW w:w="1518" w:type="dxa"/>
            <w:shd w:val="clear" w:color="auto" w:fill="auto"/>
            <w:vAlign w:val="center"/>
          </w:tcPr>
          <w:p w14:paraId="7827C1D5">
            <w:pPr>
              <w:pStyle w:val="29"/>
              <w:rPr>
                <w:rFonts w:eastAsia="等线"/>
              </w:rPr>
            </w:pPr>
            <w:r>
              <w:rPr>
                <w:rFonts w:eastAsia="等线"/>
              </w:rPr>
              <w:t>0</w:t>
            </w:r>
          </w:p>
        </w:tc>
        <w:tc>
          <w:tcPr>
            <w:tcW w:w="1517" w:type="dxa"/>
            <w:shd w:val="clear" w:color="auto" w:fill="auto"/>
            <w:vAlign w:val="center"/>
          </w:tcPr>
          <w:p w14:paraId="2844061C">
            <w:pPr>
              <w:pStyle w:val="29"/>
              <w:rPr>
                <w:rFonts w:eastAsia="等线"/>
              </w:rPr>
            </w:pPr>
            <w:r>
              <w:rPr>
                <w:rFonts w:eastAsia="等线"/>
              </w:rPr>
              <w:t>0.84 t/a</w:t>
            </w:r>
          </w:p>
        </w:tc>
        <w:tc>
          <w:tcPr>
            <w:tcW w:w="1518" w:type="dxa"/>
            <w:shd w:val="clear" w:color="auto" w:fill="auto"/>
            <w:vAlign w:val="center"/>
          </w:tcPr>
          <w:p w14:paraId="54AB3238">
            <w:pPr>
              <w:pStyle w:val="29"/>
              <w:rPr>
                <w:rFonts w:eastAsia="等线"/>
              </w:rPr>
            </w:pPr>
            <w:r>
              <w:rPr>
                <w:rFonts w:eastAsia="等线"/>
              </w:rPr>
              <w:t>0</w:t>
            </w:r>
          </w:p>
        </w:tc>
        <w:tc>
          <w:tcPr>
            <w:tcW w:w="1517" w:type="dxa"/>
            <w:shd w:val="clear" w:color="auto" w:fill="auto"/>
            <w:vAlign w:val="center"/>
          </w:tcPr>
          <w:p w14:paraId="46B26436">
            <w:pPr>
              <w:pStyle w:val="29"/>
              <w:rPr>
                <w:rFonts w:eastAsia="等线"/>
              </w:rPr>
            </w:pPr>
            <w:r>
              <w:rPr>
                <w:rFonts w:eastAsia="等线"/>
              </w:rPr>
              <w:t>0.84 t/a</w:t>
            </w:r>
          </w:p>
        </w:tc>
        <w:tc>
          <w:tcPr>
            <w:tcW w:w="1518" w:type="dxa"/>
            <w:shd w:val="clear" w:color="auto" w:fill="auto"/>
            <w:vAlign w:val="center"/>
          </w:tcPr>
          <w:p w14:paraId="44BB4B9A">
            <w:pPr>
              <w:pStyle w:val="29"/>
              <w:rPr>
                <w:rFonts w:eastAsia="等线"/>
              </w:rPr>
            </w:pPr>
            <w:r>
              <w:rPr>
                <w:rFonts w:eastAsia="等线"/>
              </w:rPr>
              <w:t>+0.84 t/a</w:t>
            </w:r>
          </w:p>
        </w:tc>
      </w:tr>
      <w:tr w14:paraId="0B2DCA6B">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40" w:hRule="atLeast"/>
        </w:trPr>
        <w:tc>
          <w:tcPr>
            <w:tcW w:w="1691" w:type="dxa"/>
            <w:vMerge w:val="continue"/>
            <w:vAlign w:val="center"/>
          </w:tcPr>
          <w:p w14:paraId="07F7514F">
            <w:pPr>
              <w:pStyle w:val="29"/>
            </w:pPr>
          </w:p>
        </w:tc>
        <w:tc>
          <w:tcPr>
            <w:tcW w:w="1787" w:type="dxa"/>
            <w:shd w:val="clear" w:color="auto" w:fill="auto"/>
            <w:vAlign w:val="center"/>
          </w:tcPr>
          <w:p w14:paraId="35F70A95">
            <w:pPr>
              <w:pStyle w:val="29"/>
            </w:pPr>
            <w:r>
              <w:t>废过滤棉</w:t>
            </w:r>
          </w:p>
        </w:tc>
        <w:tc>
          <w:tcPr>
            <w:tcW w:w="1517" w:type="dxa"/>
            <w:shd w:val="clear" w:color="auto" w:fill="auto"/>
            <w:vAlign w:val="center"/>
          </w:tcPr>
          <w:p w14:paraId="615DC986">
            <w:pPr>
              <w:pStyle w:val="29"/>
              <w:rPr>
                <w:rFonts w:eastAsia="等线"/>
              </w:rPr>
            </w:pPr>
            <w:r>
              <w:rPr>
                <w:rFonts w:eastAsia="等线"/>
              </w:rPr>
              <w:t>0</w:t>
            </w:r>
          </w:p>
        </w:tc>
        <w:tc>
          <w:tcPr>
            <w:tcW w:w="1517" w:type="dxa"/>
            <w:shd w:val="clear" w:color="auto" w:fill="auto"/>
            <w:vAlign w:val="center"/>
          </w:tcPr>
          <w:p w14:paraId="6608F9E3">
            <w:pPr>
              <w:pStyle w:val="29"/>
              <w:rPr>
                <w:rFonts w:eastAsia="等线"/>
              </w:rPr>
            </w:pPr>
            <w:r>
              <w:rPr>
                <w:rFonts w:eastAsia="等线"/>
              </w:rPr>
              <w:t>0</w:t>
            </w:r>
          </w:p>
        </w:tc>
        <w:tc>
          <w:tcPr>
            <w:tcW w:w="1518" w:type="dxa"/>
            <w:shd w:val="clear" w:color="auto" w:fill="auto"/>
            <w:vAlign w:val="center"/>
          </w:tcPr>
          <w:p w14:paraId="01675C00">
            <w:pPr>
              <w:pStyle w:val="29"/>
              <w:rPr>
                <w:rFonts w:eastAsia="等线"/>
              </w:rPr>
            </w:pPr>
            <w:r>
              <w:rPr>
                <w:rFonts w:eastAsia="等线"/>
              </w:rPr>
              <w:t>0</w:t>
            </w:r>
          </w:p>
        </w:tc>
        <w:tc>
          <w:tcPr>
            <w:tcW w:w="1517" w:type="dxa"/>
            <w:shd w:val="clear" w:color="auto" w:fill="auto"/>
            <w:vAlign w:val="center"/>
          </w:tcPr>
          <w:p w14:paraId="75411A01">
            <w:pPr>
              <w:pStyle w:val="29"/>
              <w:rPr>
                <w:rFonts w:eastAsia="等线"/>
              </w:rPr>
            </w:pPr>
            <w:r>
              <w:rPr>
                <w:rFonts w:eastAsia="等线"/>
              </w:rPr>
              <w:t>0.01 t/a</w:t>
            </w:r>
          </w:p>
        </w:tc>
        <w:tc>
          <w:tcPr>
            <w:tcW w:w="1518" w:type="dxa"/>
            <w:shd w:val="clear" w:color="auto" w:fill="auto"/>
            <w:vAlign w:val="center"/>
          </w:tcPr>
          <w:p w14:paraId="5D8F866F">
            <w:pPr>
              <w:pStyle w:val="29"/>
              <w:rPr>
                <w:rFonts w:eastAsia="等线"/>
              </w:rPr>
            </w:pPr>
            <w:r>
              <w:rPr>
                <w:rFonts w:eastAsia="等线"/>
              </w:rPr>
              <w:t>0</w:t>
            </w:r>
          </w:p>
        </w:tc>
        <w:tc>
          <w:tcPr>
            <w:tcW w:w="1517" w:type="dxa"/>
            <w:shd w:val="clear" w:color="auto" w:fill="auto"/>
            <w:vAlign w:val="center"/>
          </w:tcPr>
          <w:p w14:paraId="66252F42">
            <w:pPr>
              <w:pStyle w:val="29"/>
              <w:rPr>
                <w:rFonts w:eastAsia="等线"/>
              </w:rPr>
            </w:pPr>
            <w:r>
              <w:rPr>
                <w:rFonts w:eastAsia="等线"/>
              </w:rPr>
              <w:t>0.01 t/a</w:t>
            </w:r>
          </w:p>
        </w:tc>
        <w:tc>
          <w:tcPr>
            <w:tcW w:w="1518" w:type="dxa"/>
            <w:shd w:val="clear" w:color="auto" w:fill="auto"/>
            <w:vAlign w:val="center"/>
          </w:tcPr>
          <w:p w14:paraId="3B92D623">
            <w:pPr>
              <w:pStyle w:val="29"/>
              <w:rPr>
                <w:rFonts w:eastAsia="等线"/>
              </w:rPr>
            </w:pPr>
            <w:r>
              <w:rPr>
                <w:rFonts w:eastAsia="等线"/>
              </w:rPr>
              <w:t>+0.01 t/a</w:t>
            </w:r>
          </w:p>
        </w:tc>
      </w:tr>
      <w:tr w14:paraId="708FD170">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40" w:hRule="atLeast"/>
        </w:trPr>
        <w:tc>
          <w:tcPr>
            <w:tcW w:w="1691" w:type="dxa"/>
            <w:vMerge w:val="continue"/>
            <w:vAlign w:val="center"/>
          </w:tcPr>
          <w:p w14:paraId="2DA5E124">
            <w:pPr>
              <w:pStyle w:val="29"/>
            </w:pPr>
          </w:p>
        </w:tc>
        <w:tc>
          <w:tcPr>
            <w:tcW w:w="1787" w:type="dxa"/>
            <w:shd w:val="clear" w:color="auto" w:fill="auto"/>
            <w:vAlign w:val="center"/>
          </w:tcPr>
          <w:p w14:paraId="4FBAFB2B">
            <w:pPr>
              <w:pStyle w:val="29"/>
            </w:pPr>
            <w:r>
              <w:rPr>
                <w:rFonts w:hint="eastAsia" w:ascii="Cambria Math" w:hAnsi="Cambria Math" w:cs="Cambria Math"/>
                <w:bCs/>
                <w:color w:val="EE0000"/>
              </w:rPr>
              <w:t>废清洗剂</w:t>
            </w:r>
          </w:p>
        </w:tc>
        <w:tc>
          <w:tcPr>
            <w:tcW w:w="1517" w:type="dxa"/>
            <w:shd w:val="clear" w:color="auto" w:fill="auto"/>
            <w:vAlign w:val="center"/>
          </w:tcPr>
          <w:p w14:paraId="53427956">
            <w:pPr>
              <w:pStyle w:val="29"/>
              <w:rPr>
                <w:rFonts w:eastAsia="等线"/>
              </w:rPr>
            </w:pPr>
            <w:r>
              <w:rPr>
                <w:rFonts w:eastAsia="等线"/>
              </w:rPr>
              <w:t>0</w:t>
            </w:r>
          </w:p>
        </w:tc>
        <w:tc>
          <w:tcPr>
            <w:tcW w:w="1517" w:type="dxa"/>
            <w:shd w:val="clear" w:color="auto" w:fill="auto"/>
            <w:vAlign w:val="center"/>
          </w:tcPr>
          <w:p w14:paraId="3835B47B">
            <w:pPr>
              <w:pStyle w:val="29"/>
              <w:rPr>
                <w:rFonts w:eastAsia="等线"/>
              </w:rPr>
            </w:pPr>
            <w:r>
              <w:rPr>
                <w:rFonts w:eastAsia="等线"/>
              </w:rPr>
              <w:t>0</w:t>
            </w:r>
          </w:p>
        </w:tc>
        <w:tc>
          <w:tcPr>
            <w:tcW w:w="1518" w:type="dxa"/>
            <w:shd w:val="clear" w:color="auto" w:fill="auto"/>
            <w:vAlign w:val="center"/>
          </w:tcPr>
          <w:p w14:paraId="7F599D29">
            <w:pPr>
              <w:pStyle w:val="29"/>
              <w:rPr>
                <w:rFonts w:eastAsia="等线"/>
              </w:rPr>
            </w:pPr>
            <w:r>
              <w:rPr>
                <w:rFonts w:eastAsia="等线"/>
              </w:rPr>
              <w:t>0</w:t>
            </w:r>
          </w:p>
        </w:tc>
        <w:tc>
          <w:tcPr>
            <w:tcW w:w="1517" w:type="dxa"/>
            <w:shd w:val="clear" w:color="auto" w:fill="auto"/>
            <w:vAlign w:val="center"/>
          </w:tcPr>
          <w:p w14:paraId="2BEF1CDD">
            <w:pPr>
              <w:pStyle w:val="29"/>
              <w:rPr>
                <w:rFonts w:eastAsia="等线"/>
                <w:color w:val="EE0000"/>
              </w:rPr>
            </w:pPr>
            <w:r>
              <w:rPr>
                <w:rFonts w:eastAsia="等线"/>
                <w:color w:val="EE0000"/>
              </w:rPr>
              <w:t>0.01 t/a</w:t>
            </w:r>
          </w:p>
        </w:tc>
        <w:tc>
          <w:tcPr>
            <w:tcW w:w="1518" w:type="dxa"/>
            <w:shd w:val="clear" w:color="auto" w:fill="auto"/>
            <w:vAlign w:val="center"/>
          </w:tcPr>
          <w:p w14:paraId="0F332494">
            <w:pPr>
              <w:pStyle w:val="29"/>
              <w:rPr>
                <w:rFonts w:eastAsia="等线"/>
                <w:color w:val="EE0000"/>
              </w:rPr>
            </w:pPr>
            <w:r>
              <w:rPr>
                <w:rFonts w:eastAsia="等线"/>
                <w:color w:val="EE0000"/>
              </w:rPr>
              <w:t>0</w:t>
            </w:r>
          </w:p>
        </w:tc>
        <w:tc>
          <w:tcPr>
            <w:tcW w:w="1517" w:type="dxa"/>
            <w:shd w:val="clear" w:color="auto" w:fill="auto"/>
            <w:vAlign w:val="center"/>
          </w:tcPr>
          <w:p w14:paraId="380EF086">
            <w:pPr>
              <w:pStyle w:val="29"/>
              <w:rPr>
                <w:rFonts w:eastAsia="等线"/>
                <w:color w:val="EE0000"/>
              </w:rPr>
            </w:pPr>
            <w:r>
              <w:rPr>
                <w:rFonts w:eastAsia="等线"/>
                <w:color w:val="EE0000"/>
              </w:rPr>
              <w:t>0.01 t/a</w:t>
            </w:r>
          </w:p>
        </w:tc>
        <w:tc>
          <w:tcPr>
            <w:tcW w:w="1518" w:type="dxa"/>
            <w:shd w:val="clear" w:color="auto" w:fill="auto"/>
            <w:vAlign w:val="center"/>
          </w:tcPr>
          <w:p w14:paraId="302E0558">
            <w:pPr>
              <w:pStyle w:val="29"/>
              <w:rPr>
                <w:rFonts w:eastAsia="等线"/>
                <w:color w:val="EE0000"/>
              </w:rPr>
            </w:pPr>
            <w:r>
              <w:rPr>
                <w:rFonts w:eastAsia="等线"/>
                <w:color w:val="EE0000"/>
              </w:rPr>
              <w:t>+0.01 t/a</w:t>
            </w:r>
          </w:p>
        </w:tc>
      </w:tr>
    </w:tbl>
    <w:p w14:paraId="0B41BABA">
      <w:pPr>
        <w:spacing w:before="192" w:beforeLines="80" w:after="24" w:afterLines="10" w:line="259" w:lineRule="auto"/>
        <w:ind w:firstLine="420"/>
        <w:rPr>
          <w:rFonts w:asciiTheme="majorBidi" w:hAnsiTheme="majorBidi" w:eastAsiaTheme="minorEastAsia" w:cstheme="majorBidi"/>
          <w:snapToGrid w:val="0"/>
          <w:color w:val="000000" w:themeColor="text1"/>
          <w:spacing w:val="-6"/>
          <w:kern w:val="21"/>
          <w:sz w:val="21"/>
          <w:szCs w:val="21"/>
          <w14:textFill>
            <w14:solidFill>
              <w14:schemeClr w14:val="tx1"/>
            </w14:solidFill>
          </w14:textFill>
        </w:rPr>
      </w:pPr>
      <w:r>
        <w:rPr>
          <w:rFonts w:asciiTheme="majorBidi" w:hAnsiTheme="majorBidi" w:eastAsiaTheme="minorEastAsia" w:cstheme="majorBidi"/>
          <w:snapToGrid w:val="0"/>
          <w:color w:val="000000" w:themeColor="text1"/>
          <w:kern w:val="21"/>
          <w:sz w:val="21"/>
          <w:szCs w:val="21"/>
          <w14:textFill>
            <w14:solidFill>
              <w14:schemeClr w14:val="tx1"/>
            </w14:solidFill>
          </w14:textFill>
        </w:rPr>
        <w:t>注：</w:t>
      </w:r>
      <w:r>
        <w:rPr>
          <w:rFonts w:asciiTheme="majorBidi" w:hAnsiTheme="majorBidi" w:eastAsiaTheme="minorEastAsia" w:cstheme="majorBidi"/>
          <w:snapToGrid w:val="0"/>
          <w:color w:val="000000" w:themeColor="text1"/>
          <w:spacing w:val="-16"/>
          <w:kern w:val="21"/>
          <w:sz w:val="21"/>
          <w:szCs w:val="21"/>
          <w14:textFill>
            <w14:solidFill>
              <w14:schemeClr w14:val="tx1"/>
            </w14:solidFill>
          </w14:textFill>
        </w:rPr>
        <w:fldChar w:fldCharType="begin"/>
      </w:r>
      <w:r>
        <w:rPr>
          <w:rFonts w:asciiTheme="majorBidi" w:hAnsiTheme="majorBidi" w:eastAsiaTheme="minorEastAsia" w:cstheme="majorBidi"/>
          <w:snapToGrid w:val="0"/>
          <w:color w:val="000000" w:themeColor="text1"/>
          <w:spacing w:val="-16"/>
          <w:kern w:val="21"/>
          <w:sz w:val="21"/>
          <w:szCs w:val="21"/>
          <w14:textFill>
            <w14:solidFill>
              <w14:schemeClr w14:val="tx1"/>
            </w14:solidFill>
          </w14:textFill>
        </w:rPr>
        <w:instrText xml:space="preserve"> = 6 \* GB3 \* MERGEFORMAT </w:instrText>
      </w:r>
      <w:r>
        <w:rPr>
          <w:rFonts w:asciiTheme="majorBidi" w:hAnsiTheme="majorBidi" w:eastAsiaTheme="minorEastAsia" w:cstheme="majorBidi"/>
          <w:snapToGrid w:val="0"/>
          <w:color w:val="000000" w:themeColor="text1"/>
          <w:spacing w:val="-16"/>
          <w:kern w:val="21"/>
          <w:sz w:val="21"/>
          <w:szCs w:val="21"/>
          <w14:textFill>
            <w14:solidFill>
              <w14:schemeClr w14:val="tx1"/>
            </w14:solidFill>
          </w14:textFill>
        </w:rPr>
        <w:fldChar w:fldCharType="separate"/>
      </w:r>
      <w:r>
        <w:rPr>
          <w:rFonts w:ascii="Cambria Math" w:hAnsi="Cambria Math" w:cs="Cambria Math" w:eastAsiaTheme="minorEastAsia"/>
          <w:color w:val="000000" w:themeColor="text1"/>
          <w:sz w:val="21"/>
          <w:szCs w:val="21"/>
          <w14:textFill>
            <w14:solidFill>
              <w14:schemeClr w14:val="tx1"/>
            </w14:solidFill>
          </w14:textFill>
        </w:rPr>
        <w:t>⑥</w:t>
      </w:r>
      <w:r>
        <w:rPr>
          <w:rFonts w:asciiTheme="majorBidi" w:hAnsiTheme="majorBidi" w:eastAsiaTheme="minorEastAsia" w:cstheme="majorBidi"/>
          <w:snapToGrid w:val="0"/>
          <w:color w:val="000000" w:themeColor="text1"/>
          <w:spacing w:val="-16"/>
          <w:kern w:val="21"/>
          <w:sz w:val="21"/>
          <w:szCs w:val="21"/>
          <w14:textFill>
            <w14:solidFill>
              <w14:schemeClr w14:val="tx1"/>
            </w14:solidFill>
          </w14:textFill>
        </w:rPr>
        <w:fldChar w:fldCharType="end"/>
      </w:r>
      <w:r>
        <w:rPr>
          <w:rFonts w:asciiTheme="majorBidi" w:hAnsiTheme="majorBidi" w:eastAsiaTheme="minorEastAsia" w:cstheme="majorBidi"/>
          <w:snapToGrid w:val="0"/>
          <w:color w:val="000000" w:themeColor="text1"/>
          <w:spacing w:val="-16"/>
          <w:kern w:val="21"/>
          <w:sz w:val="21"/>
          <w:szCs w:val="21"/>
          <w14:textFill>
            <w14:solidFill>
              <w14:schemeClr w14:val="tx1"/>
            </w14:solidFill>
          </w14:textFill>
        </w:rPr>
        <w:t>=</w:t>
      </w:r>
      <w:r>
        <w:rPr>
          <w:rFonts w:asciiTheme="majorBidi" w:hAnsiTheme="majorBidi" w:eastAsiaTheme="minorEastAsia" w:cstheme="majorBidi"/>
          <w:snapToGrid w:val="0"/>
          <w:color w:val="000000" w:themeColor="text1"/>
          <w:spacing w:val="-6"/>
          <w:kern w:val="21"/>
          <w:sz w:val="21"/>
          <w:szCs w:val="21"/>
          <w14:textFill>
            <w14:solidFill>
              <w14:schemeClr w14:val="tx1"/>
            </w14:solidFill>
          </w14:textFill>
        </w:rPr>
        <w:fldChar w:fldCharType="begin"/>
      </w:r>
      <w:r>
        <w:rPr>
          <w:rFonts w:asciiTheme="majorBidi" w:hAnsiTheme="majorBidi" w:eastAsiaTheme="minorEastAsia" w:cstheme="majorBidi"/>
          <w:snapToGrid w:val="0"/>
          <w:color w:val="000000" w:themeColor="text1"/>
          <w:spacing w:val="-6"/>
          <w:kern w:val="21"/>
          <w:sz w:val="21"/>
          <w:szCs w:val="21"/>
          <w14:textFill>
            <w14:solidFill>
              <w14:schemeClr w14:val="tx1"/>
            </w14:solidFill>
          </w14:textFill>
        </w:rPr>
        <w:instrText xml:space="preserve"> = 1 \* GB3 \* MERGEFORMAT </w:instrText>
      </w:r>
      <w:r>
        <w:rPr>
          <w:rFonts w:asciiTheme="majorBidi" w:hAnsiTheme="majorBidi" w:eastAsiaTheme="minorEastAsia" w:cstheme="majorBidi"/>
          <w:snapToGrid w:val="0"/>
          <w:color w:val="000000" w:themeColor="text1"/>
          <w:spacing w:val="-6"/>
          <w:kern w:val="21"/>
          <w:sz w:val="21"/>
          <w:szCs w:val="21"/>
          <w14:textFill>
            <w14:solidFill>
              <w14:schemeClr w14:val="tx1"/>
            </w14:solidFill>
          </w14:textFill>
        </w:rPr>
        <w:fldChar w:fldCharType="separate"/>
      </w:r>
      <w:r>
        <w:rPr>
          <w:rFonts w:ascii="Cambria Math" w:hAnsi="Cambria Math" w:cs="Cambria Math" w:eastAsiaTheme="minorEastAsia"/>
          <w:color w:val="000000" w:themeColor="text1"/>
          <w:sz w:val="21"/>
          <w:szCs w:val="21"/>
          <w14:textFill>
            <w14:solidFill>
              <w14:schemeClr w14:val="tx1"/>
            </w14:solidFill>
          </w14:textFill>
        </w:rPr>
        <w:t>①</w:t>
      </w:r>
      <w:r>
        <w:rPr>
          <w:rFonts w:asciiTheme="majorBidi" w:hAnsiTheme="majorBidi" w:eastAsiaTheme="minorEastAsia" w:cstheme="majorBidi"/>
          <w:snapToGrid w:val="0"/>
          <w:color w:val="000000" w:themeColor="text1"/>
          <w:spacing w:val="-6"/>
          <w:kern w:val="21"/>
          <w:sz w:val="21"/>
          <w:szCs w:val="21"/>
          <w14:textFill>
            <w14:solidFill>
              <w14:schemeClr w14:val="tx1"/>
            </w14:solidFill>
          </w14:textFill>
        </w:rPr>
        <w:fldChar w:fldCharType="end"/>
      </w:r>
      <w:r>
        <w:rPr>
          <w:rFonts w:asciiTheme="majorBidi" w:hAnsiTheme="majorBidi" w:eastAsiaTheme="minorEastAsia" w:cstheme="majorBidi"/>
          <w:snapToGrid w:val="0"/>
          <w:color w:val="000000" w:themeColor="text1"/>
          <w:spacing w:val="-6"/>
          <w:kern w:val="21"/>
          <w:sz w:val="21"/>
          <w:szCs w:val="21"/>
          <w14:textFill>
            <w14:solidFill>
              <w14:schemeClr w14:val="tx1"/>
            </w14:solidFill>
          </w14:textFill>
        </w:rPr>
        <w:t>+</w:t>
      </w:r>
      <w:r>
        <w:rPr>
          <w:rFonts w:asciiTheme="majorBidi" w:hAnsiTheme="majorBidi" w:eastAsiaTheme="minorEastAsia" w:cstheme="majorBidi"/>
          <w:snapToGrid w:val="0"/>
          <w:color w:val="000000" w:themeColor="text1"/>
          <w:spacing w:val="-6"/>
          <w:kern w:val="21"/>
          <w:sz w:val="21"/>
          <w:szCs w:val="21"/>
          <w14:textFill>
            <w14:solidFill>
              <w14:schemeClr w14:val="tx1"/>
            </w14:solidFill>
          </w14:textFill>
        </w:rPr>
        <w:fldChar w:fldCharType="begin"/>
      </w:r>
      <w:r>
        <w:rPr>
          <w:rFonts w:asciiTheme="majorBidi" w:hAnsiTheme="majorBidi" w:eastAsiaTheme="minorEastAsia" w:cstheme="majorBidi"/>
          <w:snapToGrid w:val="0"/>
          <w:color w:val="000000" w:themeColor="text1"/>
          <w:spacing w:val="-6"/>
          <w:kern w:val="21"/>
          <w:sz w:val="21"/>
          <w:szCs w:val="21"/>
          <w14:textFill>
            <w14:solidFill>
              <w14:schemeClr w14:val="tx1"/>
            </w14:solidFill>
          </w14:textFill>
        </w:rPr>
        <w:instrText xml:space="preserve"> = 3 \* GB3 \* MERGEFORMAT </w:instrText>
      </w:r>
      <w:r>
        <w:rPr>
          <w:rFonts w:asciiTheme="majorBidi" w:hAnsiTheme="majorBidi" w:eastAsiaTheme="minorEastAsia" w:cstheme="majorBidi"/>
          <w:snapToGrid w:val="0"/>
          <w:color w:val="000000" w:themeColor="text1"/>
          <w:spacing w:val="-6"/>
          <w:kern w:val="21"/>
          <w:sz w:val="21"/>
          <w:szCs w:val="21"/>
          <w14:textFill>
            <w14:solidFill>
              <w14:schemeClr w14:val="tx1"/>
            </w14:solidFill>
          </w14:textFill>
        </w:rPr>
        <w:fldChar w:fldCharType="separate"/>
      </w:r>
      <w:r>
        <w:rPr>
          <w:rFonts w:ascii="Cambria Math" w:hAnsi="Cambria Math" w:cs="Cambria Math" w:eastAsiaTheme="minorEastAsia"/>
          <w:color w:val="000000" w:themeColor="text1"/>
          <w:sz w:val="21"/>
          <w:szCs w:val="21"/>
          <w14:textFill>
            <w14:solidFill>
              <w14:schemeClr w14:val="tx1"/>
            </w14:solidFill>
          </w14:textFill>
        </w:rPr>
        <w:t>③</w:t>
      </w:r>
      <w:r>
        <w:rPr>
          <w:rFonts w:asciiTheme="majorBidi" w:hAnsiTheme="majorBidi" w:eastAsiaTheme="minorEastAsia" w:cstheme="majorBidi"/>
          <w:snapToGrid w:val="0"/>
          <w:color w:val="000000" w:themeColor="text1"/>
          <w:spacing w:val="-6"/>
          <w:kern w:val="21"/>
          <w:sz w:val="21"/>
          <w:szCs w:val="21"/>
          <w14:textFill>
            <w14:solidFill>
              <w14:schemeClr w14:val="tx1"/>
            </w14:solidFill>
          </w14:textFill>
        </w:rPr>
        <w:fldChar w:fldCharType="end"/>
      </w:r>
      <w:r>
        <w:rPr>
          <w:rFonts w:asciiTheme="majorBidi" w:hAnsiTheme="majorBidi" w:eastAsiaTheme="minorEastAsia" w:cstheme="majorBidi"/>
          <w:snapToGrid w:val="0"/>
          <w:color w:val="000000" w:themeColor="text1"/>
          <w:spacing w:val="-6"/>
          <w:kern w:val="21"/>
          <w:sz w:val="21"/>
          <w:szCs w:val="21"/>
          <w14:textFill>
            <w14:solidFill>
              <w14:schemeClr w14:val="tx1"/>
            </w14:solidFill>
          </w14:textFill>
        </w:rPr>
        <w:t>+</w:t>
      </w:r>
      <w:r>
        <w:rPr>
          <w:rFonts w:asciiTheme="majorBidi" w:hAnsiTheme="majorBidi" w:eastAsiaTheme="minorEastAsia" w:cstheme="majorBidi"/>
          <w:snapToGrid w:val="0"/>
          <w:color w:val="000000" w:themeColor="text1"/>
          <w:spacing w:val="-6"/>
          <w:kern w:val="21"/>
          <w:sz w:val="21"/>
          <w:szCs w:val="21"/>
          <w14:textFill>
            <w14:solidFill>
              <w14:schemeClr w14:val="tx1"/>
            </w14:solidFill>
          </w14:textFill>
        </w:rPr>
        <w:fldChar w:fldCharType="begin"/>
      </w:r>
      <w:r>
        <w:rPr>
          <w:rFonts w:asciiTheme="majorBidi" w:hAnsiTheme="majorBidi" w:eastAsiaTheme="minorEastAsia" w:cstheme="majorBidi"/>
          <w:snapToGrid w:val="0"/>
          <w:color w:val="000000" w:themeColor="text1"/>
          <w:spacing w:val="-6"/>
          <w:kern w:val="21"/>
          <w:sz w:val="21"/>
          <w:szCs w:val="21"/>
          <w14:textFill>
            <w14:solidFill>
              <w14:schemeClr w14:val="tx1"/>
            </w14:solidFill>
          </w14:textFill>
        </w:rPr>
        <w:instrText xml:space="preserve"> = 4 \* GB3 \* MERGEFORMAT </w:instrText>
      </w:r>
      <w:r>
        <w:rPr>
          <w:rFonts w:asciiTheme="majorBidi" w:hAnsiTheme="majorBidi" w:eastAsiaTheme="minorEastAsia" w:cstheme="majorBidi"/>
          <w:snapToGrid w:val="0"/>
          <w:color w:val="000000" w:themeColor="text1"/>
          <w:spacing w:val="-6"/>
          <w:kern w:val="21"/>
          <w:sz w:val="21"/>
          <w:szCs w:val="21"/>
          <w14:textFill>
            <w14:solidFill>
              <w14:schemeClr w14:val="tx1"/>
            </w14:solidFill>
          </w14:textFill>
        </w:rPr>
        <w:fldChar w:fldCharType="separate"/>
      </w:r>
      <w:r>
        <w:rPr>
          <w:rFonts w:ascii="Cambria Math" w:hAnsi="Cambria Math" w:cs="Cambria Math" w:eastAsiaTheme="minorEastAsia"/>
          <w:color w:val="000000" w:themeColor="text1"/>
          <w:sz w:val="21"/>
          <w:szCs w:val="21"/>
          <w14:textFill>
            <w14:solidFill>
              <w14:schemeClr w14:val="tx1"/>
            </w14:solidFill>
          </w14:textFill>
        </w:rPr>
        <w:t>④</w:t>
      </w:r>
      <w:r>
        <w:rPr>
          <w:rFonts w:asciiTheme="majorBidi" w:hAnsiTheme="majorBidi" w:eastAsiaTheme="minorEastAsia" w:cstheme="majorBidi"/>
          <w:snapToGrid w:val="0"/>
          <w:color w:val="000000" w:themeColor="text1"/>
          <w:spacing w:val="-6"/>
          <w:kern w:val="21"/>
          <w:sz w:val="21"/>
          <w:szCs w:val="21"/>
          <w14:textFill>
            <w14:solidFill>
              <w14:schemeClr w14:val="tx1"/>
            </w14:solidFill>
          </w14:textFill>
        </w:rPr>
        <w:fldChar w:fldCharType="end"/>
      </w:r>
      <w:r>
        <w:rPr>
          <w:rFonts w:asciiTheme="majorBidi" w:hAnsiTheme="majorBidi" w:eastAsiaTheme="minorEastAsia" w:cstheme="majorBidi"/>
          <w:snapToGrid w:val="0"/>
          <w:color w:val="000000" w:themeColor="text1"/>
          <w:spacing w:val="-6"/>
          <w:kern w:val="21"/>
          <w:sz w:val="21"/>
          <w:szCs w:val="21"/>
          <w14:textFill>
            <w14:solidFill>
              <w14:schemeClr w14:val="tx1"/>
            </w14:solidFill>
          </w14:textFill>
        </w:rPr>
        <w:t>-</w:t>
      </w:r>
      <w:r>
        <w:rPr>
          <w:rFonts w:asciiTheme="majorBidi" w:hAnsiTheme="majorBidi" w:eastAsiaTheme="minorEastAsia" w:cstheme="majorBidi"/>
          <w:snapToGrid w:val="0"/>
          <w:color w:val="000000" w:themeColor="text1"/>
          <w:spacing w:val="-16"/>
          <w:kern w:val="21"/>
          <w:sz w:val="21"/>
          <w:szCs w:val="21"/>
          <w14:textFill>
            <w14:solidFill>
              <w14:schemeClr w14:val="tx1"/>
            </w14:solidFill>
          </w14:textFill>
        </w:rPr>
        <w:fldChar w:fldCharType="begin"/>
      </w:r>
      <w:r>
        <w:rPr>
          <w:rFonts w:asciiTheme="majorBidi" w:hAnsiTheme="majorBidi" w:eastAsiaTheme="minorEastAsia" w:cstheme="majorBidi"/>
          <w:snapToGrid w:val="0"/>
          <w:color w:val="000000" w:themeColor="text1"/>
          <w:spacing w:val="-16"/>
          <w:kern w:val="21"/>
          <w:sz w:val="21"/>
          <w:szCs w:val="21"/>
          <w14:textFill>
            <w14:solidFill>
              <w14:schemeClr w14:val="tx1"/>
            </w14:solidFill>
          </w14:textFill>
        </w:rPr>
        <w:instrText xml:space="preserve"> = 5 \* GB3 \* MERGEFORMAT </w:instrText>
      </w:r>
      <w:r>
        <w:rPr>
          <w:rFonts w:asciiTheme="majorBidi" w:hAnsiTheme="majorBidi" w:eastAsiaTheme="minorEastAsia" w:cstheme="majorBidi"/>
          <w:snapToGrid w:val="0"/>
          <w:color w:val="000000" w:themeColor="text1"/>
          <w:spacing w:val="-16"/>
          <w:kern w:val="21"/>
          <w:sz w:val="21"/>
          <w:szCs w:val="21"/>
          <w14:textFill>
            <w14:solidFill>
              <w14:schemeClr w14:val="tx1"/>
            </w14:solidFill>
          </w14:textFill>
        </w:rPr>
        <w:fldChar w:fldCharType="separate"/>
      </w:r>
      <w:r>
        <w:rPr>
          <w:rFonts w:ascii="Cambria Math" w:hAnsi="Cambria Math" w:cs="Cambria Math" w:eastAsiaTheme="minorEastAsia"/>
          <w:color w:val="000000" w:themeColor="text1"/>
          <w:sz w:val="21"/>
          <w:szCs w:val="21"/>
          <w14:textFill>
            <w14:solidFill>
              <w14:schemeClr w14:val="tx1"/>
            </w14:solidFill>
          </w14:textFill>
        </w:rPr>
        <w:t>⑤</w:t>
      </w:r>
      <w:r>
        <w:rPr>
          <w:rFonts w:asciiTheme="majorBidi" w:hAnsiTheme="majorBidi" w:eastAsiaTheme="minorEastAsia" w:cstheme="majorBidi"/>
          <w:snapToGrid w:val="0"/>
          <w:color w:val="000000" w:themeColor="text1"/>
          <w:spacing w:val="-16"/>
          <w:kern w:val="21"/>
          <w:sz w:val="21"/>
          <w:szCs w:val="21"/>
          <w14:textFill>
            <w14:solidFill>
              <w14:schemeClr w14:val="tx1"/>
            </w14:solidFill>
          </w14:textFill>
        </w:rPr>
        <w:fldChar w:fldCharType="end"/>
      </w:r>
      <w:r>
        <w:rPr>
          <w:rFonts w:asciiTheme="majorBidi" w:hAnsiTheme="majorBidi" w:eastAsiaTheme="minorEastAsia" w:cstheme="majorBidi"/>
          <w:snapToGrid w:val="0"/>
          <w:color w:val="000000" w:themeColor="text1"/>
          <w:spacing w:val="-16"/>
          <w:kern w:val="21"/>
          <w:sz w:val="21"/>
          <w:szCs w:val="21"/>
          <w14:textFill>
            <w14:solidFill>
              <w14:schemeClr w14:val="tx1"/>
            </w14:solidFill>
          </w14:textFill>
        </w:rPr>
        <w:t>；</w:t>
      </w:r>
      <w:r>
        <w:rPr>
          <w:rFonts w:asciiTheme="majorBidi" w:hAnsiTheme="majorBidi" w:eastAsiaTheme="minorEastAsia" w:cstheme="majorBidi"/>
          <w:snapToGrid w:val="0"/>
          <w:color w:val="000000" w:themeColor="text1"/>
          <w:spacing w:val="-6"/>
          <w:kern w:val="21"/>
          <w:sz w:val="21"/>
          <w:szCs w:val="21"/>
          <w14:textFill>
            <w14:solidFill>
              <w14:schemeClr w14:val="tx1"/>
            </w14:solidFill>
          </w14:textFill>
        </w:rPr>
        <w:fldChar w:fldCharType="begin"/>
      </w:r>
      <w:r>
        <w:rPr>
          <w:rFonts w:asciiTheme="majorBidi" w:hAnsiTheme="majorBidi" w:eastAsiaTheme="minorEastAsia" w:cstheme="majorBidi"/>
          <w:snapToGrid w:val="0"/>
          <w:color w:val="000000" w:themeColor="text1"/>
          <w:spacing w:val="-6"/>
          <w:kern w:val="21"/>
          <w:sz w:val="21"/>
          <w:szCs w:val="21"/>
          <w14:textFill>
            <w14:solidFill>
              <w14:schemeClr w14:val="tx1"/>
            </w14:solidFill>
          </w14:textFill>
        </w:rPr>
        <w:instrText xml:space="preserve"> = 7 \* GB3 \* MERGEFORMAT </w:instrText>
      </w:r>
      <w:r>
        <w:rPr>
          <w:rFonts w:asciiTheme="majorBidi" w:hAnsiTheme="majorBidi" w:eastAsiaTheme="minorEastAsia" w:cstheme="majorBidi"/>
          <w:snapToGrid w:val="0"/>
          <w:color w:val="000000" w:themeColor="text1"/>
          <w:spacing w:val="-6"/>
          <w:kern w:val="21"/>
          <w:sz w:val="21"/>
          <w:szCs w:val="21"/>
          <w14:textFill>
            <w14:solidFill>
              <w14:schemeClr w14:val="tx1"/>
            </w14:solidFill>
          </w14:textFill>
        </w:rPr>
        <w:fldChar w:fldCharType="separate"/>
      </w:r>
      <w:r>
        <w:rPr>
          <w:rFonts w:ascii="Cambria Math" w:hAnsi="Cambria Math" w:cs="Cambria Math" w:eastAsiaTheme="minorEastAsia"/>
          <w:color w:val="000000" w:themeColor="text1"/>
          <w:sz w:val="21"/>
          <w:szCs w:val="21"/>
          <w14:textFill>
            <w14:solidFill>
              <w14:schemeClr w14:val="tx1"/>
            </w14:solidFill>
          </w14:textFill>
        </w:rPr>
        <w:t>⑦</w:t>
      </w:r>
      <w:r>
        <w:rPr>
          <w:rFonts w:asciiTheme="majorBidi" w:hAnsiTheme="majorBidi" w:eastAsiaTheme="minorEastAsia" w:cstheme="majorBidi"/>
          <w:snapToGrid w:val="0"/>
          <w:color w:val="000000" w:themeColor="text1"/>
          <w:spacing w:val="-6"/>
          <w:kern w:val="21"/>
          <w:sz w:val="21"/>
          <w:szCs w:val="21"/>
          <w14:textFill>
            <w14:solidFill>
              <w14:schemeClr w14:val="tx1"/>
            </w14:solidFill>
          </w14:textFill>
        </w:rPr>
        <w:fldChar w:fldCharType="end"/>
      </w:r>
      <w:r>
        <w:rPr>
          <w:rFonts w:asciiTheme="majorBidi" w:hAnsiTheme="majorBidi" w:eastAsiaTheme="minorEastAsia" w:cstheme="majorBidi"/>
          <w:snapToGrid w:val="0"/>
          <w:color w:val="000000" w:themeColor="text1"/>
          <w:spacing w:val="-6"/>
          <w:kern w:val="21"/>
          <w:sz w:val="21"/>
          <w:szCs w:val="21"/>
          <w14:textFill>
            <w14:solidFill>
              <w14:schemeClr w14:val="tx1"/>
            </w14:solidFill>
          </w14:textFill>
        </w:rPr>
        <w:t>=</w:t>
      </w:r>
      <w:r>
        <w:rPr>
          <w:rFonts w:asciiTheme="majorBidi" w:hAnsiTheme="majorBidi" w:eastAsiaTheme="minorEastAsia" w:cstheme="majorBidi"/>
          <w:snapToGrid w:val="0"/>
          <w:color w:val="000000" w:themeColor="text1"/>
          <w:spacing w:val="-16"/>
          <w:kern w:val="21"/>
          <w:sz w:val="21"/>
          <w:szCs w:val="21"/>
          <w14:textFill>
            <w14:solidFill>
              <w14:schemeClr w14:val="tx1"/>
            </w14:solidFill>
          </w14:textFill>
        </w:rPr>
        <w:fldChar w:fldCharType="begin"/>
      </w:r>
      <w:r>
        <w:rPr>
          <w:rFonts w:asciiTheme="majorBidi" w:hAnsiTheme="majorBidi" w:eastAsiaTheme="minorEastAsia" w:cstheme="majorBidi"/>
          <w:snapToGrid w:val="0"/>
          <w:color w:val="000000" w:themeColor="text1"/>
          <w:spacing w:val="-16"/>
          <w:kern w:val="21"/>
          <w:sz w:val="21"/>
          <w:szCs w:val="21"/>
          <w14:textFill>
            <w14:solidFill>
              <w14:schemeClr w14:val="tx1"/>
            </w14:solidFill>
          </w14:textFill>
        </w:rPr>
        <w:instrText xml:space="preserve"> = 6 \* GB3 \* MERGEFORMAT </w:instrText>
      </w:r>
      <w:r>
        <w:rPr>
          <w:rFonts w:asciiTheme="majorBidi" w:hAnsiTheme="majorBidi" w:eastAsiaTheme="minorEastAsia" w:cstheme="majorBidi"/>
          <w:snapToGrid w:val="0"/>
          <w:color w:val="000000" w:themeColor="text1"/>
          <w:spacing w:val="-16"/>
          <w:kern w:val="21"/>
          <w:sz w:val="21"/>
          <w:szCs w:val="21"/>
          <w14:textFill>
            <w14:solidFill>
              <w14:schemeClr w14:val="tx1"/>
            </w14:solidFill>
          </w14:textFill>
        </w:rPr>
        <w:fldChar w:fldCharType="separate"/>
      </w:r>
      <w:r>
        <w:rPr>
          <w:rFonts w:ascii="Cambria Math" w:hAnsi="Cambria Math" w:cs="Cambria Math" w:eastAsiaTheme="minorEastAsia"/>
          <w:color w:val="000000" w:themeColor="text1"/>
          <w:sz w:val="21"/>
          <w:szCs w:val="21"/>
          <w14:textFill>
            <w14:solidFill>
              <w14:schemeClr w14:val="tx1"/>
            </w14:solidFill>
          </w14:textFill>
        </w:rPr>
        <w:t>⑥</w:t>
      </w:r>
      <w:r>
        <w:rPr>
          <w:rFonts w:asciiTheme="majorBidi" w:hAnsiTheme="majorBidi" w:eastAsiaTheme="minorEastAsia" w:cstheme="majorBidi"/>
          <w:snapToGrid w:val="0"/>
          <w:color w:val="000000" w:themeColor="text1"/>
          <w:spacing w:val="-16"/>
          <w:kern w:val="21"/>
          <w:sz w:val="21"/>
          <w:szCs w:val="21"/>
          <w14:textFill>
            <w14:solidFill>
              <w14:schemeClr w14:val="tx1"/>
            </w14:solidFill>
          </w14:textFill>
        </w:rPr>
        <w:fldChar w:fldCharType="end"/>
      </w:r>
      <w:r>
        <w:rPr>
          <w:rFonts w:asciiTheme="majorBidi" w:hAnsiTheme="majorBidi" w:eastAsiaTheme="minorEastAsia" w:cstheme="majorBidi"/>
          <w:snapToGrid w:val="0"/>
          <w:color w:val="000000" w:themeColor="text1"/>
          <w:spacing w:val="-16"/>
          <w:kern w:val="21"/>
          <w:sz w:val="21"/>
          <w:szCs w:val="21"/>
          <w14:textFill>
            <w14:solidFill>
              <w14:schemeClr w14:val="tx1"/>
            </w14:solidFill>
          </w14:textFill>
        </w:rPr>
        <w:t>-</w:t>
      </w:r>
      <w:r>
        <w:rPr>
          <w:rFonts w:asciiTheme="majorBidi" w:hAnsiTheme="majorBidi" w:eastAsiaTheme="minorEastAsia" w:cstheme="majorBidi"/>
          <w:snapToGrid w:val="0"/>
          <w:color w:val="000000" w:themeColor="text1"/>
          <w:spacing w:val="-6"/>
          <w:kern w:val="21"/>
          <w:sz w:val="21"/>
          <w:szCs w:val="21"/>
          <w14:textFill>
            <w14:solidFill>
              <w14:schemeClr w14:val="tx1"/>
            </w14:solidFill>
          </w14:textFill>
        </w:rPr>
        <w:fldChar w:fldCharType="begin"/>
      </w:r>
      <w:r>
        <w:rPr>
          <w:rFonts w:asciiTheme="majorBidi" w:hAnsiTheme="majorBidi" w:eastAsiaTheme="minorEastAsia" w:cstheme="majorBidi"/>
          <w:snapToGrid w:val="0"/>
          <w:color w:val="000000" w:themeColor="text1"/>
          <w:spacing w:val="-6"/>
          <w:kern w:val="21"/>
          <w:sz w:val="21"/>
          <w:szCs w:val="21"/>
          <w14:textFill>
            <w14:solidFill>
              <w14:schemeClr w14:val="tx1"/>
            </w14:solidFill>
          </w14:textFill>
        </w:rPr>
        <w:instrText xml:space="preserve"> = 1 \* GB3 \* MERGEFORMAT </w:instrText>
      </w:r>
      <w:r>
        <w:rPr>
          <w:rFonts w:asciiTheme="majorBidi" w:hAnsiTheme="majorBidi" w:eastAsiaTheme="minorEastAsia" w:cstheme="majorBidi"/>
          <w:snapToGrid w:val="0"/>
          <w:color w:val="000000" w:themeColor="text1"/>
          <w:spacing w:val="-6"/>
          <w:kern w:val="21"/>
          <w:sz w:val="21"/>
          <w:szCs w:val="21"/>
          <w14:textFill>
            <w14:solidFill>
              <w14:schemeClr w14:val="tx1"/>
            </w14:solidFill>
          </w14:textFill>
        </w:rPr>
        <w:fldChar w:fldCharType="separate"/>
      </w:r>
      <w:r>
        <w:rPr>
          <w:rFonts w:ascii="Cambria Math" w:hAnsi="Cambria Math" w:cs="Cambria Math" w:eastAsiaTheme="minorEastAsia"/>
          <w:color w:val="000000" w:themeColor="text1"/>
          <w:sz w:val="21"/>
          <w:szCs w:val="21"/>
          <w14:textFill>
            <w14:solidFill>
              <w14:schemeClr w14:val="tx1"/>
            </w14:solidFill>
          </w14:textFill>
        </w:rPr>
        <w:t>①</w:t>
      </w:r>
      <w:r>
        <w:rPr>
          <w:rFonts w:asciiTheme="majorBidi" w:hAnsiTheme="majorBidi" w:eastAsiaTheme="minorEastAsia" w:cstheme="majorBidi"/>
          <w:snapToGrid w:val="0"/>
          <w:color w:val="000000" w:themeColor="text1"/>
          <w:spacing w:val="-6"/>
          <w:kern w:val="21"/>
          <w:sz w:val="21"/>
          <w:szCs w:val="21"/>
          <w14:textFill>
            <w14:solidFill>
              <w14:schemeClr w14:val="tx1"/>
            </w14:solidFill>
          </w14:textFill>
        </w:rPr>
        <w:fldChar w:fldCharType="end"/>
      </w:r>
    </w:p>
    <w:p w14:paraId="5C48C496">
      <w:pPr>
        <w:pStyle w:val="2"/>
        <w:sectPr>
          <w:footerReference r:id="rId12" w:type="default"/>
          <w:pgSz w:w="16838" w:h="11906" w:orient="landscape"/>
          <w:pgMar w:top="1134" w:right="1418" w:bottom="1134" w:left="1418" w:header="708" w:footer="708" w:gutter="0"/>
          <w:cols w:space="708" w:num="1"/>
          <w:docGrid w:linePitch="360" w:charSpace="0"/>
        </w:sectPr>
      </w:pPr>
    </w:p>
    <w:p w14:paraId="34B6F78D">
      <w:pPr>
        <w:widowControl/>
        <w:adjustRightInd/>
        <w:snapToGrid/>
        <w:spacing w:line="240" w:lineRule="auto"/>
        <w:ind w:firstLine="0" w:firstLineChars="0"/>
        <w:jc w:val="left"/>
        <w:rPr>
          <w:rFonts w:asciiTheme="majorBidi" w:hAnsiTheme="majorBidi" w:eastAsiaTheme="minorEastAsia" w:cstheme="majorBidi"/>
          <w:b/>
          <w:bCs/>
          <w:snapToGrid w:val="0"/>
          <w:color w:val="000000" w:themeColor="text1"/>
          <w:sz w:val="30"/>
          <w:szCs w:val="30"/>
          <w14:textFill>
            <w14:solidFill>
              <w14:schemeClr w14:val="tx1"/>
            </w14:solidFill>
          </w14:textFill>
        </w:rPr>
      </w:pPr>
      <w:bookmarkStart w:id="23" w:name="_GoBack"/>
      <w:bookmarkEnd w:id="23"/>
    </w:p>
    <w:sectPr>
      <w:footerReference r:id="rId13" w:type="default"/>
      <w:pgSz w:w="11906" w:h="16838"/>
      <w:pgMar w:top="720" w:right="720" w:bottom="720" w:left="720" w:header="708" w:footer="708" w:gutter="0"/>
      <w:cols w:space="708" w:num="1"/>
      <w:docGrid w:linePitch="360"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ind w:firstLine="480"/>
      </w:pPr>
      <w:r>
        <w:separator/>
      </w:r>
    </w:p>
  </w:endnote>
  <w:endnote w:type="continuationSeparator" w:id="1">
    <w:p>
      <w:pPr>
        <w:spacing w:line="240" w:lineRule="auto"/>
        <w:ind w:firstLine="48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altName w:val="仿宋"/>
    <w:panose1 w:val="02010609030101010101"/>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 w:name="Impact">
    <w:panose1 w:val="020B0806030902050204"/>
    <w:charset w:val="00"/>
    <w:family w:val="swiss"/>
    <w:pitch w:val="default"/>
    <w:sig w:usb0="00000287" w:usb1="00000000" w:usb2="00000000" w:usb3="00000000" w:csb0="2000009F" w:csb1="DFD70000"/>
  </w:font>
  <w:font w:name="楷体_GB2312">
    <w:altName w:val="楷体"/>
    <w:panose1 w:val="02010609060101010101"/>
    <w:charset w:val="86"/>
    <w:family w:val="modern"/>
    <w:pitch w:val="default"/>
    <w:sig w:usb0="00000000" w:usb1="00000000" w:usb2="00000016" w:usb3="00000000" w:csb0="00040001" w:csb1="00000000"/>
  </w:font>
  <w:font w:name="楷体">
    <w:panose1 w:val="02010609060101010101"/>
    <w:charset w:val="86"/>
    <w:family w:val="auto"/>
    <w:pitch w:val="default"/>
    <w:sig w:usb0="800002BF" w:usb1="38CF7CFA" w:usb2="00000016" w:usb3="00000000" w:csb0="00040001" w:csb1="00000000"/>
  </w:font>
  <w:font w:name="方正小标宋简体">
    <w:altName w:val="微软雅黑"/>
    <w:panose1 w:val="03000509000000000000"/>
    <w:charset w:val="86"/>
    <w:family w:val="script"/>
    <w:pitch w:val="default"/>
    <w:sig w:usb0="00000000" w:usb1="00000000" w:usb2="00000010" w:usb3="00000000" w:csb0="00040000" w:csb1="00000000"/>
  </w:font>
  <w:font w:name="微软雅黑">
    <w:panose1 w:val="020B0503020204020204"/>
    <w:charset w:val="86"/>
    <w:family w:val="swiss"/>
    <w:pitch w:val="default"/>
    <w:sig w:usb0="80000287" w:usb1="280F3C52" w:usb2="00000016" w:usb3="00000000" w:csb0="0004001F" w:csb1="00000000"/>
  </w:font>
  <w:font w:name="Tahoma">
    <w:panose1 w:val="020B0604030504040204"/>
    <w:charset w:val="00"/>
    <w:family w:val="swiss"/>
    <w:pitch w:val="default"/>
    <w:sig w:usb0="E1002EFF" w:usb1="C000605B" w:usb2="00000029" w:usb3="00000000" w:csb0="200101FF" w:csb1="20280000"/>
  </w:font>
  <w:font w:name="Cambria">
    <w:panose1 w:val="02040503050406030204"/>
    <w:charset w:val="00"/>
    <w:family w:val="roman"/>
    <w:pitch w:val="default"/>
    <w:sig w:usb0="E00002FF" w:usb1="400004FF" w:usb2="00000000" w:usb3="00000000" w:csb0="2000019F" w:csb1="00000000"/>
  </w:font>
  <w:font w:name="Cambria Math">
    <w:panose1 w:val="02040503050406030204"/>
    <w:charset w:val="00"/>
    <w:family w:val="roman"/>
    <w:pitch w:val="default"/>
    <w:sig w:usb0="E00002FF" w:usb1="420024FF" w:usb2="00000000" w:usb3="00000000" w:csb0="2000019F" w:csb1="00000000"/>
  </w:font>
  <w:font w:name="等线">
    <w:altName w:val="微软雅黑"/>
    <w:panose1 w:val="02010600030101010101"/>
    <w:charset w:val="86"/>
    <w:family w:val="auto"/>
    <w:pitch w:val="default"/>
    <w:sig w:usb0="00000000" w:usb1="00000000" w:usb2="00000016" w:usb3="00000000" w:csb0="0004000F" w:csb1="00000000"/>
  </w:font>
  <w:font w:name="MS PGothic">
    <w:panose1 w:val="020B0600070205080204"/>
    <w:charset w:val="80"/>
    <w:family w:val="auto"/>
    <w:pitch w:val="default"/>
    <w:sig w:usb0="E00002FF" w:usb1="6AC7FDFB" w:usb2="00000012" w:usb3="00000000" w:csb0="4002009F" w:csb1="DFD7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ED84CA9">
    <w:pPr>
      <w:adjustRightInd/>
      <w:snapToGrid/>
      <w:ind w:firstLine="420"/>
      <w:rPr>
        <w:rFonts w:ascii="Calibri" w:hAnsi="Calibri"/>
        <w:kern w:val="2"/>
        <w:sz w:val="21"/>
        <w:szCs w:val="21"/>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8435644">
    <w:pPr>
      <w:pStyle w:val="16"/>
      <w:ind w:firstLine="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A4EFC5D">
    <w:pPr>
      <w:pStyle w:val="16"/>
      <w:ind w:firstLine="360"/>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876885270"/>
    </w:sdtPr>
    <w:sdtContent>
      <w:p w14:paraId="2628FD1F">
        <w:pPr>
          <w:pStyle w:val="16"/>
          <w:ind w:firstLine="360"/>
          <w:jc w:val="center"/>
        </w:pPr>
        <w:r>
          <w:rPr>
            <w:rFonts w:asciiTheme="majorBidi" w:hAnsiTheme="majorBidi" w:cstheme="majorBidi"/>
          </w:rPr>
          <w:fldChar w:fldCharType="begin"/>
        </w:r>
        <w:r>
          <w:rPr>
            <w:rFonts w:asciiTheme="majorBidi" w:hAnsiTheme="majorBidi" w:cstheme="majorBidi"/>
          </w:rPr>
          <w:instrText xml:space="preserve">PAGE   \* MERGEFORMAT</w:instrText>
        </w:r>
        <w:r>
          <w:rPr>
            <w:rFonts w:asciiTheme="majorBidi" w:hAnsiTheme="majorBidi" w:cstheme="majorBidi"/>
          </w:rPr>
          <w:fldChar w:fldCharType="separate"/>
        </w:r>
        <w:r>
          <w:rPr>
            <w:rFonts w:asciiTheme="majorBidi" w:hAnsiTheme="majorBidi" w:cstheme="majorBidi"/>
            <w:lang w:val="zh-CN"/>
          </w:rPr>
          <w:t>2</w:t>
        </w:r>
        <w:r>
          <w:rPr>
            <w:rFonts w:asciiTheme="majorBidi" w:hAnsiTheme="majorBidi" w:cstheme="majorBidi"/>
          </w:rPr>
          <w:fldChar w:fldCharType="end"/>
        </w:r>
      </w:p>
    </w:sdtContent>
  </w:sdt>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763876544"/>
    </w:sdtPr>
    <w:sdtEndPr>
      <w:rPr>
        <w:rFonts w:asciiTheme="majorBidi" w:hAnsiTheme="majorBidi" w:cstheme="majorBidi"/>
      </w:rPr>
    </w:sdtEndPr>
    <w:sdtContent>
      <w:p w14:paraId="02AB3CBD">
        <w:pPr>
          <w:pStyle w:val="16"/>
          <w:ind w:firstLine="360"/>
          <w:jc w:val="center"/>
          <w:rPr>
            <w:rFonts w:asciiTheme="majorBidi" w:hAnsiTheme="majorBidi" w:cstheme="majorBidi"/>
          </w:rPr>
        </w:pPr>
        <w:r>
          <w:rPr>
            <w:rFonts w:asciiTheme="majorBidi" w:hAnsiTheme="majorBidi" w:cstheme="majorBidi"/>
          </w:rPr>
          <w:fldChar w:fldCharType="begin"/>
        </w:r>
        <w:r>
          <w:rPr>
            <w:rFonts w:asciiTheme="majorBidi" w:hAnsiTheme="majorBidi" w:cstheme="majorBidi"/>
          </w:rPr>
          <w:instrText xml:space="preserve">PAGE   \* MERGEFORMAT</w:instrText>
        </w:r>
        <w:r>
          <w:rPr>
            <w:rFonts w:asciiTheme="majorBidi" w:hAnsiTheme="majorBidi" w:cstheme="majorBidi"/>
          </w:rPr>
          <w:fldChar w:fldCharType="separate"/>
        </w:r>
        <w:r>
          <w:rPr>
            <w:rFonts w:asciiTheme="majorBidi" w:hAnsiTheme="majorBidi" w:cstheme="majorBidi"/>
            <w:lang w:val="zh-CN"/>
          </w:rPr>
          <w:t>2</w:t>
        </w:r>
        <w:r>
          <w:rPr>
            <w:rFonts w:asciiTheme="majorBidi" w:hAnsiTheme="majorBidi" w:cstheme="majorBidi"/>
          </w:rPr>
          <w:fldChar w:fldCharType="end"/>
        </w:r>
      </w:p>
    </w:sdtContent>
  </w:sdt>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234891477"/>
    </w:sdtPr>
    <w:sdtEndPr>
      <w:rPr>
        <w:rFonts w:asciiTheme="majorBidi" w:hAnsiTheme="majorBidi" w:cstheme="majorBidi"/>
      </w:rPr>
    </w:sdtEndPr>
    <w:sdtContent>
      <w:p w14:paraId="7C1B0BCB">
        <w:pPr>
          <w:pStyle w:val="16"/>
          <w:ind w:firstLine="360"/>
          <w:jc w:val="center"/>
          <w:rPr>
            <w:rFonts w:asciiTheme="majorBidi" w:hAnsiTheme="majorBidi" w:cstheme="majorBidi"/>
          </w:rPr>
        </w:pPr>
        <w:r>
          <w:rPr>
            <w:rFonts w:asciiTheme="majorBidi" w:hAnsiTheme="majorBidi" w:cstheme="majorBidi"/>
          </w:rPr>
          <w:fldChar w:fldCharType="begin"/>
        </w:r>
        <w:r>
          <w:rPr>
            <w:rFonts w:asciiTheme="majorBidi" w:hAnsiTheme="majorBidi" w:cstheme="majorBidi"/>
          </w:rPr>
          <w:instrText xml:space="preserve">PAGE   \* MERGEFORMAT</w:instrText>
        </w:r>
        <w:r>
          <w:rPr>
            <w:rFonts w:asciiTheme="majorBidi" w:hAnsiTheme="majorBidi" w:cstheme="majorBidi"/>
          </w:rPr>
          <w:fldChar w:fldCharType="separate"/>
        </w:r>
        <w:r>
          <w:rPr>
            <w:rFonts w:asciiTheme="majorBidi" w:hAnsiTheme="majorBidi" w:cstheme="majorBidi"/>
            <w:lang w:val="zh-CN"/>
          </w:rPr>
          <w:t>2</w:t>
        </w:r>
        <w:r>
          <w:rPr>
            <w:rFonts w:asciiTheme="majorBidi" w:hAnsiTheme="majorBidi" w:cstheme="majorBidi"/>
          </w:rPr>
          <w:fldChar w:fldCharType="end"/>
        </w:r>
      </w:p>
    </w:sdtContent>
  </w:sdt>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360" w:lineRule="auto"/>
        <w:ind w:firstLine="480"/>
      </w:pPr>
      <w:r>
        <w:separator/>
      </w:r>
    </w:p>
  </w:footnote>
  <w:footnote w:type="continuationSeparator" w:id="1">
    <w:p>
      <w:pPr>
        <w:spacing w:line="360" w:lineRule="auto"/>
        <w:ind w:firstLine="48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F4ECAB3">
    <w:pPr>
      <w:ind w:firstLine="480"/>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9676EB7">
    <w:pPr>
      <w:pStyle w:val="17"/>
      <w:ind w:firstLine="360"/>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21E2056">
    <w:pPr>
      <w:pStyle w:val="17"/>
      <w:ind w:firstLine="360"/>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7D27996"/>
    <w:multiLevelType w:val="singleLevel"/>
    <w:tmpl w:val="87D27996"/>
    <w:lvl w:ilvl="0" w:tentative="0">
      <w:start w:val="1"/>
      <w:numFmt w:val="bullet"/>
      <w:pStyle w:val="13"/>
      <w:lvlText w:val=""/>
      <w:lvlJc w:val="left"/>
      <w:pPr>
        <w:tabs>
          <w:tab w:val="left" w:pos="1347"/>
        </w:tabs>
        <w:ind w:left="1347" w:hanging="360"/>
      </w:pPr>
      <w:rPr>
        <w:rFonts w:hint="default" w:ascii="Wingdings" w:hAnsi="Wingdings"/>
      </w:rPr>
    </w:lvl>
  </w:abstractNum>
  <w:abstractNum w:abstractNumId="1">
    <w:nsid w:val="00000008"/>
    <w:multiLevelType w:val="multilevel"/>
    <w:tmpl w:val="00000008"/>
    <w:lvl w:ilvl="0" w:tentative="0">
      <w:start w:val="1"/>
      <w:numFmt w:val="chineseCountingThousand"/>
      <w:pStyle w:val="3"/>
      <w:lvlText w:val="%1、"/>
      <w:lvlJc w:val="left"/>
      <w:pPr>
        <w:ind w:left="1413" w:hanging="420"/>
      </w:pPr>
      <w:rPr>
        <w:rFonts w:cs="Times New Roman"/>
      </w:rPr>
    </w:lvl>
    <w:lvl w:ilvl="1" w:tentative="0">
      <w:start w:val="1"/>
      <w:numFmt w:val="lowerLetter"/>
      <w:lvlText w:val="%2)"/>
      <w:lvlJc w:val="left"/>
      <w:pPr>
        <w:ind w:left="1050" w:hanging="420"/>
      </w:pPr>
      <w:rPr>
        <w:rFonts w:cs="Times New Roman"/>
      </w:rPr>
    </w:lvl>
    <w:lvl w:ilvl="2" w:tentative="0">
      <w:start w:val="1"/>
      <w:numFmt w:val="lowerRoman"/>
      <w:lvlText w:val="%3."/>
      <w:lvlJc w:val="right"/>
      <w:pPr>
        <w:ind w:left="1470" w:hanging="420"/>
      </w:pPr>
      <w:rPr>
        <w:rFonts w:cs="Times New Roman"/>
      </w:rPr>
    </w:lvl>
    <w:lvl w:ilvl="3" w:tentative="0">
      <w:start w:val="1"/>
      <w:numFmt w:val="decimal"/>
      <w:lvlText w:val="%4."/>
      <w:lvlJc w:val="left"/>
      <w:pPr>
        <w:ind w:left="1890" w:hanging="420"/>
      </w:pPr>
      <w:rPr>
        <w:rFonts w:cs="Times New Roman"/>
      </w:rPr>
    </w:lvl>
    <w:lvl w:ilvl="4" w:tentative="0">
      <w:start w:val="1"/>
      <w:numFmt w:val="lowerLetter"/>
      <w:lvlText w:val="%5)"/>
      <w:lvlJc w:val="left"/>
      <w:pPr>
        <w:ind w:left="2310" w:hanging="420"/>
      </w:pPr>
      <w:rPr>
        <w:rFonts w:cs="Times New Roman"/>
      </w:rPr>
    </w:lvl>
    <w:lvl w:ilvl="5" w:tentative="0">
      <w:start w:val="1"/>
      <w:numFmt w:val="lowerRoman"/>
      <w:lvlText w:val="%6."/>
      <w:lvlJc w:val="right"/>
      <w:pPr>
        <w:ind w:left="2730" w:hanging="420"/>
      </w:pPr>
      <w:rPr>
        <w:rFonts w:cs="Times New Roman"/>
      </w:rPr>
    </w:lvl>
    <w:lvl w:ilvl="6" w:tentative="0">
      <w:start w:val="1"/>
      <w:numFmt w:val="decimal"/>
      <w:lvlText w:val="%7."/>
      <w:lvlJc w:val="left"/>
      <w:pPr>
        <w:ind w:left="3150" w:hanging="420"/>
      </w:pPr>
      <w:rPr>
        <w:rFonts w:cs="Times New Roman"/>
      </w:rPr>
    </w:lvl>
    <w:lvl w:ilvl="7" w:tentative="0">
      <w:start w:val="1"/>
      <w:numFmt w:val="lowerLetter"/>
      <w:lvlText w:val="%8)"/>
      <w:lvlJc w:val="left"/>
      <w:pPr>
        <w:ind w:left="3570" w:hanging="420"/>
      </w:pPr>
      <w:rPr>
        <w:rFonts w:cs="Times New Roman"/>
      </w:rPr>
    </w:lvl>
    <w:lvl w:ilvl="8" w:tentative="0">
      <w:start w:val="1"/>
      <w:numFmt w:val="lowerRoman"/>
      <w:lvlText w:val="%9."/>
      <w:lvlJc w:val="right"/>
      <w:pPr>
        <w:ind w:left="3990" w:hanging="420"/>
      </w:pPr>
      <w:rPr>
        <w:rFonts w:cs="Times New Roman"/>
      </w:rPr>
    </w:lvl>
  </w:abstractNum>
  <w:abstractNum w:abstractNumId="2">
    <w:nsid w:val="2733117F"/>
    <w:multiLevelType w:val="multilevel"/>
    <w:tmpl w:val="2733117F"/>
    <w:lvl w:ilvl="0" w:tentative="0">
      <w:start w:val="1"/>
      <w:numFmt w:val="decimal"/>
      <w:lvlText w:val="%1"/>
      <w:lvlJc w:val="left"/>
      <w:pPr>
        <w:tabs>
          <w:tab w:val="left" w:pos="432"/>
        </w:tabs>
        <w:ind w:left="432" w:hanging="432"/>
      </w:pPr>
      <w:rPr>
        <w:rFonts w:hint="eastAsia" w:ascii="仿宋_GB2312" w:eastAsia="仿宋_GB2312"/>
      </w:rPr>
    </w:lvl>
    <w:lvl w:ilvl="1" w:tentative="0">
      <w:start w:val="1"/>
      <w:numFmt w:val="decimal"/>
      <w:lvlText w:val="%1.%2"/>
      <w:lvlJc w:val="left"/>
      <w:pPr>
        <w:tabs>
          <w:tab w:val="left" w:pos="720"/>
        </w:tabs>
        <w:ind w:left="397" w:hanging="397"/>
      </w:pPr>
      <w:rPr>
        <w:rFonts w:hint="eastAsia" w:eastAsia="仿宋_GB2312"/>
        <w:color w:val="auto"/>
      </w:rPr>
    </w:lvl>
    <w:lvl w:ilvl="2" w:tentative="0">
      <w:start w:val="1"/>
      <w:numFmt w:val="decimal"/>
      <w:lvlText w:val="%1.%2.%3"/>
      <w:lvlJc w:val="left"/>
      <w:pPr>
        <w:tabs>
          <w:tab w:val="left" w:pos="1021"/>
        </w:tabs>
        <w:ind w:left="1021" w:hanging="1021"/>
      </w:pPr>
      <w:rPr>
        <w:rFonts w:hint="eastAsia" w:ascii="仿宋_GB2312" w:eastAsia="仿宋_GB2312"/>
        <w:b w:val="0"/>
        <w:i w:val="0"/>
        <w:sz w:val="28"/>
      </w:rPr>
    </w:lvl>
    <w:lvl w:ilvl="3" w:tentative="0">
      <w:start w:val="1"/>
      <w:numFmt w:val="decimal"/>
      <w:lvlText w:val="%1.%2.%3.%4"/>
      <w:lvlJc w:val="left"/>
      <w:pPr>
        <w:tabs>
          <w:tab w:val="left" w:pos="964"/>
        </w:tabs>
        <w:ind w:left="964" w:hanging="964"/>
      </w:pPr>
      <w:rPr>
        <w:rFonts w:hint="eastAsia"/>
      </w:rPr>
    </w:lvl>
    <w:lvl w:ilvl="4" w:tentative="0">
      <w:start w:val="1"/>
      <w:numFmt w:val="decimal"/>
      <w:pStyle w:val="6"/>
      <w:lvlText w:val="%1.%2.%3.%4.%5"/>
      <w:lvlJc w:val="left"/>
      <w:pPr>
        <w:tabs>
          <w:tab w:val="left" w:pos="1008"/>
        </w:tabs>
        <w:ind w:left="1008" w:hanging="1008"/>
      </w:pPr>
      <w:rPr>
        <w:rFonts w:hint="eastAsia"/>
      </w:rPr>
    </w:lvl>
    <w:lvl w:ilvl="5" w:tentative="0">
      <w:start w:val="1"/>
      <w:numFmt w:val="decimal"/>
      <w:lvlText w:val="%1.%2.%3.%4.%5.%6"/>
      <w:lvlJc w:val="left"/>
      <w:pPr>
        <w:tabs>
          <w:tab w:val="left" w:pos="1152"/>
        </w:tabs>
        <w:ind w:left="1152" w:hanging="1152"/>
      </w:pPr>
      <w:rPr>
        <w:rFonts w:hint="eastAsia"/>
      </w:rPr>
    </w:lvl>
    <w:lvl w:ilvl="6" w:tentative="0">
      <w:start w:val="1"/>
      <w:numFmt w:val="decimal"/>
      <w:lvlText w:val="%1.%2.%3.%4.%5.%6.%7"/>
      <w:lvlJc w:val="left"/>
      <w:pPr>
        <w:tabs>
          <w:tab w:val="left" w:pos="1296"/>
        </w:tabs>
        <w:ind w:left="1296" w:hanging="1296"/>
      </w:pPr>
      <w:rPr>
        <w:rFonts w:hint="eastAsia"/>
      </w:rPr>
    </w:lvl>
    <w:lvl w:ilvl="7" w:tentative="0">
      <w:start w:val="1"/>
      <w:numFmt w:val="decimal"/>
      <w:lvlText w:val="%1.%2.%3.%4.%5.%6.%7.%8"/>
      <w:lvlJc w:val="left"/>
      <w:pPr>
        <w:tabs>
          <w:tab w:val="left" w:pos="1440"/>
        </w:tabs>
        <w:ind w:left="1440" w:hanging="1440"/>
      </w:pPr>
      <w:rPr>
        <w:rFonts w:hint="eastAsia"/>
      </w:rPr>
    </w:lvl>
    <w:lvl w:ilvl="8" w:tentative="0">
      <w:start w:val="1"/>
      <w:numFmt w:val="decimal"/>
      <w:lvlText w:val="%1.%2.%3.%4.%5.%6.%7.%8.%9"/>
      <w:lvlJc w:val="left"/>
      <w:pPr>
        <w:tabs>
          <w:tab w:val="left" w:pos="1584"/>
        </w:tabs>
        <w:ind w:left="1584" w:hanging="1584"/>
      </w:pPr>
      <w:rPr>
        <w:rFonts w:hint="eastAsia"/>
      </w:rPr>
    </w:lvl>
  </w:abstractNum>
  <w:abstractNum w:abstractNumId="3">
    <w:nsid w:val="4FFD71F6"/>
    <w:multiLevelType w:val="multilevel"/>
    <w:tmpl w:val="4FFD71F6"/>
    <w:lvl w:ilvl="0" w:tentative="0">
      <w:start w:val="1"/>
      <w:numFmt w:val="decimal"/>
      <w:lvlText w:val="表4-%1"/>
      <w:lvlJc w:val="center"/>
      <w:pPr>
        <w:ind w:left="440" w:hanging="440"/>
      </w:pPr>
      <w:rPr>
        <w:rFonts w:hint="default" w:ascii="Times New Roman" w:hAnsi="Times New Roman" w:eastAsia="宋体"/>
        <w:b/>
        <w:bCs/>
        <w:i w:val="0"/>
        <w:sz w:val="24"/>
        <w:szCs w:val="24"/>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num w:numId="1">
    <w:abstractNumId w:val="1"/>
  </w:num>
  <w:num w:numId="2">
    <w:abstractNumId w:val="2"/>
  </w:num>
  <w:num w:numId="3">
    <w:abstractNumId w:val="0"/>
  </w:num>
  <w:num w:numId="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720"/>
  <w:drawingGridHorizontalSpacing w:val="110"/>
  <w:noPunctuationKerning w:val="1"/>
  <w:characterSpacingControl w:val="doNotCompress"/>
  <w:footnotePr>
    <w:footnote w:id="0"/>
    <w:footnote w:id="1"/>
  </w:footnotePr>
  <w:endnotePr>
    <w:endnote w:id="0"/>
    <w:endnote w:id="1"/>
  </w:endnotePr>
  <w:compat>
    <w:ulTrailSpace/>
    <w:doNotExpandShiftReturn/>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MzBiMTBlYThiYjA5ODM0ZTQ4MDBlOWE5ZDMyNTE1MmUifQ=="/>
  </w:docVars>
  <w:rsids>
    <w:rsidRoot w:val="00172A27"/>
    <w:rsid w:val="0000067D"/>
    <w:rsid w:val="000007BA"/>
    <w:rsid w:val="00000DFE"/>
    <w:rsid w:val="00001C40"/>
    <w:rsid w:val="00002507"/>
    <w:rsid w:val="0000264A"/>
    <w:rsid w:val="00003C37"/>
    <w:rsid w:val="00003F86"/>
    <w:rsid w:val="0000408F"/>
    <w:rsid w:val="00005141"/>
    <w:rsid w:val="000058F0"/>
    <w:rsid w:val="000060C8"/>
    <w:rsid w:val="000069E1"/>
    <w:rsid w:val="00006B5B"/>
    <w:rsid w:val="000070F7"/>
    <w:rsid w:val="00007163"/>
    <w:rsid w:val="0000741F"/>
    <w:rsid w:val="00007C8E"/>
    <w:rsid w:val="000105B3"/>
    <w:rsid w:val="00011424"/>
    <w:rsid w:val="000118CF"/>
    <w:rsid w:val="00011D53"/>
    <w:rsid w:val="0001292E"/>
    <w:rsid w:val="00012D91"/>
    <w:rsid w:val="00013241"/>
    <w:rsid w:val="0001350C"/>
    <w:rsid w:val="00014145"/>
    <w:rsid w:val="00015367"/>
    <w:rsid w:val="000154E5"/>
    <w:rsid w:val="00015587"/>
    <w:rsid w:val="00015958"/>
    <w:rsid w:val="00015A2D"/>
    <w:rsid w:val="00016186"/>
    <w:rsid w:val="000176AA"/>
    <w:rsid w:val="000206CA"/>
    <w:rsid w:val="00020C82"/>
    <w:rsid w:val="00021751"/>
    <w:rsid w:val="00021A56"/>
    <w:rsid w:val="0002253D"/>
    <w:rsid w:val="00023371"/>
    <w:rsid w:val="00023397"/>
    <w:rsid w:val="00023436"/>
    <w:rsid w:val="000237D8"/>
    <w:rsid w:val="00024B43"/>
    <w:rsid w:val="00024CE4"/>
    <w:rsid w:val="000255D7"/>
    <w:rsid w:val="00025C96"/>
    <w:rsid w:val="00025FD3"/>
    <w:rsid w:val="0002678D"/>
    <w:rsid w:val="00027177"/>
    <w:rsid w:val="000277E6"/>
    <w:rsid w:val="00027C1B"/>
    <w:rsid w:val="0003066A"/>
    <w:rsid w:val="000317AA"/>
    <w:rsid w:val="00031ABF"/>
    <w:rsid w:val="000321AC"/>
    <w:rsid w:val="00032BC5"/>
    <w:rsid w:val="00032DD1"/>
    <w:rsid w:val="00033F62"/>
    <w:rsid w:val="00035567"/>
    <w:rsid w:val="00035FA6"/>
    <w:rsid w:val="000378D7"/>
    <w:rsid w:val="0003798B"/>
    <w:rsid w:val="00040628"/>
    <w:rsid w:val="0004067B"/>
    <w:rsid w:val="000406F9"/>
    <w:rsid w:val="00042801"/>
    <w:rsid w:val="00043EC3"/>
    <w:rsid w:val="00044402"/>
    <w:rsid w:val="000446AA"/>
    <w:rsid w:val="00044869"/>
    <w:rsid w:val="00044BDD"/>
    <w:rsid w:val="0004517B"/>
    <w:rsid w:val="000455BB"/>
    <w:rsid w:val="00046698"/>
    <w:rsid w:val="00047645"/>
    <w:rsid w:val="000477E9"/>
    <w:rsid w:val="000479B5"/>
    <w:rsid w:val="00047F73"/>
    <w:rsid w:val="00051107"/>
    <w:rsid w:val="0005237F"/>
    <w:rsid w:val="0005282B"/>
    <w:rsid w:val="00053869"/>
    <w:rsid w:val="000538AC"/>
    <w:rsid w:val="00053BE7"/>
    <w:rsid w:val="000542B0"/>
    <w:rsid w:val="00054A2B"/>
    <w:rsid w:val="000554B6"/>
    <w:rsid w:val="00055519"/>
    <w:rsid w:val="00055E0E"/>
    <w:rsid w:val="00056F76"/>
    <w:rsid w:val="00057620"/>
    <w:rsid w:val="0005781F"/>
    <w:rsid w:val="00057D1D"/>
    <w:rsid w:val="00057E85"/>
    <w:rsid w:val="00060594"/>
    <w:rsid w:val="00060BCD"/>
    <w:rsid w:val="00061726"/>
    <w:rsid w:val="00061F65"/>
    <w:rsid w:val="000620A9"/>
    <w:rsid w:val="000622E0"/>
    <w:rsid w:val="00062A2A"/>
    <w:rsid w:val="000640D2"/>
    <w:rsid w:val="0006473B"/>
    <w:rsid w:val="00064AD0"/>
    <w:rsid w:val="000655FA"/>
    <w:rsid w:val="00065BD8"/>
    <w:rsid w:val="00066027"/>
    <w:rsid w:val="000664A0"/>
    <w:rsid w:val="00066855"/>
    <w:rsid w:val="000677B7"/>
    <w:rsid w:val="00067BB0"/>
    <w:rsid w:val="00067BEC"/>
    <w:rsid w:val="000706A0"/>
    <w:rsid w:val="00071588"/>
    <w:rsid w:val="000716E4"/>
    <w:rsid w:val="00071E0D"/>
    <w:rsid w:val="00072EA9"/>
    <w:rsid w:val="0007307C"/>
    <w:rsid w:val="000731EE"/>
    <w:rsid w:val="000734B7"/>
    <w:rsid w:val="000734D7"/>
    <w:rsid w:val="00074143"/>
    <w:rsid w:val="000744B0"/>
    <w:rsid w:val="00075525"/>
    <w:rsid w:val="00076D83"/>
    <w:rsid w:val="000800D8"/>
    <w:rsid w:val="00080DE6"/>
    <w:rsid w:val="000813C3"/>
    <w:rsid w:val="000815C1"/>
    <w:rsid w:val="000816D3"/>
    <w:rsid w:val="000842DC"/>
    <w:rsid w:val="00084548"/>
    <w:rsid w:val="000845CB"/>
    <w:rsid w:val="00084941"/>
    <w:rsid w:val="00084F3D"/>
    <w:rsid w:val="00086087"/>
    <w:rsid w:val="00086303"/>
    <w:rsid w:val="00086778"/>
    <w:rsid w:val="00086CED"/>
    <w:rsid w:val="00087DBB"/>
    <w:rsid w:val="000904C9"/>
    <w:rsid w:val="00091485"/>
    <w:rsid w:val="00091CFC"/>
    <w:rsid w:val="000926E9"/>
    <w:rsid w:val="00092BD4"/>
    <w:rsid w:val="00092E50"/>
    <w:rsid w:val="0009320A"/>
    <w:rsid w:val="000940BF"/>
    <w:rsid w:val="00094975"/>
    <w:rsid w:val="00094ABE"/>
    <w:rsid w:val="00096C5D"/>
    <w:rsid w:val="00097185"/>
    <w:rsid w:val="000A0458"/>
    <w:rsid w:val="000A0910"/>
    <w:rsid w:val="000A0C79"/>
    <w:rsid w:val="000A1BB9"/>
    <w:rsid w:val="000A20E6"/>
    <w:rsid w:val="000A2F94"/>
    <w:rsid w:val="000A305C"/>
    <w:rsid w:val="000A327F"/>
    <w:rsid w:val="000A32EC"/>
    <w:rsid w:val="000A3925"/>
    <w:rsid w:val="000A46D9"/>
    <w:rsid w:val="000A4737"/>
    <w:rsid w:val="000A4AEF"/>
    <w:rsid w:val="000A51A9"/>
    <w:rsid w:val="000A5AF8"/>
    <w:rsid w:val="000A5FD7"/>
    <w:rsid w:val="000A6BFE"/>
    <w:rsid w:val="000A7DFB"/>
    <w:rsid w:val="000B0539"/>
    <w:rsid w:val="000B11A3"/>
    <w:rsid w:val="000B2751"/>
    <w:rsid w:val="000B288D"/>
    <w:rsid w:val="000B29CB"/>
    <w:rsid w:val="000B4192"/>
    <w:rsid w:val="000B458F"/>
    <w:rsid w:val="000B48BC"/>
    <w:rsid w:val="000B55F3"/>
    <w:rsid w:val="000B59F1"/>
    <w:rsid w:val="000B5D68"/>
    <w:rsid w:val="000B5F7E"/>
    <w:rsid w:val="000B61DF"/>
    <w:rsid w:val="000B67D4"/>
    <w:rsid w:val="000B6B7C"/>
    <w:rsid w:val="000B726C"/>
    <w:rsid w:val="000B7E7E"/>
    <w:rsid w:val="000C053A"/>
    <w:rsid w:val="000C0C7B"/>
    <w:rsid w:val="000C1276"/>
    <w:rsid w:val="000C1CF6"/>
    <w:rsid w:val="000C1F89"/>
    <w:rsid w:val="000C2186"/>
    <w:rsid w:val="000C226F"/>
    <w:rsid w:val="000C2FE7"/>
    <w:rsid w:val="000C4670"/>
    <w:rsid w:val="000C4B7A"/>
    <w:rsid w:val="000C56E2"/>
    <w:rsid w:val="000C5A8D"/>
    <w:rsid w:val="000C658C"/>
    <w:rsid w:val="000C6A93"/>
    <w:rsid w:val="000C6FEB"/>
    <w:rsid w:val="000C7EE0"/>
    <w:rsid w:val="000D06EE"/>
    <w:rsid w:val="000D1126"/>
    <w:rsid w:val="000D1A89"/>
    <w:rsid w:val="000D3673"/>
    <w:rsid w:val="000D3829"/>
    <w:rsid w:val="000D395A"/>
    <w:rsid w:val="000D4DD4"/>
    <w:rsid w:val="000D50EE"/>
    <w:rsid w:val="000D544A"/>
    <w:rsid w:val="000D564A"/>
    <w:rsid w:val="000D5A99"/>
    <w:rsid w:val="000D7D55"/>
    <w:rsid w:val="000E08B0"/>
    <w:rsid w:val="000E140E"/>
    <w:rsid w:val="000E1879"/>
    <w:rsid w:val="000E200B"/>
    <w:rsid w:val="000E2137"/>
    <w:rsid w:val="000E219D"/>
    <w:rsid w:val="000E2AB2"/>
    <w:rsid w:val="000E3B53"/>
    <w:rsid w:val="000E3B7E"/>
    <w:rsid w:val="000E3CA8"/>
    <w:rsid w:val="000E3DE1"/>
    <w:rsid w:val="000E5080"/>
    <w:rsid w:val="000E5A3F"/>
    <w:rsid w:val="000E65DA"/>
    <w:rsid w:val="000E772B"/>
    <w:rsid w:val="000E78FB"/>
    <w:rsid w:val="000F1933"/>
    <w:rsid w:val="000F25F4"/>
    <w:rsid w:val="000F2A81"/>
    <w:rsid w:val="000F2CD7"/>
    <w:rsid w:val="000F33D1"/>
    <w:rsid w:val="000F3C24"/>
    <w:rsid w:val="000F3C5D"/>
    <w:rsid w:val="000F65DF"/>
    <w:rsid w:val="000F6DA6"/>
    <w:rsid w:val="000F7091"/>
    <w:rsid w:val="000F730A"/>
    <w:rsid w:val="000F7853"/>
    <w:rsid w:val="001018AF"/>
    <w:rsid w:val="001029E2"/>
    <w:rsid w:val="00103B52"/>
    <w:rsid w:val="00104C19"/>
    <w:rsid w:val="0010525D"/>
    <w:rsid w:val="00105B37"/>
    <w:rsid w:val="001071B1"/>
    <w:rsid w:val="00110188"/>
    <w:rsid w:val="001108AC"/>
    <w:rsid w:val="00110BA4"/>
    <w:rsid w:val="00110D9B"/>
    <w:rsid w:val="00110E89"/>
    <w:rsid w:val="0011158D"/>
    <w:rsid w:val="00111DE0"/>
    <w:rsid w:val="00111FE5"/>
    <w:rsid w:val="00112483"/>
    <w:rsid w:val="0011277F"/>
    <w:rsid w:val="001128E6"/>
    <w:rsid w:val="0011321C"/>
    <w:rsid w:val="00113436"/>
    <w:rsid w:val="0011466C"/>
    <w:rsid w:val="00115033"/>
    <w:rsid w:val="00115D85"/>
    <w:rsid w:val="00115EA4"/>
    <w:rsid w:val="00120924"/>
    <w:rsid w:val="00120EEE"/>
    <w:rsid w:val="00121E45"/>
    <w:rsid w:val="001220A8"/>
    <w:rsid w:val="00122443"/>
    <w:rsid w:val="00122464"/>
    <w:rsid w:val="001229B3"/>
    <w:rsid w:val="00123B7C"/>
    <w:rsid w:val="001242B4"/>
    <w:rsid w:val="0012453B"/>
    <w:rsid w:val="001245B4"/>
    <w:rsid w:val="00124BB7"/>
    <w:rsid w:val="00125857"/>
    <w:rsid w:val="00130BEC"/>
    <w:rsid w:val="00130DD1"/>
    <w:rsid w:val="00131799"/>
    <w:rsid w:val="00131A5E"/>
    <w:rsid w:val="00131C65"/>
    <w:rsid w:val="001323CF"/>
    <w:rsid w:val="00132692"/>
    <w:rsid w:val="001334BF"/>
    <w:rsid w:val="001344C2"/>
    <w:rsid w:val="00134654"/>
    <w:rsid w:val="00134952"/>
    <w:rsid w:val="00135719"/>
    <w:rsid w:val="00135C74"/>
    <w:rsid w:val="00135CF3"/>
    <w:rsid w:val="00135E40"/>
    <w:rsid w:val="0013614D"/>
    <w:rsid w:val="00136678"/>
    <w:rsid w:val="00136A78"/>
    <w:rsid w:val="00136FB3"/>
    <w:rsid w:val="001407AA"/>
    <w:rsid w:val="001410F8"/>
    <w:rsid w:val="001412F8"/>
    <w:rsid w:val="001414E7"/>
    <w:rsid w:val="00142AD7"/>
    <w:rsid w:val="00142C88"/>
    <w:rsid w:val="00142FB5"/>
    <w:rsid w:val="00145112"/>
    <w:rsid w:val="001462DA"/>
    <w:rsid w:val="0014634C"/>
    <w:rsid w:val="001471DC"/>
    <w:rsid w:val="001471E3"/>
    <w:rsid w:val="00150183"/>
    <w:rsid w:val="00150569"/>
    <w:rsid w:val="00151797"/>
    <w:rsid w:val="001525FD"/>
    <w:rsid w:val="001527E6"/>
    <w:rsid w:val="0015327C"/>
    <w:rsid w:val="00153984"/>
    <w:rsid w:val="00153C64"/>
    <w:rsid w:val="00154C16"/>
    <w:rsid w:val="00154D37"/>
    <w:rsid w:val="001552B1"/>
    <w:rsid w:val="001556A9"/>
    <w:rsid w:val="0015728C"/>
    <w:rsid w:val="00157BD4"/>
    <w:rsid w:val="00157DFE"/>
    <w:rsid w:val="00160BE2"/>
    <w:rsid w:val="00160D35"/>
    <w:rsid w:val="00160FA0"/>
    <w:rsid w:val="001616E6"/>
    <w:rsid w:val="00161722"/>
    <w:rsid w:val="0016231C"/>
    <w:rsid w:val="0016356E"/>
    <w:rsid w:val="001635E9"/>
    <w:rsid w:val="001636F1"/>
    <w:rsid w:val="00164B19"/>
    <w:rsid w:val="00165848"/>
    <w:rsid w:val="001659D4"/>
    <w:rsid w:val="001665E9"/>
    <w:rsid w:val="00166A84"/>
    <w:rsid w:val="00167820"/>
    <w:rsid w:val="001679D5"/>
    <w:rsid w:val="00170BDB"/>
    <w:rsid w:val="00170D75"/>
    <w:rsid w:val="00170E9B"/>
    <w:rsid w:val="00171A42"/>
    <w:rsid w:val="001728F7"/>
    <w:rsid w:val="00172A27"/>
    <w:rsid w:val="00173CD6"/>
    <w:rsid w:val="001740BB"/>
    <w:rsid w:val="001748B9"/>
    <w:rsid w:val="001748CD"/>
    <w:rsid w:val="00174F75"/>
    <w:rsid w:val="00175779"/>
    <w:rsid w:val="00175876"/>
    <w:rsid w:val="00175C64"/>
    <w:rsid w:val="00175F30"/>
    <w:rsid w:val="001765BA"/>
    <w:rsid w:val="001766D7"/>
    <w:rsid w:val="00177FE0"/>
    <w:rsid w:val="00180045"/>
    <w:rsid w:val="001803A8"/>
    <w:rsid w:val="00180786"/>
    <w:rsid w:val="00180912"/>
    <w:rsid w:val="00180C00"/>
    <w:rsid w:val="001816CF"/>
    <w:rsid w:val="00181B41"/>
    <w:rsid w:val="00182924"/>
    <w:rsid w:val="00182DAA"/>
    <w:rsid w:val="0018379A"/>
    <w:rsid w:val="00184835"/>
    <w:rsid w:val="00185C30"/>
    <w:rsid w:val="00186DF6"/>
    <w:rsid w:val="0018716E"/>
    <w:rsid w:val="001878E8"/>
    <w:rsid w:val="00187EA4"/>
    <w:rsid w:val="00190219"/>
    <w:rsid w:val="00190C68"/>
    <w:rsid w:val="001911AF"/>
    <w:rsid w:val="00191375"/>
    <w:rsid w:val="00191420"/>
    <w:rsid w:val="00192590"/>
    <w:rsid w:val="00192F6F"/>
    <w:rsid w:val="0019381F"/>
    <w:rsid w:val="001939C2"/>
    <w:rsid w:val="00194293"/>
    <w:rsid w:val="00194DBB"/>
    <w:rsid w:val="00195786"/>
    <w:rsid w:val="0019643C"/>
    <w:rsid w:val="00196E45"/>
    <w:rsid w:val="0019735A"/>
    <w:rsid w:val="001976C0"/>
    <w:rsid w:val="00197999"/>
    <w:rsid w:val="001A02BF"/>
    <w:rsid w:val="001A1D82"/>
    <w:rsid w:val="001A1E3D"/>
    <w:rsid w:val="001A235A"/>
    <w:rsid w:val="001A2884"/>
    <w:rsid w:val="001A3FE6"/>
    <w:rsid w:val="001A4421"/>
    <w:rsid w:val="001A46BA"/>
    <w:rsid w:val="001A4BCF"/>
    <w:rsid w:val="001A4F34"/>
    <w:rsid w:val="001A4F4F"/>
    <w:rsid w:val="001A58FF"/>
    <w:rsid w:val="001A5DA9"/>
    <w:rsid w:val="001A6539"/>
    <w:rsid w:val="001A6CC5"/>
    <w:rsid w:val="001A6D48"/>
    <w:rsid w:val="001A6F0E"/>
    <w:rsid w:val="001A71D2"/>
    <w:rsid w:val="001A76A4"/>
    <w:rsid w:val="001B10E2"/>
    <w:rsid w:val="001B1656"/>
    <w:rsid w:val="001B237B"/>
    <w:rsid w:val="001B2736"/>
    <w:rsid w:val="001B337A"/>
    <w:rsid w:val="001B3781"/>
    <w:rsid w:val="001B39D8"/>
    <w:rsid w:val="001B3DE5"/>
    <w:rsid w:val="001B419D"/>
    <w:rsid w:val="001B687C"/>
    <w:rsid w:val="001B68E7"/>
    <w:rsid w:val="001B7FE8"/>
    <w:rsid w:val="001C05FB"/>
    <w:rsid w:val="001C23D0"/>
    <w:rsid w:val="001C4377"/>
    <w:rsid w:val="001C54E2"/>
    <w:rsid w:val="001C61EB"/>
    <w:rsid w:val="001C66FC"/>
    <w:rsid w:val="001C6F75"/>
    <w:rsid w:val="001C701B"/>
    <w:rsid w:val="001C7578"/>
    <w:rsid w:val="001D0280"/>
    <w:rsid w:val="001D0575"/>
    <w:rsid w:val="001D0EE0"/>
    <w:rsid w:val="001D1453"/>
    <w:rsid w:val="001D1C38"/>
    <w:rsid w:val="001D21D7"/>
    <w:rsid w:val="001D2213"/>
    <w:rsid w:val="001D24C0"/>
    <w:rsid w:val="001D2F6A"/>
    <w:rsid w:val="001D2F78"/>
    <w:rsid w:val="001D4053"/>
    <w:rsid w:val="001D40B3"/>
    <w:rsid w:val="001D4B78"/>
    <w:rsid w:val="001D4FF0"/>
    <w:rsid w:val="001D5714"/>
    <w:rsid w:val="001D6270"/>
    <w:rsid w:val="001D66CF"/>
    <w:rsid w:val="001D7084"/>
    <w:rsid w:val="001D7632"/>
    <w:rsid w:val="001E02B8"/>
    <w:rsid w:val="001E0583"/>
    <w:rsid w:val="001E0AAC"/>
    <w:rsid w:val="001E1340"/>
    <w:rsid w:val="001E16A8"/>
    <w:rsid w:val="001E190A"/>
    <w:rsid w:val="001E1CD1"/>
    <w:rsid w:val="001E1FA2"/>
    <w:rsid w:val="001E44EF"/>
    <w:rsid w:val="001E453E"/>
    <w:rsid w:val="001E474D"/>
    <w:rsid w:val="001E5726"/>
    <w:rsid w:val="001E5B0F"/>
    <w:rsid w:val="001E6F34"/>
    <w:rsid w:val="001E76EF"/>
    <w:rsid w:val="001E7B31"/>
    <w:rsid w:val="001F0630"/>
    <w:rsid w:val="001F0D6C"/>
    <w:rsid w:val="001F1076"/>
    <w:rsid w:val="001F149E"/>
    <w:rsid w:val="001F1C82"/>
    <w:rsid w:val="001F29B5"/>
    <w:rsid w:val="001F2C0F"/>
    <w:rsid w:val="001F368A"/>
    <w:rsid w:val="001F37E4"/>
    <w:rsid w:val="001F3CCA"/>
    <w:rsid w:val="001F4360"/>
    <w:rsid w:val="001F45DF"/>
    <w:rsid w:val="001F65EF"/>
    <w:rsid w:val="001F6B77"/>
    <w:rsid w:val="001F6D16"/>
    <w:rsid w:val="001F72ED"/>
    <w:rsid w:val="001F758E"/>
    <w:rsid w:val="001F7887"/>
    <w:rsid w:val="00200D9B"/>
    <w:rsid w:val="00201378"/>
    <w:rsid w:val="002014ED"/>
    <w:rsid w:val="00201546"/>
    <w:rsid w:val="0020202F"/>
    <w:rsid w:val="0020241B"/>
    <w:rsid w:val="002026C1"/>
    <w:rsid w:val="00202CA8"/>
    <w:rsid w:val="0020369B"/>
    <w:rsid w:val="002039BE"/>
    <w:rsid w:val="00206A3B"/>
    <w:rsid w:val="0020735C"/>
    <w:rsid w:val="00207EDF"/>
    <w:rsid w:val="0021011B"/>
    <w:rsid w:val="002101BD"/>
    <w:rsid w:val="002104EC"/>
    <w:rsid w:val="00210624"/>
    <w:rsid w:val="00210629"/>
    <w:rsid w:val="002106D0"/>
    <w:rsid w:val="0021127E"/>
    <w:rsid w:val="00211B91"/>
    <w:rsid w:val="002121E1"/>
    <w:rsid w:val="002122E3"/>
    <w:rsid w:val="002124C5"/>
    <w:rsid w:val="00212EDA"/>
    <w:rsid w:val="002131B8"/>
    <w:rsid w:val="00213E18"/>
    <w:rsid w:val="00213FE1"/>
    <w:rsid w:val="00214393"/>
    <w:rsid w:val="00216723"/>
    <w:rsid w:val="00216942"/>
    <w:rsid w:val="00216C28"/>
    <w:rsid w:val="00216D39"/>
    <w:rsid w:val="00216F32"/>
    <w:rsid w:val="00217951"/>
    <w:rsid w:val="00217F9F"/>
    <w:rsid w:val="002205E1"/>
    <w:rsid w:val="002219C2"/>
    <w:rsid w:val="002220AA"/>
    <w:rsid w:val="00222BA0"/>
    <w:rsid w:val="00222E08"/>
    <w:rsid w:val="002232E6"/>
    <w:rsid w:val="0022336C"/>
    <w:rsid w:val="00224131"/>
    <w:rsid w:val="002243B4"/>
    <w:rsid w:val="0022457D"/>
    <w:rsid w:val="0022491B"/>
    <w:rsid w:val="00225056"/>
    <w:rsid w:val="0022520D"/>
    <w:rsid w:val="00225E28"/>
    <w:rsid w:val="0022603F"/>
    <w:rsid w:val="00227C26"/>
    <w:rsid w:val="00227D77"/>
    <w:rsid w:val="002305FB"/>
    <w:rsid w:val="002309E4"/>
    <w:rsid w:val="00231057"/>
    <w:rsid w:val="0023227D"/>
    <w:rsid w:val="00233EC7"/>
    <w:rsid w:val="002347C6"/>
    <w:rsid w:val="002349DC"/>
    <w:rsid w:val="00234A04"/>
    <w:rsid w:val="00234B70"/>
    <w:rsid w:val="002356FD"/>
    <w:rsid w:val="00235981"/>
    <w:rsid w:val="00235B3B"/>
    <w:rsid w:val="00236B0B"/>
    <w:rsid w:val="00236CDB"/>
    <w:rsid w:val="002400F7"/>
    <w:rsid w:val="002403EB"/>
    <w:rsid w:val="00240738"/>
    <w:rsid w:val="00240B4B"/>
    <w:rsid w:val="00241668"/>
    <w:rsid w:val="00242F8B"/>
    <w:rsid w:val="00243571"/>
    <w:rsid w:val="00243FCC"/>
    <w:rsid w:val="002447B3"/>
    <w:rsid w:val="00245685"/>
    <w:rsid w:val="00245D66"/>
    <w:rsid w:val="0024694C"/>
    <w:rsid w:val="00246D00"/>
    <w:rsid w:val="00247023"/>
    <w:rsid w:val="00247172"/>
    <w:rsid w:val="00247DA2"/>
    <w:rsid w:val="00250539"/>
    <w:rsid w:val="00250944"/>
    <w:rsid w:val="00250DD9"/>
    <w:rsid w:val="00251277"/>
    <w:rsid w:val="00251B5D"/>
    <w:rsid w:val="00252730"/>
    <w:rsid w:val="00252DA3"/>
    <w:rsid w:val="002531CA"/>
    <w:rsid w:val="002538DF"/>
    <w:rsid w:val="00253B0F"/>
    <w:rsid w:val="00253CF3"/>
    <w:rsid w:val="00253F64"/>
    <w:rsid w:val="0025419B"/>
    <w:rsid w:val="00255087"/>
    <w:rsid w:val="0025557B"/>
    <w:rsid w:val="002559FD"/>
    <w:rsid w:val="00255D21"/>
    <w:rsid w:val="00256015"/>
    <w:rsid w:val="00256F84"/>
    <w:rsid w:val="00260951"/>
    <w:rsid w:val="00260AD0"/>
    <w:rsid w:val="00261AA2"/>
    <w:rsid w:val="00261F7E"/>
    <w:rsid w:val="002624BB"/>
    <w:rsid w:val="00262C78"/>
    <w:rsid w:val="002638BE"/>
    <w:rsid w:val="00263AA4"/>
    <w:rsid w:val="00263F0E"/>
    <w:rsid w:val="00264AEF"/>
    <w:rsid w:val="0026513F"/>
    <w:rsid w:val="00265476"/>
    <w:rsid w:val="00265C6F"/>
    <w:rsid w:val="00267109"/>
    <w:rsid w:val="002671FB"/>
    <w:rsid w:val="00267801"/>
    <w:rsid w:val="00267996"/>
    <w:rsid w:val="00267CFA"/>
    <w:rsid w:val="00271C91"/>
    <w:rsid w:val="002722F0"/>
    <w:rsid w:val="00272371"/>
    <w:rsid w:val="00272BA3"/>
    <w:rsid w:val="00273A80"/>
    <w:rsid w:val="00273F7C"/>
    <w:rsid w:val="00275364"/>
    <w:rsid w:val="002755BA"/>
    <w:rsid w:val="00275979"/>
    <w:rsid w:val="00276443"/>
    <w:rsid w:val="0027655B"/>
    <w:rsid w:val="00276BE8"/>
    <w:rsid w:val="002777F3"/>
    <w:rsid w:val="00277EC2"/>
    <w:rsid w:val="00280482"/>
    <w:rsid w:val="00281604"/>
    <w:rsid w:val="00281804"/>
    <w:rsid w:val="00281AAB"/>
    <w:rsid w:val="00281BDD"/>
    <w:rsid w:val="0028260B"/>
    <w:rsid w:val="00282690"/>
    <w:rsid w:val="00282A77"/>
    <w:rsid w:val="00282BE3"/>
    <w:rsid w:val="002834DC"/>
    <w:rsid w:val="00284427"/>
    <w:rsid w:val="0028483E"/>
    <w:rsid w:val="00284BBD"/>
    <w:rsid w:val="002851EE"/>
    <w:rsid w:val="0028589C"/>
    <w:rsid w:val="0028626F"/>
    <w:rsid w:val="00286316"/>
    <w:rsid w:val="00287637"/>
    <w:rsid w:val="002878D2"/>
    <w:rsid w:val="00287C97"/>
    <w:rsid w:val="00287D55"/>
    <w:rsid w:val="002913A9"/>
    <w:rsid w:val="00291641"/>
    <w:rsid w:val="00291823"/>
    <w:rsid w:val="0029253E"/>
    <w:rsid w:val="00293026"/>
    <w:rsid w:val="0029341C"/>
    <w:rsid w:val="0029350B"/>
    <w:rsid w:val="002935F1"/>
    <w:rsid w:val="00293AB6"/>
    <w:rsid w:val="00293F07"/>
    <w:rsid w:val="002952BB"/>
    <w:rsid w:val="002952D4"/>
    <w:rsid w:val="002953E0"/>
    <w:rsid w:val="002956E4"/>
    <w:rsid w:val="00295A0A"/>
    <w:rsid w:val="00296286"/>
    <w:rsid w:val="00296CD8"/>
    <w:rsid w:val="00296FF1"/>
    <w:rsid w:val="002A0230"/>
    <w:rsid w:val="002A0280"/>
    <w:rsid w:val="002A13D1"/>
    <w:rsid w:val="002A23D0"/>
    <w:rsid w:val="002A2892"/>
    <w:rsid w:val="002A2B5F"/>
    <w:rsid w:val="002A3370"/>
    <w:rsid w:val="002A3CC3"/>
    <w:rsid w:val="002A444A"/>
    <w:rsid w:val="002A45D2"/>
    <w:rsid w:val="002A48A4"/>
    <w:rsid w:val="002A5123"/>
    <w:rsid w:val="002A521F"/>
    <w:rsid w:val="002A5299"/>
    <w:rsid w:val="002A62BF"/>
    <w:rsid w:val="002A688D"/>
    <w:rsid w:val="002A77E4"/>
    <w:rsid w:val="002B005E"/>
    <w:rsid w:val="002B0B25"/>
    <w:rsid w:val="002B141B"/>
    <w:rsid w:val="002B19A8"/>
    <w:rsid w:val="002B21F0"/>
    <w:rsid w:val="002B22DA"/>
    <w:rsid w:val="002B305F"/>
    <w:rsid w:val="002B3146"/>
    <w:rsid w:val="002B3386"/>
    <w:rsid w:val="002B3D5E"/>
    <w:rsid w:val="002B3F01"/>
    <w:rsid w:val="002B4233"/>
    <w:rsid w:val="002B494A"/>
    <w:rsid w:val="002B5522"/>
    <w:rsid w:val="002B5C76"/>
    <w:rsid w:val="002B60C2"/>
    <w:rsid w:val="002B6665"/>
    <w:rsid w:val="002B73DD"/>
    <w:rsid w:val="002C0476"/>
    <w:rsid w:val="002C113C"/>
    <w:rsid w:val="002C195E"/>
    <w:rsid w:val="002C1DEB"/>
    <w:rsid w:val="002C2054"/>
    <w:rsid w:val="002C237A"/>
    <w:rsid w:val="002C306E"/>
    <w:rsid w:val="002C3342"/>
    <w:rsid w:val="002C4348"/>
    <w:rsid w:val="002C4868"/>
    <w:rsid w:val="002C4BF9"/>
    <w:rsid w:val="002C778E"/>
    <w:rsid w:val="002C7B08"/>
    <w:rsid w:val="002D0DE1"/>
    <w:rsid w:val="002D0FF5"/>
    <w:rsid w:val="002D1194"/>
    <w:rsid w:val="002D3A0A"/>
    <w:rsid w:val="002D401D"/>
    <w:rsid w:val="002D4E6F"/>
    <w:rsid w:val="002D511B"/>
    <w:rsid w:val="002D53EF"/>
    <w:rsid w:val="002D5965"/>
    <w:rsid w:val="002D59F2"/>
    <w:rsid w:val="002D6601"/>
    <w:rsid w:val="002D6DBB"/>
    <w:rsid w:val="002D6DF5"/>
    <w:rsid w:val="002D6F43"/>
    <w:rsid w:val="002D77EA"/>
    <w:rsid w:val="002D792F"/>
    <w:rsid w:val="002D7FAD"/>
    <w:rsid w:val="002E0590"/>
    <w:rsid w:val="002E1133"/>
    <w:rsid w:val="002E1C77"/>
    <w:rsid w:val="002E2287"/>
    <w:rsid w:val="002E298F"/>
    <w:rsid w:val="002E2A1E"/>
    <w:rsid w:val="002E3F4F"/>
    <w:rsid w:val="002E45AA"/>
    <w:rsid w:val="002E5D10"/>
    <w:rsid w:val="002E6763"/>
    <w:rsid w:val="002E6E3A"/>
    <w:rsid w:val="002E708E"/>
    <w:rsid w:val="002E70CF"/>
    <w:rsid w:val="002E7413"/>
    <w:rsid w:val="002E7DFB"/>
    <w:rsid w:val="002F0270"/>
    <w:rsid w:val="002F04DF"/>
    <w:rsid w:val="002F0502"/>
    <w:rsid w:val="002F05F8"/>
    <w:rsid w:val="002F0AE9"/>
    <w:rsid w:val="002F1115"/>
    <w:rsid w:val="002F1B69"/>
    <w:rsid w:val="002F36D2"/>
    <w:rsid w:val="002F395D"/>
    <w:rsid w:val="002F4B5B"/>
    <w:rsid w:val="002F5253"/>
    <w:rsid w:val="002F542B"/>
    <w:rsid w:val="002F56E6"/>
    <w:rsid w:val="002F5B2E"/>
    <w:rsid w:val="002F705D"/>
    <w:rsid w:val="002F73CE"/>
    <w:rsid w:val="002F7A84"/>
    <w:rsid w:val="003003B4"/>
    <w:rsid w:val="00300BBE"/>
    <w:rsid w:val="00300C45"/>
    <w:rsid w:val="00301736"/>
    <w:rsid w:val="00301E31"/>
    <w:rsid w:val="00301F97"/>
    <w:rsid w:val="003023B3"/>
    <w:rsid w:val="00302A04"/>
    <w:rsid w:val="00303839"/>
    <w:rsid w:val="00303B0B"/>
    <w:rsid w:val="003055F0"/>
    <w:rsid w:val="003065EF"/>
    <w:rsid w:val="003068B1"/>
    <w:rsid w:val="003068CA"/>
    <w:rsid w:val="00306A6F"/>
    <w:rsid w:val="00307FAD"/>
    <w:rsid w:val="00311C89"/>
    <w:rsid w:val="003121B3"/>
    <w:rsid w:val="003145CA"/>
    <w:rsid w:val="0031464D"/>
    <w:rsid w:val="00315C96"/>
    <w:rsid w:val="003171CF"/>
    <w:rsid w:val="00320FA4"/>
    <w:rsid w:val="00321E7A"/>
    <w:rsid w:val="00323B43"/>
    <w:rsid w:val="0032540D"/>
    <w:rsid w:val="00325B3C"/>
    <w:rsid w:val="00325D06"/>
    <w:rsid w:val="00325EC4"/>
    <w:rsid w:val="0032604C"/>
    <w:rsid w:val="0032611B"/>
    <w:rsid w:val="0032637C"/>
    <w:rsid w:val="00326977"/>
    <w:rsid w:val="00326A10"/>
    <w:rsid w:val="003274A3"/>
    <w:rsid w:val="00327AC1"/>
    <w:rsid w:val="00327E84"/>
    <w:rsid w:val="0033081D"/>
    <w:rsid w:val="00330DC6"/>
    <w:rsid w:val="00331236"/>
    <w:rsid w:val="00331D83"/>
    <w:rsid w:val="00332240"/>
    <w:rsid w:val="00332587"/>
    <w:rsid w:val="00332CA9"/>
    <w:rsid w:val="00332FC5"/>
    <w:rsid w:val="003334E4"/>
    <w:rsid w:val="0033350B"/>
    <w:rsid w:val="0033532A"/>
    <w:rsid w:val="00335685"/>
    <w:rsid w:val="00335D9A"/>
    <w:rsid w:val="003369C0"/>
    <w:rsid w:val="00336C42"/>
    <w:rsid w:val="00337CEE"/>
    <w:rsid w:val="00337F50"/>
    <w:rsid w:val="00340333"/>
    <w:rsid w:val="00341341"/>
    <w:rsid w:val="00341A7B"/>
    <w:rsid w:val="00341AB0"/>
    <w:rsid w:val="00341F93"/>
    <w:rsid w:val="0034225B"/>
    <w:rsid w:val="00342F4E"/>
    <w:rsid w:val="003438A6"/>
    <w:rsid w:val="00346898"/>
    <w:rsid w:val="003476BD"/>
    <w:rsid w:val="0035033C"/>
    <w:rsid w:val="00350C5F"/>
    <w:rsid w:val="003510D4"/>
    <w:rsid w:val="00351AD0"/>
    <w:rsid w:val="00351CCE"/>
    <w:rsid w:val="0035395A"/>
    <w:rsid w:val="00354470"/>
    <w:rsid w:val="00354685"/>
    <w:rsid w:val="00354FE6"/>
    <w:rsid w:val="0035510A"/>
    <w:rsid w:val="00355261"/>
    <w:rsid w:val="00355549"/>
    <w:rsid w:val="00355CCA"/>
    <w:rsid w:val="003562E1"/>
    <w:rsid w:val="003565F7"/>
    <w:rsid w:val="003569BB"/>
    <w:rsid w:val="00357B3D"/>
    <w:rsid w:val="00357E83"/>
    <w:rsid w:val="003604EF"/>
    <w:rsid w:val="003608AE"/>
    <w:rsid w:val="00360FF4"/>
    <w:rsid w:val="0036138B"/>
    <w:rsid w:val="00362312"/>
    <w:rsid w:val="00362443"/>
    <w:rsid w:val="00362EE8"/>
    <w:rsid w:val="003632DE"/>
    <w:rsid w:val="00363C4F"/>
    <w:rsid w:val="00364593"/>
    <w:rsid w:val="003654CC"/>
    <w:rsid w:val="00365AE0"/>
    <w:rsid w:val="0036674A"/>
    <w:rsid w:val="00366A97"/>
    <w:rsid w:val="00366C74"/>
    <w:rsid w:val="00366DC8"/>
    <w:rsid w:val="003672F3"/>
    <w:rsid w:val="00371466"/>
    <w:rsid w:val="003719B3"/>
    <w:rsid w:val="0037218D"/>
    <w:rsid w:val="00372D89"/>
    <w:rsid w:val="00373630"/>
    <w:rsid w:val="00373F57"/>
    <w:rsid w:val="0037419F"/>
    <w:rsid w:val="00374526"/>
    <w:rsid w:val="00374881"/>
    <w:rsid w:val="0037488E"/>
    <w:rsid w:val="00375088"/>
    <w:rsid w:val="003765D3"/>
    <w:rsid w:val="00376797"/>
    <w:rsid w:val="00380536"/>
    <w:rsid w:val="00380A50"/>
    <w:rsid w:val="00380F82"/>
    <w:rsid w:val="00381A87"/>
    <w:rsid w:val="00383402"/>
    <w:rsid w:val="00383953"/>
    <w:rsid w:val="00383BC2"/>
    <w:rsid w:val="00383EF6"/>
    <w:rsid w:val="0038407E"/>
    <w:rsid w:val="00384A60"/>
    <w:rsid w:val="00385BB1"/>
    <w:rsid w:val="00386637"/>
    <w:rsid w:val="0038687C"/>
    <w:rsid w:val="003869FF"/>
    <w:rsid w:val="00386E28"/>
    <w:rsid w:val="0038706B"/>
    <w:rsid w:val="003905C0"/>
    <w:rsid w:val="00390FC8"/>
    <w:rsid w:val="00391405"/>
    <w:rsid w:val="00391824"/>
    <w:rsid w:val="00391DA0"/>
    <w:rsid w:val="003922B6"/>
    <w:rsid w:val="00392672"/>
    <w:rsid w:val="00393B65"/>
    <w:rsid w:val="0039467B"/>
    <w:rsid w:val="0039557F"/>
    <w:rsid w:val="00396396"/>
    <w:rsid w:val="003963C7"/>
    <w:rsid w:val="00396649"/>
    <w:rsid w:val="00396EA9"/>
    <w:rsid w:val="003974EA"/>
    <w:rsid w:val="003976F5"/>
    <w:rsid w:val="00397898"/>
    <w:rsid w:val="00397BAA"/>
    <w:rsid w:val="003A05B8"/>
    <w:rsid w:val="003A074B"/>
    <w:rsid w:val="003A177F"/>
    <w:rsid w:val="003A1E60"/>
    <w:rsid w:val="003A202B"/>
    <w:rsid w:val="003A2058"/>
    <w:rsid w:val="003A2C09"/>
    <w:rsid w:val="003A2D44"/>
    <w:rsid w:val="003A3047"/>
    <w:rsid w:val="003A355B"/>
    <w:rsid w:val="003A393D"/>
    <w:rsid w:val="003A42DC"/>
    <w:rsid w:val="003A473C"/>
    <w:rsid w:val="003A47A9"/>
    <w:rsid w:val="003A5225"/>
    <w:rsid w:val="003A52DB"/>
    <w:rsid w:val="003A5C7E"/>
    <w:rsid w:val="003A5F15"/>
    <w:rsid w:val="003A6272"/>
    <w:rsid w:val="003A7592"/>
    <w:rsid w:val="003A759F"/>
    <w:rsid w:val="003A7656"/>
    <w:rsid w:val="003B079C"/>
    <w:rsid w:val="003B0B00"/>
    <w:rsid w:val="003B1915"/>
    <w:rsid w:val="003B1C95"/>
    <w:rsid w:val="003B1F81"/>
    <w:rsid w:val="003B24DD"/>
    <w:rsid w:val="003B5F4A"/>
    <w:rsid w:val="003B63E1"/>
    <w:rsid w:val="003B6B02"/>
    <w:rsid w:val="003C02B5"/>
    <w:rsid w:val="003C0EC9"/>
    <w:rsid w:val="003C17F4"/>
    <w:rsid w:val="003C25E7"/>
    <w:rsid w:val="003C2CAB"/>
    <w:rsid w:val="003C398E"/>
    <w:rsid w:val="003C479A"/>
    <w:rsid w:val="003C4C07"/>
    <w:rsid w:val="003C4DD0"/>
    <w:rsid w:val="003C4EAB"/>
    <w:rsid w:val="003C54A5"/>
    <w:rsid w:val="003C5A44"/>
    <w:rsid w:val="003C60B1"/>
    <w:rsid w:val="003C6352"/>
    <w:rsid w:val="003C6D92"/>
    <w:rsid w:val="003C6DC9"/>
    <w:rsid w:val="003C7025"/>
    <w:rsid w:val="003C789E"/>
    <w:rsid w:val="003D0F87"/>
    <w:rsid w:val="003D270E"/>
    <w:rsid w:val="003D2AD7"/>
    <w:rsid w:val="003D3705"/>
    <w:rsid w:val="003D37D8"/>
    <w:rsid w:val="003D4562"/>
    <w:rsid w:val="003D4920"/>
    <w:rsid w:val="003D49A2"/>
    <w:rsid w:val="003D4AC5"/>
    <w:rsid w:val="003D4CD9"/>
    <w:rsid w:val="003D4D3B"/>
    <w:rsid w:val="003D519C"/>
    <w:rsid w:val="003D55C3"/>
    <w:rsid w:val="003D6018"/>
    <w:rsid w:val="003D6738"/>
    <w:rsid w:val="003D749A"/>
    <w:rsid w:val="003D7CB2"/>
    <w:rsid w:val="003E14E8"/>
    <w:rsid w:val="003E1B7F"/>
    <w:rsid w:val="003E1C2B"/>
    <w:rsid w:val="003E343A"/>
    <w:rsid w:val="003E37CD"/>
    <w:rsid w:val="003E3AA5"/>
    <w:rsid w:val="003E3B6D"/>
    <w:rsid w:val="003E5349"/>
    <w:rsid w:val="003E56AA"/>
    <w:rsid w:val="003E5F06"/>
    <w:rsid w:val="003E6066"/>
    <w:rsid w:val="003E661B"/>
    <w:rsid w:val="003E6B48"/>
    <w:rsid w:val="003F0B67"/>
    <w:rsid w:val="003F0DC3"/>
    <w:rsid w:val="003F18B8"/>
    <w:rsid w:val="003F1A16"/>
    <w:rsid w:val="003F30C7"/>
    <w:rsid w:val="003F3632"/>
    <w:rsid w:val="003F568A"/>
    <w:rsid w:val="003F592E"/>
    <w:rsid w:val="003F68C2"/>
    <w:rsid w:val="003F6B7A"/>
    <w:rsid w:val="003F70BF"/>
    <w:rsid w:val="003F7335"/>
    <w:rsid w:val="004007FD"/>
    <w:rsid w:val="00401B05"/>
    <w:rsid w:val="00402F13"/>
    <w:rsid w:val="00402F88"/>
    <w:rsid w:val="004030A8"/>
    <w:rsid w:val="004043EC"/>
    <w:rsid w:val="00404C7B"/>
    <w:rsid w:val="0040501A"/>
    <w:rsid w:val="0040507C"/>
    <w:rsid w:val="00405376"/>
    <w:rsid w:val="00405E8F"/>
    <w:rsid w:val="00405F2B"/>
    <w:rsid w:val="00406302"/>
    <w:rsid w:val="00406405"/>
    <w:rsid w:val="0040654B"/>
    <w:rsid w:val="0040691F"/>
    <w:rsid w:val="00406F2B"/>
    <w:rsid w:val="00410D03"/>
    <w:rsid w:val="00410FEF"/>
    <w:rsid w:val="00411B9C"/>
    <w:rsid w:val="004127A2"/>
    <w:rsid w:val="00412940"/>
    <w:rsid w:val="00413C60"/>
    <w:rsid w:val="004146D8"/>
    <w:rsid w:val="004148A3"/>
    <w:rsid w:val="004148D9"/>
    <w:rsid w:val="00414B41"/>
    <w:rsid w:val="004158DD"/>
    <w:rsid w:val="00415AC5"/>
    <w:rsid w:val="00415DA2"/>
    <w:rsid w:val="00416CFA"/>
    <w:rsid w:val="00417869"/>
    <w:rsid w:val="00417CEA"/>
    <w:rsid w:val="00417DE4"/>
    <w:rsid w:val="0042038A"/>
    <w:rsid w:val="00420A31"/>
    <w:rsid w:val="00420ECC"/>
    <w:rsid w:val="00421619"/>
    <w:rsid w:val="00421824"/>
    <w:rsid w:val="00421B12"/>
    <w:rsid w:val="004223CB"/>
    <w:rsid w:val="004223ED"/>
    <w:rsid w:val="00422BD6"/>
    <w:rsid w:val="004238C7"/>
    <w:rsid w:val="0042404C"/>
    <w:rsid w:val="004244C0"/>
    <w:rsid w:val="00424746"/>
    <w:rsid w:val="004255A4"/>
    <w:rsid w:val="00425D35"/>
    <w:rsid w:val="00425F5C"/>
    <w:rsid w:val="00426133"/>
    <w:rsid w:val="00426739"/>
    <w:rsid w:val="00430CCC"/>
    <w:rsid w:val="00430FF1"/>
    <w:rsid w:val="004312A6"/>
    <w:rsid w:val="004319A5"/>
    <w:rsid w:val="00431F8B"/>
    <w:rsid w:val="004332C0"/>
    <w:rsid w:val="004332C7"/>
    <w:rsid w:val="00434957"/>
    <w:rsid w:val="004355C8"/>
    <w:rsid w:val="004358AB"/>
    <w:rsid w:val="00440300"/>
    <w:rsid w:val="00440C45"/>
    <w:rsid w:val="00440CA2"/>
    <w:rsid w:val="004416FD"/>
    <w:rsid w:val="004420A0"/>
    <w:rsid w:val="004421B8"/>
    <w:rsid w:val="00442AD5"/>
    <w:rsid w:val="0044424C"/>
    <w:rsid w:val="0044427E"/>
    <w:rsid w:val="0044445A"/>
    <w:rsid w:val="0044463C"/>
    <w:rsid w:val="00444C12"/>
    <w:rsid w:val="00444F32"/>
    <w:rsid w:val="00445602"/>
    <w:rsid w:val="00445CA9"/>
    <w:rsid w:val="004467C0"/>
    <w:rsid w:val="0044779C"/>
    <w:rsid w:val="00447E67"/>
    <w:rsid w:val="0045123A"/>
    <w:rsid w:val="00451C4D"/>
    <w:rsid w:val="004521E3"/>
    <w:rsid w:val="00452AAA"/>
    <w:rsid w:val="00453EF5"/>
    <w:rsid w:val="0045463E"/>
    <w:rsid w:val="00454641"/>
    <w:rsid w:val="004550FE"/>
    <w:rsid w:val="004552C2"/>
    <w:rsid w:val="004563B3"/>
    <w:rsid w:val="004563F2"/>
    <w:rsid w:val="00456E76"/>
    <w:rsid w:val="004577FE"/>
    <w:rsid w:val="0045784E"/>
    <w:rsid w:val="004579DC"/>
    <w:rsid w:val="00457E53"/>
    <w:rsid w:val="0046005F"/>
    <w:rsid w:val="00460670"/>
    <w:rsid w:val="00460F38"/>
    <w:rsid w:val="0046287B"/>
    <w:rsid w:val="00463C54"/>
    <w:rsid w:val="0046446C"/>
    <w:rsid w:val="00464510"/>
    <w:rsid w:val="00464FA6"/>
    <w:rsid w:val="00465F5F"/>
    <w:rsid w:val="00467615"/>
    <w:rsid w:val="00467B48"/>
    <w:rsid w:val="00467EEF"/>
    <w:rsid w:val="00470030"/>
    <w:rsid w:val="00470AC4"/>
    <w:rsid w:val="00470F47"/>
    <w:rsid w:val="00470F56"/>
    <w:rsid w:val="004712BB"/>
    <w:rsid w:val="00471385"/>
    <w:rsid w:val="004715F7"/>
    <w:rsid w:val="00471AA6"/>
    <w:rsid w:val="004721FC"/>
    <w:rsid w:val="004736E5"/>
    <w:rsid w:val="00473B51"/>
    <w:rsid w:val="00474576"/>
    <w:rsid w:val="004746E0"/>
    <w:rsid w:val="00475619"/>
    <w:rsid w:val="004759EC"/>
    <w:rsid w:val="00475D89"/>
    <w:rsid w:val="00476BA9"/>
    <w:rsid w:val="00477248"/>
    <w:rsid w:val="004773E6"/>
    <w:rsid w:val="00480645"/>
    <w:rsid w:val="00480A48"/>
    <w:rsid w:val="004811B1"/>
    <w:rsid w:val="00481574"/>
    <w:rsid w:val="00481733"/>
    <w:rsid w:val="00481841"/>
    <w:rsid w:val="00482D5D"/>
    <w:rsid w:val="004830A0"/>
    <w:rsid w:val="00483333"/>
    <w:rsid w:val="00483569"/>
    <w:rsid w:val="00483697"/>
    <w:rsid w:val="00483C13"/>
    <w:rsid w:val="00483CCB"/>
    <w:rsid w:val="0048404E"/>
    <w:rsid w:val="00485426"/>
    <w:rsid w:val="00485DB3"/>
    <w:rsid w:val="00487426"/>
    <w:rsid w:val="00487BE4"/>
    <w:rsid w:val="00490755"/>
    <w:rsid w:val="00490A88"/>
    <w:rsid w:val="00490AFB"/>
    <w:rsid w:val="00490CCF"/>
    <w:rsid w:val="00490E71"/>
    <w:rsid w:val="0049127F"/>
    <w:rsid w:val="0049159D"/>
    <w:rsid w:val="0049236C"/>
    <w:rsid w:val="004926B8"/>
    <w:rsid w:val="004934BF"/>
    <w:rsid w:val="00493FC2"/>
    <w:rsid w:val="004947E5"/>
    <w:rsid w:val="00494B3D"/>
    <w:rsid w:val="004951EA"/>
    <w:rsid w:val="0049551B"/>
    <w:rsid w:val="004955C9"/>
    <w:rsid w:val="0049565A"/>
    <w:rsid w:val="00495F4F"/>
    <w:rsid w:val="004966A1"/>
    <w:rsid w:val="00496A1A"/>
    <w:rsid w:val="00496F2C"/>
    <w:rsid w:val="004973A6"/>
    <w:rsid w:val="004A0AF1"/>
    <w:rsid w:val="004A1F95"/>
    <w:rsid w:val="004A2159"/>
    <w:rsid w:val="004A3FDE"/>
    <w:rsid w:val="004A4137"/>
    <w:rsid w:val="004A4858"/>
    <w:rsid w:val="004A4B71"/>
    <w:rsid w:val="004A4EF3"/>
    <w:rsid w:val="004A50A3"/>
    <w:rsid w:val="004A5181"/>
    <w:rsid w:val="004A64DA"/>
    <w:rsid w:val="004A726F"/>
    <w:rsid w:val="004B01C1"/>
    <w:rsid w:val="004B0B04"/>
    <w:rsid w:val="004B1A3C"/>
    <w:rsid w:val="004B1FE2"/>
    <w:rsid w:val="004B2E9F"/>
    <w:rsid w:val="004B2F67"/>
    <w:rsid w:val="004B3078"/>
    <w:rsid w:val="004B3B2C"/>
    <w:rsid w:val="004B6204"/>
    <w:rsid w:val="004B6288"/>
    <w:rsid w:val="004B650B"/>
    <w:rsid w:val="004B656B"/>
    <w:rsid w:val="004B751F"/>
    <w:rsid w:val="004B7929"/>
    <w:rsid w:val="004B7F2F"/>
    <w:rsid w:val="004C062F"/>
    <w:rsid w:val="004C20CC"/>
    <w:rsid w:val="004C2BEA"/>
    <w:rsid w:val="004C3027"/>
    <w:rsid w:val="004C370C"/>
    <w:rsid w:val="004C3CBD"/>
    <w:rsid w:val="004C4229"/>
    <w:rsid w:val="004C461B"/>
    <w:rsid w:val="004C4759"/>
    <w:rsid w:val="004C66A6"/>
    <w:rsid w:val="004C677D"/>
    <w:rsid w:val="004C72BF"/>
    <w:rsid w:val="004C7A2A"/>
    <w:rsid w:val="004D02DD"/>
    <w:rsid w:val="004D1F20"/>
    <w:rsid w:val="004D2ADE"/>
    <w:rsid w:val="004D6699"/>
    <w:rsid w:val="004D6CE9"/>
    <w:rsid w:val="004D6E06"/>
    <w:rsid w:val="004D73A5"/>
    <w:rsid w:val="004E018F"/>
    <w:rsid w:val="004E1118"/>
    <w:rsid w:val="004E1C58"/>
    <w:rsid w:val="004E1D74"/>
    <w:rsid w:val="004E1ECA"/>
    <w:rsid w:val="004E2ACE"/>
    <w:rsid w:val="004E2E38"/>
    <w:rsid w:val="004E3046"/>
    <w:rsid w:val="004E356C"/>
    <w:rsid w:val="004E3DC0"/>
    <w:rsid w:val="004E48B2"/>
    <w:rsid w:val="004E574E"/>
    <w:rsid w:val="004E5EA2"/>
    <w:rsid w:val="004E615D"/>
    <w:rsid w:val="004E6985"/>
    <w:rsid w:val="004E72A4"/>
    <w:rsid w:val="004E77C7"/>
    <w:rsid w:val="004E7B81"/>
    <w:rsid w:val="004E7DC0"/>
    <w:rsid w:val="004F0B75"/>
    <w:rsid w:val="004F110C"/>
    <w:rsid w:val="004F13D5"/>
    <w:rsid w:val="004F1D48"/>
    <w:rsid w:val="004F2042"/>
    <w:rsid w:val="004F2323"/>
    <w:rsid w:val="004F284C"/>
    <w:rsid w:val="004F6F1D"/>
    <w:rsid w:val="004F74A2"/>
    <w:rsid w:val="004F7909"/>
    <w:rsid w:val="004F7911"/>
    <w:rsid w:val="004F794C"/>
    <w:rsid w:val="004F7CC0"/>
    <w:rsid w:val="004F7E0A"/>
    <w:rsid w:val="00500436"/>
    <w:rsid w:val="00500634"/>
    <w:rsid w:val="005029F2"/>
    <w:rsid w:val="005038D0"/>
    <w:rsid w:val="00503E3A"/>
    <w:rsid w:val="00504CD3"/>
    <w:rsid w:val="00506A6A"/>
    <w:rsid w:val="00507DA7"/>
    <w:rsid w:val="00510960"/>
    <w:rsid w:val="00510BAA"/>
    <w:rsid w:val="00511EF6"/>
    <w:rsid w:val="005126A3"/>
    <w:rsid w:val="005126B5"/>
    <w:rsid w:val="005126FF"/>
    <w:rsid w:val="00512A4B"/>
    <w:rsid w:val="00513883"/>
    <w:rsid w:val="00514E25"/>
    <w:rsid w:val="00514F6B"/>
    <w:rsid w:val="0051556A"/>
    <w:rsid w:val="005158EC"/>
    <w:rsid w:val="00515B54"/>
    <w:rsid w:val="00517897"/>
    <w:rsid w:val="00520132"/>
    <w:rsid w:val="005204AC"/>
    <w:rsid w:val="005218A1"/>
    <w:rsid w:val="00521B88"/>
    <w:rsid w:val="00521D38"/>
    <w:rsid w:val="005221FE"/>
    <w:rsid w:val="00522A7D"/>
    <w:rsid w:val="00522E95"/>
    <w:rsid w:val="00523867"/>
    <w:rsid w:val="005238E2"/>
    <w:rsid w:val="00524C7B"/>
    <w:rsid w:val="00525965"/>
    <w:rsid w:val="00525A98"/>
    <w:rsid w:val="00526384"/>
    <w:rsid w:val="00526B35"/>
    <w:rsid w:val="00526CAA"/>
    <w:rsid w:val="00526F85"/>
    <w:rsid w:val="0052748C"/>
    <w:rsid w:val="005304F9"/>
    <w:rsid w:val="00530D7D"/>
    <w:rsid w:val="00530ED3"/>
    <w:rsid w:val="00531A72"/>
    <w:rsid w:val="00531D00"/>
    <w:rsid w:val="0053215D"/>
    <w:rsid w:val="00532710"/>
    <w:rsid w:val="0053287C"/>
    <w:rsid w:val="00533367"/>
    <w:rsid w:val="0053381C"/>
    <w:rsid w:val="00533F43"/>
    <w:rsid w:val="00535717"/>
    <w:rsid w:val="00535D0A"/>
    <w:rsid w:val="00535F23"/>
    <w:rsid w:val="00535FDB"/>
    <w:rsid w:val="0053611C"/>
    <w:rsid w:val="0053625F"/>
    <w:rsid w:val="00536733"/>
    <w:rsid w:val="00536957"/>
    <w:rsid w:val="00540441"/>
    <w:rsid w:val="005418F3"/>
    <w:rsid w:val="005422F8"/>
    <w:rsid w:val="00542887"/>
    <w:rsid w:val="00542BA7"/>
    <w:rsid w:val="005430B6"/>
    <w:rsid w:val="00543150"/>
    <w:rsid w:val="0054343D"/>
    <w:rsid w:val="005440A4"/>
    <w:rsid w:val="00545019"/>
    <w:rsid w:val="00546F76"/>
    <w:rsid w:val="0054783D"/>
    <w:rsid w:val="00547A77"/>
    <w:rsid w:val="00550810"/>
    <w:rsid w:val="00550D24"/>
    <w:rsid w:val="0055156E"/>
    <w:rsid w:val="00551AEF"/>
    <w:rsid w:val="0055220A"/>
    <w:rsid w:val="005522C5"/>
    <w:rsid w:val="005526C7"/>
    <w:rsid w:val="005538C2"/>
    <w:rsid w:val="00553F86"/>
    <w:rsid w:val="00554970"/>
    <w:rsid w:val="00554DEE"/>
    <w:rsid w:val="00554FF3"/>
    <w:rsid w:val="00555147"/>
    <w:rsid w:val="005555F7"/>
    <w:rsid w:val="00555C38"/>
    <w:rsid w:val="00555D08"/>
    <w:rsid w:val="005560BE"/>
    <w:rsid w:val="005560E3"/>
    <w:rsid w:val="00556D24"/>
    <w:rsid w:val="00556E40"/>
    <w:rsid w:val="00557D28"/>
    <w:rsid w:val="00560328"/>
    <w:rsid w:val="00560856"/>
    <w:rsid w:val="00561645"/>
    <w:rsid w:val="00561946"/>
    <w:rsid w:val="00562347"/>
    <w:rsid w:val="005626CE"/>
    <w:rsid w:val="0056396C"/>
    <w:rsid w:val="00563CBD"/>
    <w:rsid w:val="00564362"/>
    <w:rsid w:val="00564CA5"/>
    <w:rsid w:val="00565D5F"/>
    <w:rsid w:val="00566073"/>
    <w:rsid w:val="00566ABA"/>
    <w:rsid w:val="00567813"/>
    <w:rsid w:val="00567C0D"/>
    <w:rsid w:val="0057064F"/>
    <w:rsid w:val="00570EBA"/>
    <w:rsid w:val="0057111D"/>
    <w:rsid w:val="00571F34"/>
    <w:rsid w:val="0057238B"/>
    <w:rsid w:val="005724A3"/>
    <w:rsid w:val="005724C1"/>
    <w:rsid w:val="005733DB"/>
    <w:rsid w:val="005733F0"/>
    <w:rsid w:val="0057378E"/>
    <w:rsid w:val="005737D7"/>
    <w:rsid w:val="00573F08"/>
    <w:rsid w:val="005741CA"/>
    <w:rsid w:val="0057437D"/>
    <w:rsid w:val="00574483"/>
    <w:rsid w:val="00574BE4"/>
    <w:rsid w:val="0057793A"/>
    <w:rsid w:val="00580271"/>
    <w:rsid w:val="00580665"/>
    <w:rsid w:val="00580DB2"/>
    <w:rsid w:val="00581A49"/>
    <w:rsid w:val="00581C39"/>
    <w:rsid w:val="00581FFF"/>
    <w:rsid w:val="005822EB"/>
    <w:rsid w:val="005824B7"/>
    <w:rsid w:val="00583E5F"/>
    <w:rsid w:val="0058442F"/>
    <w:rsid w:val="0058449D"/>
    <w:rsid w:val="0058461D"/>
    <w:rsid w:val="005849D5"/>
    <w:rsid w:val="00584CFD"/>
    <w:rsid w:val="00584E46"/>
    <w:rsid w:val="00584F50"/>
    <w:rsid w:val="00585FB0"/>
    <w:rsid w:val="005862D3"/>
    <w:rsid w:val="00586516"/>
    <w:rsid w:val="005865CD"/>
    <w:rsid w:val="00586A4F"/>
    <w:rsid w:val="0058783D"/>
    <w:rsid w:val="00590205"/>
    <w:rsid w:val="00590282"/>
    <w:rsid w:val="00590BDE"/>
    <w:rsid w:val="00592079"/>
    <w:rsid w:val="00592121"/>
    <w:rsid w:val="00594BC0"/>
    <w:rsid w:val="005953DA"/>
    <w:rsid w:val="005953F6"/>
    <w:rsid w:val="005957AB"/>
    <w:rsid w:val="0059595C"/>
    <w:rsid w:val="00596161"/>
    <w:rsid w:val="00597F54"/>
    <w:rsid w:val="005A12AE"/>
    <w:rsid w:val="005A1944"/>
    <w:rsid w:val="005A1C60"/>
    <w:rsid w:val="005A1DCA"/>
    <w:rsid w:val="005A242F"/>
    <w:rsid w:val="005A24A1"/>
    <w:rsid w:val="005A2CEF"/>
    <w:rsid w:val="005A3D40"/>
    <w:rsid w:val="005A474E"/>
    <w:rsid w:val="005A5084"/>
    <w:rsid w:val="005A52F8"/>
    <w:rsid w:val="005A54E7"/>
    <w:rsid w:val="005A58A1"/>
    <w:rsid w:val="005A5D90"/>
    <w:rsid w:val="005A66A3"/>
    <w:rsid w:val="005A74F6"/>
    <w:rsid w:val="005A784D"/>
    <w:rsid w:val="005A7D3F"/>
    <w:rsid w:val="005B0717"/>
    <w:rsid w:val="005B07C0"/>
    <w:rsid w:val="005B0808"/>
    <w:rsid w:val="005B0BF0"/>
    <w:rsid w:val="005B1C2D"/>
    <w:rsid w:val="005B3A6C"/>
    <w:rsid w:val="005B3F5A"/>
    <w:rsid w:val="005B48E7"/>
    <w:rsid w:val="005B4EBA"/>
    <w:rsid w:val="005B5924"/>
    <w:rsid w:val="005B5F8F"/>
    <w:rsid w:val="005B6651"/>
    <w:rsid w:val="005B67C7"/>
    <w:rsid w:val="005B7CB8"/>
    <w:rsid w:val="005B7D17"/>
    <w:rsid w:val="005C0180"/>
    <w:rsid w:val="005C0996"/>
    <w:rsid w:val="005C0B1C"/>
    <w:rsid w:val="005C1C50"/>
    <w:rsid w:val="005C246C"/>
    <w:rsid w:val="005C28D7"/>
    <w:rsid w:val="005C2D37"/>
    <w:rsid w:val="005C3199"/>
    <w:rsid w:val="005C4B4E"/>
    <w:rsid w:val="005C4E57"/>
    <w:rsid w:val="005C55F7"/>
    <w:rsid w:val="005C5B54"/>
    <w:rsid w:val="005C6B0D"/>
    <w:rsid w:val="005C7510"/>
    <w:rsid w:val="005D0031"/>
    <w:rsid w:val="005D05C3"/>
    <w:rsid w:val="005D082E"/>
    <w:rsid w:val="005D0EEC"/>
    <w:rsid w:val="005D1A95"/>
    <w:rsid w:val="005D204E"/>
    <w:rsid w:val="005D27B6"/>
    <w:rsid w:val="005D2D5E"/>
    <w:rsid w:val="005D371E"/>
    <w:rsid w:val="005D3CC9"/>
    <w:rsid w:val="005D46D0"/>
    <w:rsid w:val="005D57AE"/>
    <w:rsid w:val="005D5CD1"/>
    <w:rsid w:val="005D6107"/>
    <w:rsid w:val="005D61E5"/>
    <w:rsid w:val="005D6352"/>
    <w:rsid w:val="005D664D"/>
    <w:rsid w:val="005D6AE2"/>
    <w:rsid w:val="005D7098"/>
    <w:rsid w:val="005D70EF"/>
    <w:rsid w:val="005E0A38"/>
    <w:rsid w:val="005E0B95"/>
    <w:rsid w:val="005E0E3C"/>
    <w:rsid w:val="005E2043"/>
    <w:rsid w:val="005E2619"/>
    <w:rsid w:val="005E275F"/>
    <w:rsid w:val="005E2D55"/>
    <w:rsid w:val="005E4598"/>
    <w:rsid w:val="005E6700"/>
    <w:rsid w:val="005E6A82"/>
    <w:rsid w:val="005E6FCB"/>
    <w:rsid w:val="005E7145"/>
    <w:rsid w:val="005E7319"/>
    <w:rsid w:val="005E7391"/>
    <w:rsid w:val="005E7611"/>
    <w:rsid w:val="005E763F"/>
    <w:rsid w:val="005E7C2B"/>
    <w:rsid w:val="005F1A59"/>
    <w:rsid w:val="005F22E9"/>
    <w:rsid w:val="005F4481"/>
    <w:rsid w:val="005F5460"/>
    <w:rsid w:val="005F5488"/>
    <w:rsid w:val="005F5ACA"/>
    <w:rsid w:val="005F5C04"/>
    <w:rsid w:val="005F5DD1"/>
    <w:rsid w:val="005F5EA2"/>
    <w:rsid w:val="005F6A3F"/>
    <w:rsid w:val="005F7596"/>
    <w:rsid w:val="005F7959"/>
    <w:rsid w:val="00601A2C"/>
    <w:rsid w:val="00602500"/>
    <w:rsid w:val="00602504"/>
    <w:rsid w:val="00602B8C"/>
    <w:rsid w:val="00602EE8"/>
    <w:rsid w:val="00603E78"/>
    <w:rsid w:val="006045C2"/>
    <w:rsid w:val="00604765"/>
    <w:rsid w:val="00604F86"/>
    <w:rsid w:val="00605615"/>
    <w:rsid w:val="00607609"/>
    <w:rsid w:val="00607FC8"/>
    <w:rsid w:val="00610906"/>
    <w:rsid w:val="00610D2D"/>
    <w:rsid w:val="00610EAC"/>
    <w:rsid w:val="006110BA"/>
    <w:rsid w:val="00611F9A"/>
    <w:rsid w:val="00612460"/>
    <w:rsid w:val="00612875"/>
    <w:rsid w:val="00612A21"/>
    <w:rsid w:val="00613269"/>
    <w:rsid w:val="00613566"/>
    <w:rsid w:val="00613760"/>
    <w:rsid w:val="00613CA6"/>
    <w:rsid w:val="00614228"/>
    <w:rsid w:val="006153FC"/>
    <w:rsid w:val="006155F6"/>
    <w:rsid w:val="0061577F"/>
    <w:rsid w:val="006159F6"/>
    <w:rsid w:val="0061600B"/>
    <w:rsid w:val="006164D2"/>
    <w:rsid w:val="00616A71"/>
    <w:rsid w:val="00616FE0"/>
    <w:rsid w:val="006172A4"/>
    <w:rsid w:val="00617388"/>
    <w:rsid w:val="00617461"/>
    <w:rsid w:val="00617864"/>
    <w:rsid w:val="006207B1"/>
    <w:rsid w:val="0062112B"/>
    <w:rsid w:val="00621152"/>
    <w:rsid w:val="00621584"/>
    <w:rsid w:val="0062174C"/>
    <w:rsid w:val="00621AD9"/>
    <w:rsid w:val="00623048"/>
    <w:rsid w:val="00623B89"/>
    <w:rsid w:val="00624AE3"/>
    <w:rsid w:val="00624BE3"/>
    <w:rsid w:val="006264D0"/>
    <w:rsid w:val="006270BF"/>
    <w:rsid w:val="006270F6"/>
    <w:rsid w:val="00627450"/>
    <w:rsid w:val="00627BDA"/>
    <w:rsid w:val="00630D0B"/>
    <w:rsid w:val="00631EFF"/>
    <w:rsid w:val="00634427"/>
    <w:rsid w:val="006345F1"/>
    <w:rsid w:val="00634626"/>
    <w:rsid w:val="00634C86"/>
    <w:rsid w:val="00634EF3"/>
    <w:rsid w:val="00635A2E"/>
    <w:rsid w:val="00635AA7"/>
    <w:rsid w:val="00635BFA"/>
    <w:rsid w:val="00635CF5"/>
    <w:rsid w:val="00636357"/>
    <w:rsid w:val="00636960"/>
    <w:rsid w:val="00637340"/>
    <w:rsid w:val="00637EFA"/>
    <w:rsid w:val="00640881"/>
    <w:rsid w:val="006409CA"/>
    <w:rsid w:val="006431E2"/>
    <w:rsid w:val="00643212"/>
    <w:rsid w:val="006440A9"/>
    <w:rsid w:val="006443A3"/>
    <w:rsid w:val="00644C5D"/>
    <w:rsid w:val="00644D3B"/>
    <w:rsid w:val="0064650C"/>
    <w:rsid w:val="006473F5"/>
    <w:rsid w:val="0064747C"/>
    <w:rsid w:val="006478BE"/>
    <w:rsid w:val="00647AFB"/>
    <w:rsid w:val="00647E28"/>
    <w:rsid w:val="00647FCD"/>
    <w:rsid w:val="0065017B"/>
    <w:rsid w:val="00650C97"/>
    <w:rsid w:val="00651770"/>
    <w:rsid w:val="00651871"/>
    <w:rsid w:val="00651C43"/>
    <w:rsid w:val="00651E38"/>
    <w:rsid w:val="00652A32"/>
    <w:rsid w:val="006534ED"/>
    <w:rsid w:val="00653864"/>
    <w:rsid w:val="006544AA"/>
    <w:rsid w:val="006545AB"/>
    <w:rsid w:val="0065461F"/>
    <w:rsid w:val="00654C5C"/>
    <w:rsid w:val="00656605"/>
    <w:rsid w:val="006601C0"/>
    <w:rsid w:val="00660A40"/>
    <w:rsid w:val="00661050"/>
    <w:rsid w:val="0066112F"/>
    <w:rsid w:val="006611A8"/>
    <w:rsid w:val="00661F55"/>
    <w:rsid w:val="006621B5"/>
    <w:rsid w:val="006640D0"/>
    <w:rsid w:val="00664149"/>
    <w:rsid w:val="00664C7C"/>
    <w:rsid w:val="00664DB3"/>
    <w:rsid w:val="006657FE"/>
    <w:rsid w:val="00666483"/>
    <w:rsid w:val="00666AC3"/>
    <w:rsid w:val="00667DDE"/>
    <w:rsid w:val="00670631"/>
    <w:rsid w:val="00670730"/>
    <w:rsid w:val="00670A12"/>
    <w:rsid w:val="00671334"/>
    <w:rsid w:val="00671494"/>
    <w:rsid w:val="00672ADA"/>
    <w:rsid w:val="00672AF7"/>
    <w:rsid w:val="006749A1"/>
    <w:rsid w:val="0067519E"/>
    <w:rsid w:val="00675EF2"/>
    <w:rsid w:val="006802A7"/>
    <w:rsid w:val="0068040E"/>
    <w:rsid w:val="006810F5"/>
    <w:rsid w:val="00681461"/>
    <w:rsid w:val="00681520"/>
    <w:rsid w:val="006815B8"/>
    <w:rsid w:val="006819E4"/>
    <w:rsid w:val="00681EAD"/>
    <w:rsid w:val="0068200F"/>
    <w:rsid w:val="00682DF4"/>
    <w:rsid w:val="00683973"/>
    <w:rsid w:val="00683AE1"/>
    <w:rsid w:val="00683C2D"/>
    <w:rsid w:val="00684006"/>
    <w:rsid w:val="006843C0"/>
    <w:rsid w:val="00685F5B"/>
    <w:rsid w:val="00686C01"/>
    <w:rsid w:val="006873E4"/>
    <w:rsid w:val="00687C97"/>
    <w:rsid w:val="00690175"/>
    <w:rsid w:val="0069071C"/>
    <w:rsid w:val="006918EE"/>
    <w:rsid w:val="00691F18"/>
    <w:rsid w:val="00692ACD"/>
    <w:rsid w:val="00692BBF"/>
    <w:rsid w:val="00693CC6"/>
    <w:rsid w:val="006940DD"/>
    <w:rsid w:val="006946CC"/>
    <w:rsid w:val="0069482F"/>
    <w:rsid w:val="0069520D"/>
    <w:rsid w:val="00695676"/>
    <w:rsid w:val="006959EC"/>
    <w:rsid w:val="00696AA2"/>
    <w:rsid w:val="006973F2"/>
    <w:rsid w:val="006975DA"/>
    <w:rsid w:val="00697828"/>
    <w:rsid w:val="00697968"/>
    <w:rsid w:val="00697C6E"/>
    <w:rsid w:val="00697C8B"/>
    <w:rsid w:val="00697CC4"/>
    <w:rsid w:val="006A0D5D"/>
    <w:rsid w:val="006A140D"/>
    <w:rsid w:val="006A2580"/>
    <w:rsid w:val="006A2834"/>
    <w:rsid w:val="006A2F18"/>
    <w:rsid w:val="006A6B9D"/>
    <w:rsid w:val="006A6FDF"/>
    <w:rsid w:val="006A7091"/>
    <w:rsid w:val="006A728F"/>
    <w:rsid w:val="006A7AA1"/>
    <w:rsid w:val="006A7CD6"/>
    <w:rsid w:val="006B081E"/>
    <w:rsid w:val="006B0855"/>
    <w:rsid w:val="006B0FAF"/>
    <w:rsid w:val="006B13FE"/>
    <w:rsid w:val="006B1577"/>
    <w:rsid w:val="006B17CC"/>
    <w:rsid w:val="006B33AD"/>
    <w:rsid w:val="006B3491"/>
    <w:rsid w:val="006B3738"/>
    <w:rsid w:val="006B38EC"/>
    <w:rsid w:val="006B3DF9"/>
    <w:rsid w:val="006B42D6"/>
    <w:rsid w:val="006B43AB"/>
    <w:rsid w:val="006B50F5"/>
    <w:rsid w:val="006B5380"/>
    <w:rsid w:val="006B5400"/>
    <w:rsid w:val="006B63AD"/>
    <w:rsid w:val="006B702C"/>
    <w:rsid w:val="006B7156"/>
    <w:rsid w:val="006B7764"/>
    <w:rsid w:val="006B7E9D"/>
    <w:rsid w:val="006C0007"/>
    <w:rsid w:val="006C0880"/>
    <w:rsid w:val="006C15BA"/>
    <w:rsid w:val="006C1AA9"/>
    <w:rsid w:val="006C1DBE"/>
    <w:rsid w:val="006C202C"/>
    <w:rsid w:val="006C3061"/>
    <w:rsid w:val="006C3259"/>
    <w:rsid w:val="006C3B29"/>
    <w:rsid w:val="006C3D8A"/>
    <w:rsid w:val="006C4CF6"/>
    <w:rsid w:val="006C4F8A"/>
    <w:rsid w:val="006C505E"/>
    <w:rsid w:val="006C5145"/>
    <w:rsid w:val="006C5DF3"/>
    <w:rsid w:val="006C69BA"/>
    <w:rsid w:val="006C6BE5"/>
    <w:rsid w:val="006C753C"/>
    <w:rsid w:val="006C76D7"/>
    <w:rsid w:val="006D05AF"/>
    <w:rsid w:val="006D0EF1"/>
    <w:rsid w:val="006D10D5"/>
    <w:rsid w:val="006D13F1"/>
    <w:rsid w:val="006D16B1"/>
    <w:rsid w:val="006D1949"/>
    <w:rsid w:val="006D19DA"/>
    <w:rsid w:val="006D1E7F"/>
    <w:rsid w:val="006D1FF5"/>
    <w:rsid w:val="006D22C5"/>
    <w:rsid w:val="006D2AEE"/>
    <w:rsid w:val="006D2D56"/>
    <w:rsid w:val="006D3810"/>
    <w:rsid w:val="006D4B03"/>
    <w:rsid w:val="006D4C91"/>
    <w:rsid w:val="006D50DB"/>
    <w:rsid w:val="006D5A4D"/>
    <w:rsid w:val="006D5CC0"/>
    <w:rsid w:val="006D6CC0"/>
    <w:rsid w:val="006D6E38"/>
    <w:rsid w:val="006D7BDA"/>
    <w:rsid w:val="006E0016"/>
    <w:rsid w:val="006E01EA"/>
    <w:rsid w:val="006E0EB7"/>
    <w:rsid w:val="006E1333"/>
    <w:rsid w:val="006E1B7D"/>
    <w:rsid w:val="006E1E11"/>
    <w:rsid w:val="006E1FF2"/>
    <w:rsid w:val="006E2998"/>
    <w:rsid w:val="006E3162"/>
    <w:rsid w:val="006E3E66"/>
    <w:rsid w:val="006E402E"/>
    <w:rsid w:val="006E42A1"/>
    <w:rsid w:val="006E4878"/>
    <w:rsid w:val="006E4FCD"/>
    <w:rsid w:val="006E5006"/>
    <w:rsid w:val="006E539E"/>
    <w:rsid w:val="006E6C3F"/>
    <w:rsid w:val="006E6D8C"/>
    <w:rsid w:val="006E728A"/>
    <w:rsid w:val="006E7F28"/>
    <w:rsid w:val="006F0069"/>
    <w:rsid w:val="006F0CA4"/>
    <w:rsid w:val="006F11EE"/>
    <w:rsid w:val="006F14FA"/>
    <w:rsid w:val="006F156C"/>
    <w:rsid w:val="006F2940"/>
    <w:rsid w:val="006F3151"/>
    <w:rsid w:val="006F4A49"/>
    <w:rsid w:val="006F4F8B"/>
    <w:rsid w:val="006F5605"/>
    <w:rsid w:val="006F5927"/>
    <w:rsid w:val="006F756A"/>
    <w:rsid w:val="006F7630"/>
    <w:rsid w:val="006F79CE"/>
    <w:rsid w:val="007002E1"/>
    <w:rsid w:val="00700FAD"/>
    <w:rsid w:val="00701CD0"/>
    <w:rsid w:val="00703246"/>
    <w:rsid w:val="007039A7"/>
    <w:rsid w:val="00703C2D"/>
    <w:rsid w:val="00703CB4"/>
    <w:rsid w:val="007042BE"/>
    <w:rsid w:val="00704D83"/>
    <w:rsid w:val="00705697"/>
    <w:rsid w:val="00706C4F"/>
    <w:rsid w:val="007072AF"/>
    <w:rsid w:val="00710151"/>
    <w:rsid w:val="00710776"/>
    <w:rsid w:val="00710D4A"/>
    <w:rsid w:val="0071194D"/>
    <w:rsid w:val="00711E5F"/>
    <w:rsid w:val="00712EA9"/>
    <w:rsid w:val="00712EB6"/>
    <w:rsid w:val="0071334F"/>
    <w:rsid w:val="00713EAB"/>
    <w:rsid w:val="00714123"/>
    <w:rsid w:val="007145C6"/>
    <w:rsid w:val="007148AA"/>
    <w:rsid w:val="007148EA"/>
    <w:rsid w:val="00714C88"/>
    <w:rsid w:val="00714FFE"/>
    <w:rsid w:val="00715C9A"/>
    <w:rsid w:val="00715D17"/>
    <w:rsid w:val="00715DB4"/>
    <w:rsid w:val="00717DBF"/>
    <w:rsid w:val="00720004"/>
    <w:rsid w:val="00720AA6"/>
    <w:rsid w:val="007211E8"/>
    <w:rsid w:val="00721582"/>
    <w:rsid w:val="00722613"/>
    <w:rsid w:val="007232D5"/>
    <w:rsid w:val="00723DB7"/>
    <w:rsid w:val="00723F44"/>
    <w:rsid w:val="00723F60"/>
    <w:rsid w:val="00724830"/>
    <w:rsid w:val="00724EAD"/>
    <w:rsid w:val="00725167"/>
    <w:rsid w:val="007254CC"/>
    <w:rsid w:val="007267D9"/>
    <w:rsid w:val="00727058"/>
    <w:rsid w:val="00730DAB"/>
    <w:rsid w:val="0073119D"/>
    <w:rsid w:val="0073150D"/>
    <w:rsid w:val="007315CF"/>
    <w:rsid w:val="007317FE"/>
    <w:rsid w:val="00732D48"/>
    <w:rsid w:val="00732F78"/>
    <w:rsid w:val="00733299"/>
    <w:rsid w:val="00733AF7"/>
    <w:rsid w:val="00734252"/>
    <w:rsid w:val="00734508"/>
    <w:rsid w:val="00734FDD"/>
    <w:rsid w:val="007355BF"/>
    <w:rsid w:val="007363C7"/>
    <w:rsid w:val="007369AE"/>
    <w:rsid w:val="00736E60"/>
    <w:rsid w:val="00737B9A"/>
    <w:rsid w:val="00740001"/>
    <w:rsid w:val="007400DC"/>
    <w:rsid w:val="0074138E"/>
    <w:rsid w:val="007415F7"/>
    <w:rsid w:val="00741FA5"/>
    <w:rsid w:val="0074213B"/>
    <w:rsid w:val="00742459"/>
    <w:rsid w:val="007431D8"/>
    <w:rsid w:val="00743533"/>
    <w:rsid w:val="00743C9D"/>
    <w:rsid w:val="00744106"/>
    <w:rsid w:val="0074432B"/>
    <w:rsid w:val="00745F4A"/>
    <w:rsid w:val="00747287"/>
    <w:rsid w:val="007473E9"/>
    <w:rsid w:val="007477AB"/>
    <w:rsid w:val="007501A6"/>
    <w:rsid w:val="00750546"/>
    <w:rsid w:val="00750E5A"/>
    <w:rsid w:val="00750F5B"/>
    <w:rsid w:val="00751675"/>
    <w:rsid w:val="00752B36"/>
    <w:rsid w:val="00752DEE"/>
    <w:rsid w:val="00753DA1"/>
    <w:rsid w:val="00753DD1"/>
    <w:rsid w:val="00753FED"/>
    <w:rsid w:val="00754131"/>
    <w:rsid w:val="007542A0"/>
    <w:rsid w:val="007566F2"/>
    <w:rsid w:val="007575E8"/>
    <w:rsid w:val="00757F3E"/>
    <w:rsid w:val="00760277"/>
    <w:rsid w:val="00760396"/>
    <w:rsid w:val="0076058B"/>
    <w:rsid w:val="0076177F"/>
    <w:rsid w:val="00761EBC"/>
    <w:rsid w:val="007627C0"/>
    <w:rsid w:val="00762F4F"/>
    <w:rsid w:val="007636CC"/>
    <w:rsid w:val="00763814"/>
    <w:rsid w:val="00763CD1"/>
    <w:rsid w:val="00763D9E"/>
    <w:rsid w:val="00764269"/>
    <w:rsid w:val="00764316"/>
    <w:rsid w:val="007645C0"/>
    <w:rsid w:val="00764A1D"/>
    <w:rsid w:val="00765C5C"/>
    <w:rsid w:val="0076712D"/>
    <w:rsid w:val="007701FB"/>
    <w:rsid w:val="00770EBA"/>
    <w:rsid w:val="00772970"/>
    <w:rsid w:val="00772A2E"/>
    <w:rsid w:val="00772C2B"/>
    <w:rsid w:val="00773632"/>
    <w:rsid w:val="0077387B"/>
    <w:rsid w:val="00773ACA"/>
    <w:rsid w:val="00774CBB"/>
    <w:rsid w:val="0077507D"/>
    <w:rsid w:val="0077679B"/>
    <w:rsid w:val="00776BBD"/>
    <w:rsid w:val="00776F1E"/>
    <w:rsid w:val="00777914"/>
    <w:rsid w:val="00780568"/>
    <w:rsid w:val="007806E0"/>
    <w:rsid w:val="00780728"/>
    <w:rsid w:val="00780E1B"/>
    <w:rsid w:val="00780FEC"/>
    <w:rsid w:val="00781AA0"/>
    <w:rsid w:val="0078210D"/>
    <w:rsid w:val="00782258"/>
    <w:rsid w:val="00782310"/>
    <w:rsid w:val="007823FA"/>
    <w:rsid w:val="007824AC"/>
    <w:rsid w:val="00782502"/>
    <w:rsid w:val="00782AEC"/>
    <w:rsid w:val="00783387"/>
    <w:rsid w:val="0078353D"/>
    <w:rsid w:val="00783581"/>
    <w:rsid w:val="007843F2"/>
    <w:rsid w:val="00784DC2"/>
    <w:rsid w:val="0078524F"/>
    <w:rsid w:val="0078568F"/>
    <w:rsid w:val="0078579C"/>
    <w:rsid w:val="007870C2"/>
    <w:rsid w:val="00787276"/>
    <w:rsid w:val="007875BB"/>
    <w:rsid w:val="00787AC8"/>
    <w:rsid w:val="0079058D"/>
    <w:rsid w:val="007905B4"/>
    <w:rsid w:val="007906D0"/>
    <w:rsid w:val="00790CAD"/>
    <w:rsid w:val="00790EB2"/>
    <w:rsid w:val="007924DF"/>
    <w:rsid w:val="00792C85"/>
    <w:rsid w:val="0079305C"/>
    <w:rsid w:val="007932E7"/>
    <w:rsid w:val="00793A3F"/>
    <w:rsid w:val="00793DBC"/>
    <w:rsid w:val="00794661"/>
    <w:rsid w:val="0079498F"/>
    <w:rsid w:val="00794B54"/>
    <w:rsid w:val="00794BC4"/>
    <w:rsid w:val="00794EA9"/>
    <w:rsid w:val="00795DB9"/>
    <w:rsid w:val="0079720A"/>
    <w:rsid w:val="007978E8"/>
    <w:rsid w:val="00797C92"/>
    <w:rsid w:val="00797DAB"/>
    <w:rsid w:val="007A0EAD"/>
    <w:rsid w:val="007A1791"/>
    <w:rsid w:val="007A1934"/>
    <w:rsid w:val="007A30EA"/>
    <w:rsid w:val="007A3285"/>
    <w:rsid w:val="007A3905"/>
    <w:rsid w:val="007A3F29"/>
    <w:rsid w:val="007A4535"/>
    <w:rsid w:val="007A4BB8"/>
    <w:rsid w:val="007A51E9"/>
    <w:rsid w:val="007A7587"/>
    <w:rsid w:val="007B0B9E"/>
    <w:rsid w:val="007B0FF4"/>
    <w:rsid w:val="007B153C"/>
    <w:rsid w:val="007B15F5"/>
    <w:rsid w:val="007B1D4E"/>
    <w:rsid w:val="007B23A4"/>
    <w:rsid w:val="007B2BCE"/>
    <w:rsid w:val="007B2F8C"/>
    <w:rsid w:val="007B357C"/>
    <w:rsid w:val="007B3984"/>
    <w:rsid w:val="007B5AA2"/>
    <w:rsid w:val="007B5CF6"/>
    <w:rsid w:val="007B5F3E"/>
    <w:rsid w:val="007B664E"/>
    <w:rsid w:val="007B66A7"/>
    <w:rsid w:val="007B6C09"/>
    <w:rsid w:val="007B7985"/>
    <w:rsid w:val="007B7B31"/>
    <w:rsid w:val="007C0246"/>
    <w:rsid w:val="007C0C00"/>
    <w:rsid w:val="007C0C5F"/>
    <w:rsid w:val="007C0F9A"/>
    <w:rsid w:val="007C1EA8"/>
    <w:rsid w:val="007C2831"/>
    <w:rsid w:val="007C2ADE"/>
    <w:rsid w:val="007C2C86"/>
    <w:rsid w:val="007C30EE"/>
    <w:rsid w:val="007C3AC4"/>
    <w:rsid w:val="007C3F2C"/>
    <w:rsid w:val="007C48C3"/>
    <w:rsid w:val="007C4BC2"/>
    <w:rsid w:val="007C6323"/>
    <w:rsid w:val="007C693F"/>
    <w:rsid w:val="007C6E0C"/>
    <w:rsid w:val="007C73C4"/>
    <w:rsid w:val="007C79CB"/>
    <w:rsid w:val="007C7E93"/>
    <w:rsid w:val="007C7E9D"/>
    <w:rsid w:val="007C7F4F"/>
    <w:rsid w:val="007D20AD"/>
    <w:rsid w:val="007D22AD"/>
    <w:rsid w:val="007D22F3"/>
    <w:rsid w:val="007D2A1C"/>
    <w:rsid w:val="007D357D"/>
    <w:rsid w:val="007D3CC9"/>
    <w:rsid w:val="007D3DD9"/>
    <w:rsid w:val="007D4287"/>
    <w:rsid w:val="007D4E25"/>
    <w:rsid w:val="007D5896"/>
    <w:rsid w:val="007D5CC7"/>
    <w:rsid w:val="007D61AF"/>
    <w:rsid w:val="007D668B"/>
    <w:rsid w:val="007D73D0"/>
    <w:rsid w:val="007D7C8E"/>
    <w:rsid w:val="007E0747"/>
    <w:rsid w:val="007E1D38"/>
    <w:rsid w:val="007E27AD"/>
    <w:rsid w:val="007E3858"/>
    <w:rsid w:val="007E481A"/>
    <w:rsid w:val="007E5348"/>
    <w:rsid w:val="007E59E0"/>
    <w:rsid w:val="007E606E"/>
    <w:rsid w:val="007E6408"/>
    <w:rsid w:val="007E6576"/>
    <w:rsid w:val="007E6B62"/>
    <w:rsid w:val="007E7A30"/>
    <w:rsid w:val="007E7E60"/>
    <w:rsid w:val="007F0DC6"/>
    <w:rsid w:val="007F13EF"/>
    <w:rsid w:val="007F1AF0"/>
    <w:rsid w:val="007F39F8"/>
    <w:rsid w:val="007F3DDF"/>
    <w:rsid w:val="007F3E09"/>
    <w:rsid w:val="007F405F"/>
    <w:rsid w:val="007F46EC"/>
    <w:rsid w:val="007F4DB9"/>
    <w:rsid w:val="007F4E1C"/>
    <w:rsid w:val="007F5B69"/>
    <w:rsid w:val="007F5E5B"/>
    <w:rsid w:val="007F6122"/>
    <w:rsid w:val="007F72CD"/>
    <w:rsid w:val="008006A5"/>
    <w:rsid w:val="00801243"/>
    <w:rsid w:val="008029F2"/>
    <w:rsid w:val="00802A47"/>
    <w:rsid w:val="008030FA"/>
    <w:rsid w:val="0080350F"/>
    <w:rsid w:val="00803622"/>
    <w:rsid w:val="00803786"/>
    <w:rsid w:val="00803F93"/>
    <w:rsid w:val="0080476F"/>
    <w:rsid w:val="00805573"/>
    <w:rsid w:val="00805FBF"/>
    <w:rsid w:val="008062B3"/>
    <w:rsid w:val="00806499"/>
    <w:rsid w:val="00806E16"/>
    <w:rsid w:val="00807A65"/>
    <w:rsid w:val="00810003"/>
    <w:rsid w:val="008100E6"/>
    <w:rsid w:val="00811024"/>
    <w:rsid w:val="00811F8C"/>
    <w:rsid w:val="00813736"/>
    <w:rsid w:val="00813D85"/>
    <w:rsid w:val="00814844"/>
    <w:rsid w:val="00815CCC"/>
    <w:rsid w:val="00815F47"/>
    <w:rsid w:val="00816976"/>
    <w:rsid w:val="00816D1F"/>
    <w:rsid w:val="00816E82"/>
    <w:rsid w:val="00816F9C"/>
    <w:rsid w:val="008178C2"/>
    <w:rsid w:val="00817AE7"/>
    <w:rsid w:val="008201E1"/>
    <w:rsid w:val="008203D3"/>
    <w:rsid w:val="00820712"/>
    <w:rsid w:val="00820E59"/>
    <w:rsid w:val="00821F1D"/>
    <w:rsid w:val="008223B0"/>
    <w:rsid w:val="00822967"/>
    <w:rsid w:val="00822D09"/>
    <w:rsid w:val="0082301B"/>
    <w:rsid w:val="0082364D"/>
    <w:rsid w:val="0082369B"/>
    <w:rsid w:val="00823AA8"/>
    <w:rsid w:val="00824316"/>
    <w:rsid w:val="00824F67"/>
    <w:rsid w:val="00825DA3"/>
    <w:rsid w:val="008265B2"/>
    <w:rsid w:val="00826F3C"/>
    <w:rsid w:val="00830844"/>
    <w:rsid w:val="00831557"/>
    <w:rsid w:val="00831DE5"/>
    <w:rsid w:val="0083214B"/>
    <w:rsid w:val="00832432"/>
    <w:rsid w:val="00832A51"/>
    <w:rsid w:val="00832D02"/>
    <w:rsid w:val="00832ED0"/>
    <w:rsid w:val="008339AA"/>
    <w:rsid w:val="00833F50"/>
    <w:rsid w:val="00834127"/>
    <w:rsid w:val="00834536"/>
    <w:rsid w:val="00834D38"/>
    <w:rsid w:val="00834D7F"/>
    <w:rsid w:val="00836601"/>
    <w:rsid w:val="008366AD"/>
    <w:rsid w:val="00836B82"/>
    <w:rsid w:val="00836DA5"/>
    <w:rsid w:val="0083717F"/>
    <w:rsid w:val="008373BF"/>
    <w:rsid w:val="008406FB"/>
    <w:rsid w:val="00841344"/>
    <w:rsid w:val="00841FC2"/>
    <w:rsid w:val="0084250B"/>
    <w:rsid w:val="0084262F"/>
    <w:rsid w:val="00842661"/>
    <w:rsid w:val="00842700"/>
    <w:rsid w:val="00842C8C"/>
    <w:rsid w:val="008439A8"/>
    <w:rsid w:val="00844016"/>
    <w:rsid w:val="00844C82"/>
    <w:rsid w:val="00845D34"/>
    <w:rsid w:val="00846676"/>
    <w:rsid w:val="008468DD"/>
    <w:rsid w:val="00846BB7"/>
    <w:rsid w:val="00846D6E"/>
    <w:rsid w:val="0084721A"/>
    <w:rsid w:val="00847262"/>
    <w:rsid w:val="00847446"/>
    <w:rsid w:val="0084752C"/>
    <w:rsid w:val="00847AB3"/>
    <w:rsid w:val="00847B05"/>
    <w:rsid w:val="00847B49"/>
    <w:rsid w:val="00850884"/>
    <w:rsid w:val="00850B94"/>
    <w:rsid w:val="00851043"/>
    <w:rsid w:val="00851D2F"/>
    <w:rsid w:val="00852864"/>
    <w:rsid w:val="00852986"/>
    <w:rsid w:val="0085499F"/>
    <w:rsid w:val="00855412"/>
    <w:rsid w:val="008556DC"/>
    <w:rsid w:val="00855D5C"/>
    <w:rsid w:val="008566F5"/>
    <w:rsid w:val="00856725"/>
    <w:rsid w:val="00856FAC"/>
    <w:rsid w:val="0085725C"/>
    <w:rsid w:val="00857BEF"/>
    <w:rsid w:val="00857DC9"/>
    <w:rsid w:val="00860271"/>
    <w:rsid w:val="0086075C"/>
    <w:rsid w:val="008609E5"/>
    <w:rsid w:val="00860CA3"/>
    <w:rsid w:val="00860F63"/>
    <w:rsid w:val="00860FF0"/>
    <w:rsid w:val="008610BF"/>
    <w:rsid w:val="00861E88"/>
    <w:rsid w:val="00861F78"/>
    <w:rsid w:val="00861FA0"/>
    <w:rsid w:val="00862729"/>
    <w:rsid w:val="00862F95"/>
    <w:rsid w:val="00863709"/>
    <w:rsid w:val="0086412B"/>
    <w:rsid w:val="00864837"/>
    <w:rsid w:val="00865068"/>
    <w:rsid w:val="00865136"/>
    <w:rsid w:val="0086526B"/>
    <w:rsid w:val="008652BE"/>
    <w:rsid w:val="00865344"/>
    <w:rsid w:val="00865CCD"/>
    <w:rsid w:val="008663CB"/>
    <w:rsid w:val="008665DB"/>
    <w:rsid w:val="00870178"/>
    <w:rsid w:val="0087036A"/>
    <w:rsid w:val="00870466"/>
    <w:rsid w:val="00870B54"/>
    <w:rsid w:val="00870D5F"/>
    <w:rsid w:val="00871BFF"/>
    <w:rsid w:val="0087213F"/>
    <w:rsid w:val="0087230B"/>
    <w:rsid w:val="00872C4E"/>
    <w:rsid w:val="008731AA"/>
    <w:rsid w:val="00873290"/>
    <w:rsid w:val="00874287"/>
    <w:rsid w:val="0087459C"/>
    <w:rsid w:val="00874CCE"/>
    <w:rsid w:val="008754C8"/>
    <w:rsid w:val="00875AB3"/>
    <w:rsid w:val="00875E10"/>
    <w:rsid w:val="00875F90"/>
    <w:rsid w:val="00876E7B"/>
    <w:rsid w:val="008773E3"/>
    <w:rsid w:val="00877BA7"/>
    <w:rsid w:val="00880020"/>
    <w:rsid w:val="008805AF"/>
    <w:rsid w:val="0088097E"/>
    <w:rsid w:val="00880C7F"/>
    <w:rsid w:val="00883161"/>
    <w:rsid w:val="00883345"/>
    <w:rsid w:val="00883A4B"/>
    <w:rsid w:val="00883E30"/>
    <w:rsid w:val="00883FA1"/>
    <w:rsid w:val="008844C8"/>
    <w:rsid w:val="00884641"/>
    <w:rsid w:val="008856EB"/>
    <w:rsid w:val="00885AB5"/>
    <w:rsid w:val="008860EA"/>
    <w:rsid w:val="008864B6"/>
    <w:rsid w:val="008874E9"/>
    <w:rsid w:val="00887F35"/>
    <w:rsid w:val="008902C1"/>
    <w:rsid w:val="00891002"/>
    <w:rsid w:val="008910D0"/>
    <w:rsid w:val="008911F4"/>
    <w:rsid w:val="00891C60"/>
    <w:rsid w:val="00892E9C"/>
    <w:rsid w:val="008930D5"/>
    <w:rsid w:val="00893A95"/>
    <w:rsid w:val="00894706"/>
    <w:rsid w:val="0089504B"/>
    <w:rsid w:val="008956AE"/>
    <w:rsid w:val="0089578F"/>
    <w:rsid w:val="00895C04"/>
    <w:rsid w:val="00896692"/>
    <w:rsid w:val="008967F1"/>
    <w:rsid w:val="00896EF5"/>
    <w:rsid w:val="008A0751"/>
    <w:rsid w:val="008A0C78"/>
    <w:rsid w:val="008A1137"/>
    <w:rsid w:val="008A1363"/>
    <w:rsid w:val="008A17B0"/>
    <w:rsid w:val="008A1C7D"/>
    <w:rsid w:val="008A3A40"/>
    <w:rsid w:val="008A3BE2"/>
    <w:rsid w:val="008A418E"/>
    <w:rsid w:val="008A4433"/>
    <w:rsid w:val="008A45AB"/>
    <w:rsid w:val="008A6233"/>
    <w:rsid w:val="008A68DF"/>
    <w:rsid w:val="008A7183"/>
    <w:rsid w:val="008A726A"/>
    <w:rsid w:val="008A739A"/>
    <w:rsid w:val="008A7AE3"/>
    <w:rsid w:val="008B044F"/>
    <w:rsid w:val="008B0598"/>
    <w:rsid w:val="008B0BD7"/>
    <w:rsid w:val="008B1879"/>
    <w:rsid w:val="008B1A8B"/>
    <w:rsid w:val="008B2186"/>
    <w:rsid w:val="008B235E"/>
    <w:rsid w:val="008B27AE"/>
    <w:rsid w:val="008B4C86"/>
    <w:rsid w:val="008B6206"/>
    <w:rsid w:val="008B65C9"/>
    <w:rsid w:val="008B6C5A"/>
    <w:rsid w:val="008B7726"/>
    <w:rsid w:val="008B7FE4"/>
    <w:rsid w:val="008C00C0"/>
    <w:rsid w:val="008C072D"/>
    <w:rsid w:val="008C0FF9"/>
    <w:rsid w:val="008C1B2B"/>
    <w:rsid w:val="008C1E3D"/>
    <w:rsid w:val="008C1F86"/>
    <w:rsid w:val="008C3798"/>
    <w:rsid w:val="008C3F85"/>
    <w:rsid w:val="008C4178"/>
    <w:rsid w:val="008C43E5"/>
    <w:rsid w:val="008C4978"/>
    <w:rsid w:val="008C5081"/>
    <w:rsid w:val="008C5BC3"/>
    <w:rsid w:val="008C5FEC"/>
    <w:rsid w:val="008C6D19"/>
    <w:rsid w:val="008C6F18"/>
    <w:rsid w:val="008D0D5D"/>
    <w:rsid w:val="008D1445"/>
    <w:rsid w:val="008D153C"/>
    <w:rsid w:val="008D15ED"/>
    <w:rsid w:val="008D2CC2"/>
    <w:rsid w:val="008D32F1"/>
    <w:rsid w:val="008D51F0"/>
    <w:rsid w:val="008D5409"/>
    <w:rsid w:val="008D55D0"/>
    <w:rsid w:val="008D58F0"/>
    <w:rsid w:val="008D5D5E"/>
    <w:rsid w:val="008D6096"/>
    <w:rsid w:val="008D60F9"/>
    <w:rsid w:val="008D714B"/>
    <w:rsid w:val="008D72EB"/>
    <w:rsid w:val="008D7D5B"/>
    <w:rsid w:val="008E0BE9"/>
    <w:rsid w:val="008E0FEE"/>
    <w:rsid w:val="008E1683"/>
    <w:rsid w:val="008E16F8"/>
    <w:rsid w:val="008E18EF"/>
    <w:rsid w:val="008E1D0F"/>
    <w:rsid w:val="008E2E9E"/>
    <w:rsid w:val="008E32E6"/>
    <w:rsid w:val="008E3D9E"/>
    <w:rsid w:val="008E4CC3"/>
    <w:rsid w:val="008E55B2"/>
    <w:rsid w:val="008E5E05"/>
    <w:rsid w:val="008E6128"/>
    <w:rsid w:val="008E65B3"/>
    <w:rsid w:val="008E6610"/>
    <w:rsid w:val="008E6EE0"/>
    <w:rsid w:val="008E75AE"/>
    <w:rsid w:val="008F2349"/>
    <w:rsid w:val="008F2CA6"/>
    <w:rsid w:val="008F2F02"/>
    <w:rsid w:val="008F332B"/>
    <w:rsid w:val="008F3450"/>
    <w:rsid w:val="008F3A00"/>
    <w:rsid w:val="008F51C4"/>
    <w:rsid w:val="008F51E9"/>
    <w:rsid w:val="008F5A62"/>
    <w:rsid w:val="008F62A3"/>
    <w:rsid w:val="008F6D90"/>
    <w:rsid w:val="008F7082"/>
    <w:rsid w:val="008F763E"/>
    <w:rsid w:val="008F7A79"/>
    <w:rsid w:val="0090024E"/>
    <w:rsid w:val="009005BF"/>
    <w:rsid w:val="00900F43"/>
    <w:rsid w:val="009012EB"/>
    <w:rsid w:val="009014FF"/>
    <w:rsid w:val="00902F2E"/>
    <w:rsid w:val="00903860"/>
    <w:rsid w:val="00903DB9"/>
    <w:rsid w:val="00903FD9"/>
    <w:rsid w:val="009047B6"/>
    <w:rsid w:val="00905DCD"/>
    <w:rsid w:val="00905E03"/>
    <w:rsid w:val="00907D88"/>
    <w:rsid w:val="009106CE"/>
    <w:rsid w:val="009111E1"/>
    <w:rsid w:val="00911AB2"/>
    <w:rsid w:val="00912778"/>
    <w:rsid w:val="00912CDE"/>
    <w:rsid w:val="00913AA2"/>
    <w:rsid w:val="00913C4D"/>
    <w:rsid w:val="00913CA9"/>
    <w:rsid w:val="00914209"/>
    <w:rsid w:val="009146FD"/>
    <w:rsid w:val="00914BFF"/>
    <w:rsid w:val="0091534B"/>
    <w:rsid w:val="00915BF0"/>
    <w:rsid w:val="0091611C"/>
    <w:rsid w:val="00916C57"/>
    <w:rsid w:val="009206B7"/>
    <w:rsid w:val="00920F43"/>
    <w:rsid w:val="00921337"/>
    <w:rsid w:val="00922223"/>
    <w:rsid w:val="00922724"/>
    <w:rsid w:val="00923B14"/>
    <w:rsid w:val="00923EAD"/>
    <w:rsid w:val="009241AB"/>
    <w:rsid w:val="00924504"/>
    <w:rsid w:val="0092450B"/>
    <w:rsid w:val="00924856"/>
    <w:rsid w:val="0092589D"/>
    <w:rsid w:val="009262A5"/>
    <w:rsid w:val="00926B79"/>
    <w:rsid w:val="00930179"/>
    <w:rsid w:val="00930630"/>
    <w:rsid w:val="009311A5"/>
    <w:rsid w:val="0093171F"/>
    <w:rsid w:val="009332FB"/>
    <w:rsid w:val="00933A28"/>
    <w:rsid w:val="00933B61"/>
    <w:rsid w:val="00936BAB"/>
    <w:rsid w:val="0094071C"/>
    <w:rsid w:val="00940885"/>
    <w:rsid w:val="00940D2B"/>
    <w:rsid w:val="00940D4B"/>
    <w:rsid w:val="00941547"/>
    <w:rsid w:val="009416B5"/>
    <w:rsid w:val="00942AAA"/>
    <w:rsid w:val="00942E99"/>
    <w:rsid w:val="0094367F"/>
    <w:rsid w:val="009437EF"/>
    <w:rsid w:val="00943D61"/>
    <w:rsid w:val="009441A3"/>
    <w:rsid w:val="009443FD"/>
    <w:rsid w:val="009456A9"/>
    <w:rsid w:val="0094584D"/>
    <w:rsid w:val="00945D46"/>
    <w:rsid w:val="009460D4"/>
    <w:rsid w:val="0095085D"/>
    <w:rsid w:val="00951930"/>
    <w:rsid w:val="009521BD"/>
    <w:rsid w:val="00953790"/>
    <w:rsid w:val="00954C24"/>
    <w:rsid w:val="009559E4"/>
    <w:rsid w:val="00955B75"/>
    <w:rsid w:val="00956120"/>
    <w:rsid w:val="00956903"/>
    <w:rsid w:val="00957901"/>
    <w:rsid w:val="00961525"/>
    <w:rsid w:val="00961C48"/>
    <w:rsid w:val="00962214"/>
    <w:rsid w:val="00962629"/>
    <w:rsid w:val="00962648"/>
    <w:rsid w:val="009628E7"/>
    <w:rsid w:val="00962EF5"/>
    <w:rsid w:val="009636EB"/>
    <w:rsid w:val="00963E34"/>
    <w:rsid w:val="00964961"/>
    <w:rsid w:val="0096558E"/>
    <w:rsid w:val="0096655C"/>
    <w:rsid w:val="00966C22"/>
    <w:rsid w:val="00967054"/>
    <w:rsid w:val="00970E78"/>
    <w:rsid w:val="00970F8A"/>
    <w:rsid w:val="00971B2E"/>
    <w:rsid w:val="009720AD"/>
    <w:rsid w:val="0097309C"/>
    <w:rsid w:val="00973279"/>
    <w:rsid w:val="00973444"/>
    <w:rsid w:val="009739BF"/>
    <w:rsid w:val="00974538"/>
    <w:rsid w:val="00974A62"/>
    <w:rsid w:val="00974F46"/>
    <w:rsid w:val="00975006"/>
    <w:rsid w:val="00975463"/>
    <w:rsid w:val="0097565E"/>
    <w:rsid w:val="00976039"/>
    <w:rsid w:val="00976566"/>
    <w:rsid w:val="009802D3"/>
    <w:rsid w:val="00980EB8"/>
    <w:rsid w:val="00980FA5"/>
    <w:rsid w:val="009810CF"/>
    <w:rsid w:val="009818B0"/>
    <w:rsid w:val="00982CE9"/>
    <w:rsid w:val="00983589"/>
    <w:rsid w:val="009849A8"/>
    <w:rsid w:val="0098589B"/>
    <w:rsid w:val="00985BB6"/>
    <w:rsid w:val="00985D1C"/>
    <w:rsid w:val="009867CA"/>
    <w:rsid w:val="00986D51"/>
    <w:rsid w:val="00987038"/>
    <w:rsid w:val="0098729F"/>
    <w:rsid w:val="00987A3C"/>
    <w:rsid w:val="00987DDB"/>
    <w:rsid w:val="0099010E"/>
    <w:rsid w:val="0099101E"/>
    <w:rsid w:val="00991BBD"/>
    <w:rsid w:val="0099240D"/>
    <w:rsid w:val="00992653"/>
    <w:rsid w:val="00992766"/>
    <w:rsid w:val="00992F73"/>
    <w:rsid w:val="00992FB8"/>
    <w:rsid w:val="0099312F"/>
    <w:rsid w:val="00994C02"/>
    <w:rsid w:val="00994FE1"/>
    <w:rsid w:val="00995C8F"/>
    <w:rsid w:val="00995D03"/>
    <w:rsid w:val="00995DE0"/>
    <w:rsid w:val="00996FCB"/>
    <w:rsid w:val="00997031"/>
    <w:rsid w:val="009A0341"/>
    <w:rsid w:val="009A034A"/>
    <w:rsid w:val="009A1CD8"/>
    <w:rsid w:val="009A28CD"/>
    <w:rsid w:val="009A2930"/>
    <w:rsid w:val="009A4843"/>
    <w:rsid w:val="009A4ACC"/>
    <w:rsid w:val="009A505C"/>
    <w:rsid w:val="009A5AEC"/>
    <w:rsid w:val="009A5C5D"/>
    <w:rsid w:val="009A5DA3"/>
    <w:rsid w:val="009A6CAF"/>
    <w:rsid w:val="009A7922"/>
    <w:rsid w:val="009B009F"/>
    <w:rsid w:val="009B112D"/>
    <w:rsid w:val="009B1297"/>
    <w:rsid w:val="009B299D"/>
    <w:rsid w:val="009B31B3"/>
    <w:rsid w:val="009B356F"/>
    <w:rsid w:val="009B3F02"/>
    <w:rsid w:val="009B414C"/>
    <w:rsid w:val="009B4633"/>
    <w:rsid w:val="009B4D81"/>
    <w:rsid w:val="009B51C8"/>
    <w:rsid w:val="009B53BA"/>
    <w:rsid w:val="009B5C45"/>
    <w:rsid w:val="009B5F86"/>
    <w:rsid w:val="009B6657"/>
    <w:rsid w:val="009B6EB3"/>
    <w:rsid w:val="009B71BD"/>
    <w:rsid w:val="009B760F"/>
    <w:rsid w:val="009C02A7"/>
    <w:rsid w:val="009C034B"/>
    <w:rsid w:val="009C08CF"/>
    <w:rsid w:val="009C16C7"/>
    <w:rsid w:val="009C1ED8"/>
    <w:rsid w:val="009C2135"/>
    <w:rsid w:val="009C2320"/>
    <w:rsid w:val="009C2649"/>
    <w:rsid w:val="009C2D38"/>
    <w:rsid w:val="009C3311"/>
    <w:rsid w:val="009C368D"/>
    <w:rsid w:val="009C3772"/>
    <w:rsid w:val="009C378F"/>
    <w:rsid w:val="009C3F0A"/>
    <w:rsid w:val="009C599D"/>
    <w:rsid w:val="009C662C"/>
    <w:rsid w:val="009C67FA"/>
    <w:rsid w:val="009C6A9D"/>
    <w:rsid w:val="009C6BA2"/>
    <w:rsid w:val="009C714F"/>
    <w:rsid w:val="009D0A8F"/>
    <w:rsid w:val="009D0B9F"/>
    <w:rsid w:val="009D176F"/>
    <w:rsid w:val="009D1F11"/>
    <w:rsid w:val="009D1F55"/>
    <w:rsid w:val="009D2E1A"/>
    <w:rsid w:val="009D436D"/>
    <w:rsid w:val="009D49F4"/>
    <w:rsid w:val="009D606A"/>
    <w:rsid w:val="009E0D30"/>
    <w:rsid w:val="009E30ED"/>
    <w:rsid w:val="009E3185"/>
    <w:rsid w:val="009E34A1"/>
    <w:rsid w:val="009E4036"/>
    <w:rsid w:val="009E4218"/>
    <w:rsid w:val="009E62CE"/>
    <w:rsid w:val="009E6D07"/>
    <w:rsid w:val="009F0194"/>
    <w:rsid w:val="009F0BCF"/>
    <w:rsid w:val="009F1338"/>
    <w:rsid w:val="009F1552"/>
    <w:rsid w:val="009F1977"/>
    <w:rsid w:val="009F19CF"/>
    <w:rsid w:val="009F20B8"/>
    <w:rsid w:val="009F3CDF"/>
    <w:rsid w:val="009F40F4"/>
    <w:rsid w:val="009F4B7B"/>
    <w:rsid w:val="009F57AE"/>
    <w:rsid w:val="009F5E06"/>
    <w:rsid w:val="009F5F8A"/>
    <w:rsid w:val="009F63FB"/>
    <w:rsid w:val="009F6CC4"/>
    <w:rsid w:val="009F719C"/>
    <w:rsid w:val="009F755D"/>
    <w:rsid w:val="009F776C"/>
    <w:rsid w:val="009F7A38"/>
    <w:rsid w:val="00A00995"/>
    <w:rsid w:val="00A01470"/>
    <w:rsid w:val="00A01988"/>
    <w:rsid w:val="00A0251D"/>
    <w:rsid w:val="00A0263D"/>
    <w:rsid w:val="00A0267E"/>
    <w:rsid w:val="00A02C34"/>
    <w:rsid w:val="00A030E8"/>
    <w:rsid w:val="00A034A9"/>
    <w:rsid w:val="00A034C4"/>
    <w:rsid w:val="00A03617"/>
    <w:rsid w:val="00A04E56"/>
    <w:rsid w:val="00A05571"/>
    <w:rsid w:val="00A05666"/>
    <w:rsid w:val="00A05891"/>
    <w:rsid w:val="00A05F3A"/>
    <w:rsid w:val="00A06014"/>
    <w:rsid w:val="00A064E0"/>
    <w:rsid w:val="00A065F7"/>
    <w:rsid w:val="00A07B2B"/>
    <w:rsid w:val="00A10079"/>
    <w:rsid w:val="00A1029C"/>
    <w:rsid w:val="00A10A6D"/>
    <w:rsid w:val="00A11399"/>
    <w:rsid w:val="00A1149C"/>
    <w:rsid w:val="00A11973"/>
    <w:rsid w:val="00A11C40"/>
    <w:rsid w:val="00A12729"/>
    <w:rsid w:val="00A12E60"/>
    <w:rsid w:val="00A13ADE"/>
    <w:rsid w:val="00A14553"/>
    <w:rsid w:val="00A14E84"/>
    <w:rsid w:val="00A166B3"/>
    <w:rsid w:val="00A16AFE"/>
    <w:rsid w:val="00A16E2A"/>
    <w:rsid w:val="00A17265"/>
    <w:rsid w:val="00A1776A"/>
    <w:rsid w:val="00A177F4"/>
    <w:rsid w:val="00A208AB"/>
    <w:rsid w:val="00A20D45"/>
    <w:rsid w:val="00A223DC"/>
    <w:rsid w:val="00A2249B"/>
    <w:rsid w:val="00A22B74"/>
    <w:rsid w:val="00A22C3E"/>
    <w:rsid w:val="00A22D40"/>
    <w:rsid w:val="00A23250"/>
    <w:rsid w:val="00A2543C"/>
    <w:rsid w:val="00A258C1"/>
    <w:rsid w:val="00A26082"/>
    <w:rsid w:val="00A272E8"/>
    <w:rsid w:val="00A27562"/>
    <w:rsid w:val="00A30454"/>
    <w:rsid w:val="00A305BB"/>
    <w:rsid w:val="00A30886"/>
    <w:rsid w:val="00A30C0A"/>
    <w:rsid w:val="00A31031"/>
    <w:rsid w:val="00A31D48"/>
    <w:rsid w:val="00A322D6"/>
    <w:rsid w:val="00A325A3"/>
    <w:rsid w:val="00A33094"/>
    <w:rsid w:val="00A34042"/>
    <w:rsid w:val="00A349B9"/>
    <w:rsid w:val="00A34B0B"/>
    <w:rsid w:val="00A3573F"/>
    <w:rsid w:val="00A36768"/>
    <w:rsid w:val="00A367EF"/>
    <w:rsid w:val="00A36F40"/>
    <w:rsid w:val="00A3749B"/>
    <w:rsid w:val="00A37F28"/>
    <w:rsid w:val="00A40A6A"/>
    <w:rsid w:val="00A42916"/>
    <w:rsid w:val="00A43794"/>
    <w:rsid w:val="00A44046"/>
    <w:rsid w:val="00A44602"/>
    <w:rsid w:val="00A44B92"/>
    <w:rsid w:val="00A45A8C"/>
    <w:rsid w:val="00A45E90"/>
    <w:rsid w:val="00A46151"/>
    <w:rsid w:val="00A474A3"/>
    <w:rsid w:val="00A47853"/>
    <w:rsid w:val="00A47939"/>
    <w:rsid w:val="00A503FF"/>
    <w:rsid w:val="00A51408"/>
    <w:rsid w:val="00A51D75"/>
    <w:rsid w:val="00A52279"/>
    <w:rsid w:val="00A522A9"/>
    <w:rsid w:val="00A52E70"/>
    <w:rsid w:val="00A561BD"/>
    <w:rsid w:val="00A56277"/>
    <w:rsid w:val="00A567F7"/>
    <w:rsid w:val="00A57709"/>
    <w:rsid w:val="00A57B5D"/>
    <w:rsid w:val="00A60855"/>
    <w:rsid w:val="00A613D3"/>
    <w:rsid w:val="00A6159A"/>
    <w:rsid w:val="00A6239C"/>
    <w:rsid w:val="00A62B7B"/>
    <w:rsid w:val="00A62D7D"/>
    <w:rsid w:val="00A634BA"/>
    <w:rsid w:val="00A65841"/>
    <w:rsid w:val="00A65D59"/>
    <w:rsid w:val="00A67685"/>
    <w:rsid w:val="00A67945"/>
    <w:rsid w:val="00A70772"/>
    <w:rsid w:val="00A71EB3"/>
    <w:rsid w:val="00A729A0"/>
    <w:rsid w:val="00A72DDD"/>
    <w:rsid w:val="00A7306D"/>
    <w:rsid w:val="00A7339F"/>
    <w:rsid w:val="00A74DD0"/>
    <w:rsid w:val="00A76680"/>
    <w:rsid w:val="00A769C5"/>
    <w:rsid w:val="00A76B5D"/>
    <w:rsid w:val="00A775B4"/>
    <w:rsid w:val="00A77B3C"/>
    <w:rsid w:val="00A804DA"/>
    <w:rsid w:val="00A80846"/>
    <w:rsid w:val="00A80D03"/>
    <w:rsid w:val="00A812DF"/>
    <w:rsid w:val="00A81476"/>
    <w:rsid w:val="00A81790"/>
    <w:rsid w:val="00A81FEF"/>
    <w:rsid w:val="00A824C4"/>
    <w:rsid w:val="00A826F3"/>
    <w:rsid w:val="00A828A3"/>
    <w:rsid w:val="00A828ED"/>
    <w:rsid w:val="00A82DE1"/>
    <w:rsid w:val="00A8395F"/>
    <w:rsid w:val="00A83E91"/>
    <w:rsid w:val="00A83F2F"/>
    <w:rsid w:val="00A84148"/>
    <w:rsid w:val="00A8466D"/>
    <w:rsid w:val="00A84A35"/>
    <w:rsid w:val="00A8528A"/>
    <w:rsid w:val="00A85466"/>
    <w:rsid w:val="00A8598B"/>
    <w:rsid w:val="00A85E5C"/>
    <w:rsid w:val="00A86488"/>
    <w:rsid w:val="00A86CC0"/>
    <w:rsid w:val="00A87196"/>
    <w:rsid w:val="00A90082"/>
    <w:rsid w:val="00A903B2"/>
    <w:rsid w:val="00A91574"/>
    <w:rsid w:val="00A916E6"/>
    <w:rsid w:val="00A91934"/>
    <w:rsid w:val="00A92C30"/>
    <w:rsid w:val="00A92DEF"/>
    <w:rsid w:val="00A92E37"/>
    <w:rsid w:val="00A92EC9"/>
    <w:rsid w:val="00A930E9"/>
    <w:rsid w:val="00A93AE9"/>
    <w:rsid w:val="00A94442"/>
    <w:rsid w:val="00A94E67"/>
    <w:rsid w:val="00A96B8C"/>
    <w:rsid w:val="00A97D1C"/>
    <w:rsid w:val="00AA12E2"/>
    <w:rsid w:val="00AA172D"/>
    <w:rsid w:val="00AA1ADA"/>
    <w:rsid w:val="00AA1CFA"/>
    <w:rsid w:val="00AA1DF0"/>
    <w:rsid w:val="00AA1EB1"/>
    <w:rsid w:val="00AA1FE1"/>
    <w:rsid w:val="00AA233A"/>
    <w:rsid w:val="00AA26B7"/>
    <w:rsid w:val="00AA2E90"/>
    <w:rsid w:val="00AA388A"/>
    <w:rsid w:val="00AA4A16"/>
    <w:rsid w:val="00AA519D"/>
    <w:rsid w:val="00AA5889"/>
    <w:rsid w:val="00AA7703"/>
    <w:rsid w:val="00AB0554"/>
    <w:rsid w:val="00AB05D6"/>
    <w:rsid w:val="00AB0E18"/>
    <w:rsid w:val="00AB2067"/>
    <w:rsid w:val="00AB2F71"/>
    <w:rsid w:val="00AB3D75"/>
    <w:rsid w:val="00AB647C"/>
    <w:rsid w:val="00AB68B9"/>
    <w:rsid w:val="00AB6C3B"/>
    <w:rsid w:val="00AC03A2"/>
    <w:rsid w:val="00AC06B1"/>
    <w:rsid w:val="00AC0E9F"/>
    <w:rsid w:val="00AC1CB1"/>
    <w:rsid w:val="00AC2438"/>
    <w:rsid w:val="00AC2499"/>
    <w:rsid w:val="00AC2AA8"/>
    <w:rsid w:val="00AC4EDD"/>
    <w:rsid w:val="00AC5E51"/>
    <w:rsid w:val="00AC60DE"/>
    <w:rsid w:val="00AC66EA"/>
    <w:rsid w:val="00AC6CC1"/>
    <w:rsid w:val="00AC777C"/>
    <w:rsid w:val="00AD04F2"/>
    <w:rsid w:val="00AD07C0"/>
    <w:rsid w:val="00AD1887"/>
    <w:rsid w:val="00AD4956"/>
    <w:rsid w:val="00AD5E99"/>
    <w:rsid w:val="00AD6627"/>
    <w:rsid w:val="00AD6A78"/>
    <w:rsid w:val="00AD7324"/>
    <w:rsid w:val="00AE0051"/>
    <w:rsid w:val="00AE019F"/>
    <w:rsid w:val="00AE0261"/>
    <w:rsid w:val="00AE0643"/>
    <w:rsid w:val="00AE08F2"/>
    <w:rsid w:val="00AE14D0"/>
    <w:rsid w:val="00AE1665"/>
    <w:rsid w:val="00AE23A2"/>
    <w:rsid w:val="00AE2674"/>
    <w:rsid w:val="00AE34FE"/>
    <w:rsid w:val="00AE4896"/>
    <w:rsid w:val="00AE4F07"/>
    <w:rsid w:val="00AE4F10"/>
    <w:rsid w:val="00AE50B5"/>
    <w:rsid w:val="00AE5484"/>
    <w:rsid w:val="00AE5571"/>
    <w:rsid w:val="00AE55C4"/>
    <w:rsid w:val="00AE5BA9"/>
    <w:rsid w:val="00AE66BD"/>
    <w:rsid w:val="00AE690C"/>
    <w:rsid w:val="00AE6AEC"/>
    <w:rsid w:val="00AE6BBB"/>
    <w:rsid w:val="00AE7F3A"/>
    <w:rsid w:val="00AF0049"/>
    <w:rsid w:val="00AF0C6D"/>
    <w:rsid w:val="00AF0D9F"/>
    <w:rsid w:val="00AF19EB"/>
    <w:rsid w:val="00AF1F6B"/>
    <w:rsid w:val="00AF217C"/>
    <w:rsid w:val="00AF405E"/>
    <w:rsid w:val="00AF5AFD"/>
    <w:rsid w:val="00AF68A6"/>
    <w:rsid w:val="00AF68EC"/>
    <w:rsid w:val="00AF6B20"/>
    <w:rsid w:val="00AF7414"/>
    <w:rsid w:val="00AF746C"/>
    <w:rsid w:val="00AF7869"/>
    <w:rsid w:val="00AF7B73"/>
    <w:rsid w:val="00B00CD3"/>
    <w:rsid w:val="00B00D28"/>
    <w:rsid w:val="00B01517"/>
    <w:rsid w:val="00B0170B"/>
    <w:rsid w:val="00B01A72"/>
    <w:rsid w:val="00B01ECE"/>
    <w:rsid w:val="00B02090"/>
    <w:rsid w:val="00B0224D"/>
    <w:rsid w:val="00B02808"/>
    <w:rsid w:val="00B041B4"/>
    <w:rsid w:val="00B0441B"/>
    <w:rsid w:val="00B045A0"/>
    <w:rsid w:val="00B054DF"/>
    <w:rsid w:val="00B06E38"/>
    <w:rsid w:val="00B076AF"/>
    <w:rsid w:val="00B07927"/>
    <w:rsid w:val="00B07F64"/>
    <w:rsid w:val="00B10005"/>
    <w:rsid w:val="00B1022B"/>
    <w:rsid w:val="00B10B4D"/>
    <w:rsid w:val="00B12747"/>
    <w:rsid w:val="00B136DF"/>
    <w:rsid w:val="00B13AB9"/>
    <w:rsid w:val="00B13AD6"/>
    <w:rsid w:val="00B13D3A"/>
    <w:rsid w:val="00B14F86"/>
    <w:rsid w:val="00B15921"/>
    <w:rsid w:val="00B15B03"/>
    <w:rsid w:val="00B1628D"/>
    <w:rsid w:val="00B168F7"/>
    <w:rsid w:val="00B16C9D"/>
    <w:rsid w:val="00B17E1A"/>
    <w:rsid w:val="00B2120F"/>
    <w:rsid w:val="00B21217"/>
    <w:rsid w:val="00B21FB8"/>
    <w:rsid w:val="00B22D78"/>
    <w:rsid w:val="00B232E3"/>
    <w:rsid w:val="00B238A7"/>
    <w:rsid w:val="00B23AAE"/>
    <w:rsid w:val="00B24690"/>
    <w:rsid w:val="00B247A8"/>
    <w:rsid w:val="00B250CF"/>
    <w:rsid w:val="00B25507"/>
    <w:rsid w:val="00B2574A"/>
    <w:rsid w:val="00B257D1"/>
    <w:rsid w:val="00B26B4E"/>
    <w:rsid w:val="00B26B50"/>
    <w:rsid w:val="00B2781D"/>
    <w:rsid w:val="00B300AB"/>
    <w:rsid w:val="00B30D8C"/>
    <w:rsid w:val="00B30F07"/>
    <w:rsid w:val="00B31346"/>
    <w:rsid w:val="00B317DD"/>
    <w:rsid w:val="00B31846"/>
    <w:rsid w:val="00B3187A"/>
    <w:rsid w:val="00B3355A"/>
    <w:rsid w:val="00B3373D"/>
    <w:rsid w:val="00B3429D"/>
    <w:rsid w:val="00B34524"/>
    <w:rsid w:val="00B34D2F"/>
    <w:rsid w:val="00B3590A"/>
    <w:rsid w:val="00B35CD8"/>
    <w:rsid w:val="00B36414"/>
    <w:rsid w:val="00B373E6"/>
    <w:rsid w:val="00B3773F"/>
    <w:rsid w:val="00B37EC5"/>
    <w:rsid w:val="00B400A1"/>
    <w:rsid w:val="00B4021D"/>
    <w:rsid w:val="00B406D7"/>
    <w:rsid w:val="00B412C0"/>
    <w:rsid w:val="00B41538"/>
    <w:rsid w:val="00B41764"/>
    <w:rsid w:val="00B42B41"/>
    <w:rsid w:val="00B43976"/>
    <w:rsid w:val="00B43C0A"/>
    <w:rsid w:val="00B44172"/>
    <w:rsid w:val="00B44530"/>
    <w:rsid w:val="00B44BDA"/>
    <w:rsid w:val="00B45EC1"/>
    <w:rsid w:val="00B46070"/>
    <w:rsid w:val="00B464B4"/>
    <w:rsid w:val="00B469CD"/>
    <w:rsid w:val="00B46C91"/>
    <w:rsid w:val="00B47186"/>
    <w:rsid w:val="00B47FE8"/>
    <w:rsid w:val="00B5008F"/>
    <w:rsid w:val="00B50D80"/>
    <w:rsid w:val="00B5107A"/>
    <w:rsid w:val="00B5115A"/>
    <w:rsid w:val="00B51A3D"/>
    <w:rsid w:val="00B51BB1"/>
    <w:rsid w:val="00B51C0C"/>
    <w:rsid w:val="00B51DC7"/>
    <w:rsid w:val="00B5254E"/>
    <w:rsid w:val="00B52E55"/>
    <w:rsid w:val="00B53D00"/>
    <w:rsid w:val="00B53ED9"/>
    <w:rsid w:val="00B54C39"/>
    <w:rsid w:val="00B56D78"/>
    <w:rsid w:val="00B56FBF"/>
    <w:rsid w:val="00B57BC3"/>
    <w:rsid w:val="00B60857"/>
    <w:rsid w:val="00B61236"/>
    <w:rsid w:val="00B6163C"/>
    <w:rsid w:val="00B6214D"/>
    <w:rsid w:val="00B62343"/>
    <w:rsid w:val="00B62362"/>
    <w:rsid w:val="00B62BDF"/>
    <w:rsid w:val="00B6397C"/>
    <w:rsid w:val="00B64518"/>
    <w:rsid w:val="00B64BC7"/>
    <w:rsid w:val="00B6518A"/>
    <w:rsid w:val="00B66FE7"/>
    <w:rsid w:val="00B700AA"/>
    <w:rsid w:val="00B702BA"/>
    <w:rsid w:val="00B7103B"/>
    <w:rsid w:val="00B713BE"/>
    <w:rsid w:val="00B71AC8"/>
    <w:rsid w:val="00B725DB"/>
    <w:rsid w:val="00B72813"/>
    <w:rsid w:val="00B7282F"/>
    <w:rsid w:val="00B73447"/>
    <w:rsid w:val="00B7349C"/>
    <w:rsid w:val="00B735A1"/>
    <w:rsid w:val="00B735B3"/>
    <w:rsid w:val="00B739D7"/>
    <w:rsid w:val="00B74139"/>
    <w:rsid w:val="00B74BCA"/>
    <w:rsid w:val="00B75037"/>
    <w:rsid w:val="00B755BE"/>
    <w:rsid w:val="00B75C3F"/>
    <w:rsid w:val="00B7655B"/>
    <w:rsid w:val="00B767C9"/>
    <w:rsid w:val="00B76DD8"/>
    <w:rsid w:val="00B772DB"/>
    <w:rsid w:val="00B7790E"/>
    <w:rsid w:val="00B77E13"/>
    <w:rsid w:val="00B811C5"/>
    <w:rsid w:val="00B81DB1"/>
    <w:rsid w:val="00B81DF3"/>
    <w:rsid w:val="00B8200F"/>
    <w:rsid w:val="00B8213B"/>
    <w:rsid w:val="00B82419"/>
    <w:rsid w:val="00B82C22"/>
    <w:rsid w:val="00B83481"/>
    <w:rsid w:val="00B83830"/>
    <w:rsid w:val="00B8494E"/>
    <w:rsid w:val="00B84C3E"/>
    <w:rsid w:val="00B85158"/>
    <w:rsid w:val="00B8637B"/>
    <w:rsid w:val="00B87188"/>
    <w:rsid w:val="00B8736B"/>
    <w:rsid w:val="00B903A9"/>
    <w:rsid w:val="00B903F1"/>
    <w:rsid w:val="00B90584"/>
    <w:rsid w:val="00B90595"/>
    <w:rsid w:val="00B90613"/>
    <w:rsid w:val="00B91191"/>
    <w:rsid w:val="00B91423"/>
    <w:rsid w:val="00B91795"/>
    <w:rsid w:val="00B91F4C"/>
    <w:rsid w:val="00B9217D"/>
    <w:rsid w:val="00B92D22"/>
    <w:rsid w:val="00B935EA"/>
    <w:rsid w:val="00B9428E"/>
    <w:rsid w:val="00B947F8"/>
    <w:rsid w:val="00B94844"/>
    <w:rsid w:val="00B94DC1"/>
    <w:rsid w:val="00B94E68"/>
    <w:rsid w:val="00B952A0"/>
    <w:rsid w:val="00B957AF"/>
    <w:rsid w:val="00B9599C"/>
    <w:rsid w:val="00B95CC7"/>
    <w:rsid w:val="00B9652E"/>
    <w:rsid w:val="00B97054"/>
    <w:rsid w:val="00B970AA"/>
    <w:rsid w:val="00BA06D9"/>
    <w:rsid w:val="00BA0878"/>
    <w:rsid w:val="00BA0B92"/>
    <w:rsid w:val="00BA210F"/>
    <w:rsid w:val="00BA2706"/>
    <w:rsid w:val="00BA2AA3"/>
    <w:rsid w:val="00BA2CFE"/>
    <w:rsid w:val="00BA308E"/>
    <w:rsid w:val="00BA34B3"/>
    <w:rsid w:val="00BA3FBE"/>
    <w:rsid w:val="00BA4186"/>
    <w:rsid w:val="00BA4DAE"/>
    <w:rsid w:val="00BA4FD7"/>
    <w:rsid w:val="00BA5A80"/>
    <w:rsid w:val="00BA70CB"/>
    <w:rsid w:val="00BA7202"/>
    <w:rsid w:val="00BB0320"/>
    <w:rsid w:val="00BB2466"/>
    <w:rsid w:val="00BB2F4B"/>
    <w:rsid w:val="00BB4446"/>
    <w:rsid w:val="00BB47AF"/>
    <w:rsid w:val="00BB6035"/>
    <w:rsid w:val="00BB65A9"/>
    <w:rsid w:val="00BB6E19"/>
    <w:rsid w:val="00BB76A9"/>
    <w:rsid w:val="00BC0AA1"/>
    <w:rsid w:val="00BC0DF3"/>
    <w:rsid w:val="00BC1E89"/>
    <w:rsid w:val="00BC1F3A"/>
    <w:rsid w:val="00BC2648"/>
    <w:rsid w:val="00BC35A6"/>
    <w:rsid w:val="00BC379F"/>
    <w:rsid w:val="00BC41B4"/>
    <w:rsid w:val="00BC46BB"/>
    <w:rsid w:val="00BC48DD"/>
    <w:rsid w:val="00BC4DD9"/>
    <w:rsid w:val="00BC5289"/>
    <w:rsid w:val="00BC5785"/>
    <w:rsid w:val="00BC586F"/>
    <w:rsid w:val="00BC5F02"/>
    <w:rsid w:val="00BC6284"/>
    <w:rsid w:val="00BC6570"/>
    <w:rsid w:val="00BC6D02"/>
    <w:rsid w:val="00BC6E96"/>
    <w:rsid w:val="00BC7515"/>
    <w:rsid w:val="00BC7C28"/>
    <w:rsid w:val="00BD00BB"/>
    <w:rsid w:val="00BD0886"/>
    <w:rsid w:val="00BD094E"/>
    <w:rsid w:val="00BD09D5"/>
    <w:rsid w:val="00BD24F0"/>
    <w:rsid w:val="00BD2D71"/>
    <w:rsid w:val="00BD2DF9"/>
    <w:rsid w:val="00BD3173"/>
    <w:rsid w:val="00BD369A"/>
    <w:rsid w:val="00BD3B31"/>
    <w:rsid w:val="00BD4421"/>
    <w:rsid w:val="00BD4D9F"/>
    <w:rsid w:val="00BD5B0F"/>
    <w:rsid w:val="00BD6185"/>
    <w:rsid w:val="00BD72AC"/>
    <w:rsid w:val="00BD7321"/>
    <w:rsid w:val="00BE024F"/>
    <w:rsid w:val="00BE04B2"/>
    <w:rsid w:val="00BE111B"/>
    <w:rsid w:val="00BE2974"/>
    <w:rsid w:val="00BE2E12"/>
    <w:rsid w:val="00BE3B90"/>
    <w:rsid w:val="00BE4F26"/>
    <w:rsid w:val="00BE5F3D"/>
    <w:rsid w:val="00BE5F5A"/>
    <w:rsid w:val="00BE6547"/>
    <w:rsid w:val="00BE68C2"/>
    <w:rsid w:val="00BE6B0E"/>
    <w:rsid w:val="00BE7117"/>
    <w:rsid w:val="00BE7B78"/>
    <w:rsid w:val="00BF31CD"/>
    <w:rsid w:val="00BF460F"/>
    <w:rsid w:val="00BF476A"/>
    <w:rsid w:val="00BF4EA1"/>
    <w:rsid w:val="00BF5896"/>
    <w:rsid w:val="00BF6DF4"/>
    <w:rsid w:val="00BF6F61"/>
    <w:rsid w:val="00C0140A"/>
    <w:rsid w:val="00C018C6"/>
    <w:rsid w:val="00C01996"/>
    <w:rsid w:val="00C01E43"/>
    <w:rsid w:val="00C02E20"/>
    <w:rsid w:val="00C037B8"/>
    <w:rsid w:val="00C03D17"/>
    <w:rsid w:val="00C041C8"/>
    <w:rsid w:val="00C049F0"/>
    <w:rsid w:val="00C04BD3"/>
    <w:rsid w:val="00C05A33"/>
    <w:rsid w:val="00C05ECD"/>
    <w:rsid w:val="00C072A9"/>
    <w:rsid w:val="00C10506"/>
    <w:rsid w:val="00C10DC4"/>
    <w:rsid w:val="00C11022"/>
    <w:rsid w:val="00C1224B"/>
    <w:rsid w:val="00C1300A"/>
    <w:rsid w:val="00C14CE1"/>
    <w:rsid w:val="00C15A51"/>
    <w:rsid w:val="00C15BD9"/>
    <w:rsid w:val="00C15F31"/>
    <w:rsid w:val="00C160A8"/>
    <w:rsid w:val="00C16163"/>
    <w:rsid w:val="00C1647A"/>
    <w:rsid w:val="00C172E8"/>
    <w:rsid w:val="00C1764D"/>
    <w:rsid w:val="00C17CDB"/>
    <w:rsid w:val="00C202CD"/>
    <w:rsid w:val="00C205CB"/>
    <w:rsid w:val="00C206BE"/>
    <w:rsid w:val="00C20C50"/>
    <w:rsid w:val="00C211FB"/>
    <w:rsid w:val="00C2139A"/>
    <w:rsid w:val="00C216CD"/>
    <w:rsid w:val="00C21924"/>
    <w:rsid w:val="00C22B28"/>
    <w:rsid w:val="00C22D64"/>
    <w:rsid w:val="00C23234"/>
    <w:rsid w:val="00C234A8"/>
    <w:rsid w:val="00C24BE0"/>
    <w:rsid w:val="00C25042"/>
    <w:rsid w:val="00C250FC"/>
    <w:rsid w:val="00C26488"/>
    <w:rsid w:val="00C27530"/>
    <w:rsid w:val="00C275B7"/>
    <w:rsid w:val="00C2766C"/>
    <w:rsid w:val="00C30156"/>
    <w:rsid w:val="00C30A64"/>
    <w:rsid w:val="00C30E4C"/>
    <w:rsid w:val="00C31758"/>
    <w:rsid w:val="00C3186A"/>
    <w:rsid w:val="00C3212D"/>
    <w:rsid w:val="00C32699"/>
    <w:rsid w:val="00C32998"/>
    <w:rsid w:val="00C33273"/>
    <w:rsid w:val="00C33E5C"/>
    <w:rsid w:val="00C34306"/>
    <w:rsid w:val="00C347D3"/>
    <w:rsid w:val="00C34BB7"/>
    <w:rsid w:val="00C34C8C"/>
    <w:rsid w:val="00C354D7"/>
    <w:rsid w:val="00C3619A"/>
    <w:rsid w:val="00C404E5"/>
    <w:rsid w:val="00C40645"/>
    <w:rsid w:val="00C40F47"/>
    <w:rsid w:val="00C41112"/>
    <w:rsid w:val="00C4146F"/>
    <w:rsid w:val="00C414D5"/>
    <w:rsid w:val="00C4184C"/>
    <w:rsid w:val="00C4199F"/>
    <w:rsid w:val="00C41BC5"/>
    <w:rsid w:val="00C41F44"/>
    <w:rsid w:val="00C42B4C"/>
    <w:rsid w:val="00C42BF6"/>
    <w:rsid w:val="00C42F2B"/>
    <w:rsid w:val="00C447B7"/>
    <w:rsid w:val="00C44D83"/>
    <w:rsid w:val="00C45140"/>
    <w:rsid w:val="00C45767"/>
    <w:rsid w:val="00C45891"/>
    <w:rsid w:val="00C45A06"/>
    <w:rsid w:val="00C463F1"/>
    <w:rsid w:val="00C46AD2"/>
    <w:rsid w:val="00C46DC4"/>
    <w:rsid w:val="00C47526"/>
    <w:rsid w:val="00C47710"/>
    <w:rsid w:val="00C47797"/>
    <w:rsid w:val="00C5000F"/>
    <w:rsid w:val="00C5004C"/>
    <w:rsid w:val="00C507A7"/>
    <w:rsid w:val="00C511E2"/>
    <w:rsid w:val="00C51400"/>
    <w:rsid w:val="00C51D54"/>
    <w:rsid w:val="00C526CF"/>
    <w:rsid w:val="00C529FE"/>
    <w:rsid w:val="00C52FB1"/>
    <w:rsid w:val="00C5309A"/>
    <w:rsid w:val="00C537BC"/>
    <w:rsid w:val="00C53991"/>
    <w:rsid w:val="00C55FA2"/>
    <w:rsid w:val="00C578EF"/>
    <w:rsid w:val="00C57C94"/>
    <w:rsid w:val="00C603A9"/>
    <w:rsid w:val="00C612A7"/>
    <w:rsid w:val="00C61827"/>
    <w:rsid w:val="00C61CB4"/>
    <w:rsid w:val="00C62637"/>
    <w:rsid w:val="00C62D4E"/>
    <w:rsid w:val="00C639A5"/>
    <w:rsid w:val="00C63B56"/>
    <w:rsid w:val="00C64115"/>
    <w:rsid w:val="00C64863"/>
    <w:rsid w:val="00C654A5"/>
    <w:rsid w:val="00C66083"/>
    <w:rsid w:val="00C66DCC"/>
    <w:rsid w:val="00C66F88"/>
    <w:rsid w:val="00C702D5"/>
    <w:rsid w:val="00C716CA"/>
    <w:rsid w:val="00C71780"/>
    <w:rsid w:val="00C7266A"/>
    <w:rsid w:val="00C726BE"/>
    <w:rsid w:val="00C7279D"/>
    <w:rsid w:val="00C73A42"/>
    <w:rsid w:val="00C742D2"/>
    <w:rsid w:val="00C7441B"/>
    <w:rsid w:val="00C74657"/>
    <w:rsid w:val="00C75098"/>
    <w:rsid w:val="00C758D8"/>
    <w:rsid w:val="00C75A4F"/>
    <w:rsid w:val="00C75ACD"/>
    <w:rsid w:val="00C761EE"/>
    <w:rsid w:val="00C762DC"/>
    <w:rsid w:val="00C764BC"/>
    <w:rsid w:val="00C76717"/>
    <w:rsid w:val="00C76804"/>
    <w:rsid w:val="00C76A66"/>
    <w:rsid w:val="00C77B9F"/>
    <w:rsid w:val="00C77F5C"/>
    <w:rsid w:val="00C80577"/>
    <w:rsid w:val="00C8121E"/>
    <w:rsid w:val="00C8176F"/>
    <w:rsid w:val="00C81C49"/>
    <w:rsid w:val="00C832C3"/>
    <w:rsid w:val="00C835D0"/>
    <w:rsid w:val="00C83E73"/>
    <w:rsid w:val="00C8451E"/>
    <w:rsid w:val="00C848FB"/>
    <w:rsid w:val="00C84AA4"/>
    <w:rsid w:val="00C84AB2"/>
    <w:rsid w:val="00C84F0D"/>
    <w:rsid w:val="00C84F74"/>
    <w:rsid w:val="00C853F6"/>
    <w:rsid w:val="00C856D9"/>
    <w:rsid w:val="00C86518"/>
    <w:rsid w:val="00C90466"/>
    <w:rsid w:val="00C90735"/>
    <w:rsid w:val="00C90AC4"/>
    <w:rsid w:val="00C91612"/>
    <w:rsid w:val="00C91ADA"/>
    <w:rsid w:val="00C91B0D"/>
    <w:rsid w:val="00C91BF2"/>
    <w:rsid w:val="00C92179"/>
    <w:rsid w:val="00C9278A"/>
    <w:rsid w:val="00C92CBC"/>
    <w:rsid w:val="00C92E32"/>
    <w:rsid w:val="00C936F4"/>
    <w:rsid w:val="00C9370D"/>
    <w:rsid w:val="00C93A1E"/>
    <w:rsid w:val="00C93C4B"/>
    <w:rsid w:val="00C95059"/>
    <w:rsid w:val="00C9556E"/>
    <w:rsid w:val="00C95E80"/>
    <w:rsid w:val="00C96357"/>
    <w:rsid w:val="00C963B5"/>
    <w:rsid w:val="00C96A30"/>
    <w:rsid w:val="00C973CB"/>
    <w:rsid w:val="00C974E5"/>
    <w:rsid w:val="00C9760D"/>
    <w:rsid w:val="00C97786"/>
    <w:rsid w:val="00C97C92"/>
    <w:rsid w:val="00CA021C"/>
    <w:rsid w:val="00CA074D"/>
    <w:rsid w:val="00CA082D"/>
    <w:rsid w:val="00CA1C2D"/>
    <w:rsid w:val="00CA1CC8"/>
    <w:rsid w:val="00CA2002"/>
    <w:rsid w:val="00CA23F5"/>
    <w:rsid w:val="00CA2E59"/>
    <w:rsid w:val="00CA337F"/>
    <w:rsid w:val="00CA398C"/>
    <w:rsid w:val="00CA406E"/>
    <w:rsid w:val="00CA45FC"/>
    <w:rsid w:val="00CA46AE"/>
    <w:rsid w:val="00CA5626"/>
    <w:rsid w:val="00CA69E3"/>
    <w:rsid w:val="00CA73EA"/>
    <w:rsid w:val="00CA7DC8"/>
    <w:rsid w:val="00CB0160"/>
    <w:rsid w:val="00CB05B6"/>
    <w:rsid w:val="00CB0A0E"/>
    <w:rsid w:val="00CB0D08"/>
    <w:rsid w:val="00CB0E4B"/>
    <w:rsid w:val="00CB11EE"/>
    <w:rsid w:val="00CB1D45"/>
    <w:rsid w:val="00CB2CA0"/>
    <w:rsid w:val="00CB2F7D"/>
    <w:rsid w:val="00CB3226"/>
    <w:rsid w:val="00CB3ABC"/>
    <w:rsid w:val="00CB3B26"/>
    <w:rsid w:val="00CB4564"/>
    <w:rsid w:val="00CB50C3"/>
    <w:rsid w:val="00CB5402"/>
    <w:rsid w:val="00CB68DD"/>
    <w:rsid w:val="00CC0B93"/>
    <w:rsid w:val="00CC1F36"/>
    <w:rsid w:val="00CC275D"/>
    <w:rsid w:val="00CC30AA"/>
    <w:rsid w:val="00CC30F1"/>
    <w:rsid w:val="00CC3333"/>
    <w:rsid w:val="00CC3488"/>
    <w:rsid w:val="00CC365A"/>
    <w:rsid w:val="00CC36A0"/>
    <w:rsid w:val="00CC3AD9"/>
    <w:rsid w:val="00CC4012"/>
    <w:rsid w:val="00CC5E03"/>
    <w:rsid w:val="00CC6F39"/>
    <w:rsid w:val="00CC7258"/>
    <w:rsid w:val="00CC7267"/>
    <w:rsid w:val="00CD04EB"/>
    <w:rsid w:val="00CD0C1F"/>
    <w:rsid w:val="00CD1136"/>
    <w:rsid w:val="00CD1231"/>
    <w:rsid w:val="00CD1B67"/>
    <w:rsid w:val="00CD1F6F"/>
    <w:rsid w:val="00CD2813"/>
    <w:rsid w:val="00CD29B9"/>
    <w:rsid w:val="00CD3B53"/>
    <w:rsid w:val="00CD3D6D"/>
    <w:rsid w:val="00CD3DE9"/>
    <w:rsid w:val="00CD550C"/>
    <w:rsid w:val="00CD5526"/>
    <w:rsid w:val="00CD566E"/>
    <w:rsid w:val="00CD56BE"/>
    <w:rsid w:val="00CD59D5"/>
    <w:rsid w:val="00CD5F0F"/>
    <w:rsid w:val="00CD65D0"/>
    <w:rsid w:val="00CD674B"/>
    <w:rsid w:val="00CD7407"/>
    <w:rsid w:val="00CD7836"/>
    <w:rsid w:val="00CD7E2C"/>
    <w:rsid w:val="00CD7F52"/>
    <w:rsid w:val="00CE08F8"/>
    <w:rsid w:val="00CE1F3E"/>
    <w:rsid w:val="00CE2492"/>
    <w:rsid w:val="00CE2709"/>
    <w:rsid w:val="00CE2F9D"/>
    <w:rsid w:val="00CE310B"/>
    <w:rsid w:val="00CE342B"/>
    <w:rsid w:val="00CE358D"/>
    <w:rsid w:val="00CE3986"/>
    <w:rsid w:val="00CE3DEA"/>
    <w:rsid w:val="00CE41AB"/>
    <w:rsid w:val="00CE4739"/>
    <w:rsid w:val="00CE4887"/>
    <w:rsid w:val="00CE4C01"/>
    <w:rsid w:val="00CE501E"/>
    <w:rsid w:val="00CE59E1"/>
    <w:rsid w:val="00CE5E95"/>
    <w:rsid w:val="00CE6047"/>
    <w:rsid w:val="00CE6948"/>
    <w:rsid w:val="00CE6FA9"/>
    <w:rsid w:val="00CE721D"/>
    <w:rsid w:val="00CE7EF2"/>
    <w:rsid w:val="00CF006E"/>
    <w:rsid w:val="00CF0628"/>
    <w:rsid w:val="00CF09D7"/>
    <w:rsid w:val="00CF0D7B"/>
    <w:rsid w:val="00CF1183"/>
    <w:rsid w:val="00CF2428"/>
    <w:rsid w:val="00CF2F02"/>
    <w:rsid w:val="00CF33C1"/>
    <w:rsid w:val="00CF3B02"/>
    <w:rsid w:val="00CF3DBB"/>
    <w:rsid w:val="00CF3ECD"/>
    <w:rsid w:val="00CF43BD"/>
    <w:rsid w:val="00CF455E"/>
    <w:rsid w:val="00CF4854"/>
    <w:rsid w:val="00CF4ADA"/>
    <w:rsid w:val="00CF4DD1"/>
    <w:rsid w:val="00CF4F00"/>
    <w:rsid w:val="00CF535E"/>
    <w:rsid w:val="00CF58FD"/>
    <w:rsid w:val="00CF5D91"/>
    <w:rsid w:val="00CF6170"/>
    <w:rsid w:val="00D0023E"/>
    <w:rsid w:val="00D003FF"/>
    <w:rsid w:val="00D00B6D"/>
    <w:rsid w:val="00D014A3"/>
    <w:rsid w:val="00D02891"/>
    <w:rsid w:val="00D037E7"/>
    <w:rsid w:val="00D0430B"/>
    <w:rsid w:val="00D04552"/>
    <w:rsid w:val="00D04ED3"/>
    <w:rsid w:val="00D057A9"/>
    <w:rsid w:val="00D0612D"/>
    <w:rsid w:val="00D065C0"/>
    <w:rsid w:val="00D06AEB"/>
    <w:rsid w:val="00D07D7A"/>
    <w:rsid w:val="00D1029A"/>
    <w:rsid w:val="00D105C2"/>
    <w:rsid w:val="00D10735"/>
    <w:rsid w:val="00D115AC"/>
    <w:rsid w:val="00D12261"/>
    <w:rsid w:val="00D12788"/>
    <w:rsid w:val="00D12854"/>
    <w:rsid w:val="00D13154"/>
    <w:rsid w:val="00D134AB"/>
    <w:rsid w:val="00D13508"/>
    <w:rsid w:val="00D137C8"/>
    <w:rsid w:val="00D142CB"/>
    <w:rsid w:val="00D14477"/>
    <w:rsid w:val="00D14BEC"/>
    <w:rsid w:val="00D14D08"/>
    <w:rsid w:val="00D14D2B"/>
    <w:rsid w:val="00D15477"/>
    <w:rsid w:val="00D16086"/>
    <w:rsid w:val="00D1699C"/>
    <w:rsid w:val="00D16AE6"/>
    <w:rsid w:val="00D16D27"/>
    <w:rsid w:val="00D179C7"/>
    <w:rsid w:val="00D210CA"/>
    <w:rsid w:val="00D2177A"/>
    <w:rsid w:val="00D220D4"/>
    <w:rsid w:val="00D22113"/>
    <w:rsid w:val="00D22A4A"/>
    <w:rsid w:val="00D22C8C"/>
    <w:rsid w:val="00D23A86"/>
    <w:rsid w:val="00D24580"/>
    <w:rsid w:val="00D246DA"/>
    <w:rsid w:val="00D24C97"/>
    <w:rsid w:val="00D255F9"/>
    <w:rsid w:val="00D25E28"/>
    <w:rsid w:val="00D265AC"/>
    <w:rsid w:val="00D269EA"/>
    <w:rsid w:val="00D26A9F"/>
    <w:rsid w:val="00D26ABD"/>
    <w:rsid w:val="00D270DE"/>
    <w:rsid w:val="00D27BF3"/>
    <w:rsid w:val="00D30695"/>
    <w:rsid w:val="00D3168E"/>
    <w:rsid w:val="00D318EC"/>
    <w:rsid w:val="00D31B49"/>
    <w:rsid w:val="00D31D50"/>
    <w:rsid w:val="00D31F03"/>
    <w:rsid w:val="00D32311"/>
    <w:rsid w:val="00D3263B"/>
    <w:rsid w:val="00D32BC3"/>
    <w:rsid w:val="00D33108"/>
    <w:rsid w:val="00D33B7C"/>
    <w:rsid w:val="00D33BAD"/>
    <w:rsid w:val="00D345A9"/>
    <w:rsid w:val="00D351B9"/>
    <w:rsid w:val="00D36375"/>
    <w:rsid w:val="00D36815"/>
    <w:rsid w:val="00D369DE"/>
    <w:rsid w:val="00D371B4"/>
    <w:rsid w:val="00D37DC7"/>
    <w:rsid w:val="00D40328"/>
    <w:rsid w:val="00D40633"/>
    <w:rsid w:val="00D4194B"/>
    <w:rsid w:val="00D427D2"/>
    <w:rsid w:val="00D428BE"/>
    <w:rsid w:val="00D42A3C"/>
    <w:rsid w:val="00D42B9D"/>
    <w:rsid w:val="00D42C10"/>
    <w:rsid w:val="00D42D2A"/>
    <w:rsid w:val="00D431A9"/>
    <w:rsid w:val="00D436F3"/>
    <w:rsid w:val="00D451C3"/>
    <w:rsid w:val="00D45ACA"/>
    <w:rsid w:val="00D45FFF"/>
    <w:rsid w:val="00D46111"/>
    <w:rsid w:val="00D4629C"/>
    <w:rsid w:val="00D464F2"/>
    <w:rsid w:val="00D4669F"/>
    <w:rsid w:val="00D468E2"/>
    <w:rsid w:val="00D47A8A"/>
    <w:rsid w:val="00D47CA8"/>
    <w:rsid w:val="00D47EE8"/>
    <w:rsid w:val="00D503B0"/>
    <w:rsid w:val="00D50890"/>
    <w:rsid w:val="00D50AF8"/>
    <w:rsid w:val="00D50EBE"/>
    <w:rsid w:val="00D51C8A"/>
    <w:rsid w:val="00D522A1"/>
    <w:rsid w:val="00D52411"/>
    <w:rsid w:val="00D527EE"/>
    <w:rsid w:val="00D533DA"/>
    <w:rsid w:val="00D5405F"/>
    <w:rsid w:val="00D54BB9"/>
    <w:rsid w:val="00D54BDC"/>
    <w:rsid w:val="00D552F1"/>
    <w:rsid w:val="00D55B04"/>
    <w:rsid w:val="00D55E14"/>
    <w:rsid w:val="00D56E84"/>
    <w:rsid w:val="00D57751"/>
    <w:rsid w:val="00D57BB8"/>
    <w:rsid w:val="00D57BF7"/>
    <w:rsid w:val="00D6062A"/>
    <w:rsid w:val="00D608EC"/>
    <w:rsid w:val="00D60EAE"/>
    <w:rsid w:val="00D61BB2"/>
    <w:rsid w:val="00D62036"/>
    <w:rsid w:val="00D623E4"/>
    <w:rsid w:val="00D62B08"/>
    <w:rsid w:val="00D62DC6"/>
    <w:rsid w:val="00D63687"/>
    <w:rsid w:val="00D637F2"/>
    <w:rsid w:val="00D643ED"/>
    <w:rsid w:val="00D64FA9"/>
    <w:rsid w:val="00D65226"/>
    <w:rsid w:val="00D659EF"/>
    <w:rsid w:val="00D66474"/>
    <w:rsid w:val="00D66A46"/>
    <w:rsid w:val="00D66C26"/>
    <w:rsid w:val="00D66E30"/>
    <w:rsid w:val="00D67795"/>
    <w:rsid w:val="00D67D1E"/>
    <w:rsid w:val="00D70708"/>
    <w:rsid w:val="00D707A6"/>
    <w:rsid w:val="00D70D7D"/>
    <w:rsid w:val="00D71403"/>
    <w:rsid w:val="00D71C1A"/>
    <w:rsid w:val="00D71E6C"/>
    <w:rsid w:val="00D7271F"/>
    <w:rsid w:val="00D727FB"/>
    <w:rsid w:val="00D7288F"/>
    <w:rsid w:val="00D73623"/>
    <w:rsid w:val="00D73FA1"/>
    <w:rsid w:val="00D748AA"/>
    <w:rsid w:val="00D748ED"/>
    <w:rsid w:val="00D74B1C"/>
    <w:rsid w:val="00D74BBF"/>
    <w:rsid w:val="00D75789"/>
    <w:rsid w:val="00D757F7"/>
    <w:rsid w:val="00D75FAA"/>
    <w:rsid w:val="00D762B1"/>
    <w:rsid w:val="00D770E3"/>
    <w:rsid w:val="00D77C49"/>
    <w:rsid w:val="00D80375"/>
    <w:rsid w:val="00D80A2D"/>
    <w:rsid w:val="00D80BCA"/>
    <w:rsid w:val="00D80C94"/>
    <w:rsid w:val="00D812E6"/>
    <w:rsid w:val="00D81BA4"/>
    <w:rsid w:val="00D81E1B"/>
    <w:rsid w:val="00D824CA"/>
    <w:rsid w:val="00D83C73"/>
    <w:rsid w:val="00D8437B"/>
    <w:rsid w:val="00D84997"/>
    <w:rsid w:val="00D85057"/>
    <w:rsid w:val="00D854CD"/>
    <w:rsid w:val="00D85D2E"/>
    <w:rsid w:val="00D86485"/>
    <w:rsid w:val="00D8682A"/>
    <w:rsid w:val="00D87030"/>
    <w:rsid w:val="00D87770"/>
    <w:rsid w:val="00D90005"/>
    <w:rsid w:val="00D9039D"/>
    <w:rsid w:val="00D90926"/>
    <w:rsid w:val="00D90A31"/>
    <w:rsid w:val="00D90C01"/>
    <w:rsid w:val="00D90EB2"/>
    <w:rsid w:val="00D91513"/>
    <w:rsid w:val="00D9260E"/>
    <w:rsid w:val="00D92952"/>
    <w:rsid w:val="00D9372C"/>
    <w:rsid w:val="00D93D4B"/>
    <w:rsid w:val="00D94209"/>
    <w:rsid w:val="00D94793"/>
    <w:rsid w:val="00D94992"/>
    <w:rsid w:val="00D95669"/>
    <w:rsid w:val="00D95811"/>
    <w:rsid w:val="00D95F40"/>
    <w:rsid w:val="00D96269"/>
    <w:rsid w:val="00D963A6"/>
    <w:rsid w:val="00DA1B93"/>
    <w:rsid w:val="00DA1C8B"/>
    <w:rsid w:val="00DA1F41"/>
    <w:rsid w:val="00DA275C"/>
    <w:rsid w:val="00DA2A49"/>
    <w:rsid w:val="00DA2B42"/>
    <w:rsid w:val="00DA33D0"/>
    <w:rsid w:val="00DA3780"/>
    <w:rsid w:val="00DA4726"/>
    <w:rsid w:val="00DA47B1"/>
    <w:rsid w:val="00DA4F6E"/>
    <w:rsid w:val="00DA59D2"/>
    <w:rsid w:val="00DA5E18"/>
    <w:rsid w:val="00DA5FF5"/>
    <w:rsid w:val="00DA7AFB"/>
    <w:rsid w:val="00DA7DA6"/>
    <w:rsid w:val="00DB02F6"/>
    <w:rsid w:val="00DB1330"/>
    <w:rsid w:val="00DB21CD"/>
    <w:rsid w:val="00DB2C01"/>
    <w:rsid w:val="00DB3BDC"/>
    <w:rsid w:val="00DB454F"/>
    <w:rsid w:val="00DB5346"/>
    <w:rsid w:val="00DB54CF"/>
    <w:rsid w:val="00DB586E"/>
    <w:rsid w:val="00DB59AC"/>
    <w:rsid w:val="00DB5E61"/>
    <w:rsid w:val="00DB7D0D"/>
    <w:rsid w:val="00DC1336"/>
    <w:rsid w:val="00DC1616"/>
    <w:rsid w:val="00DC1946"/>
    <w:rsid w:val="00DC1A15"/>
    <w:rsid w:val="00DC2914"/>
    <w:rsid w:val="00DC3E89"/>
    <w:rsid w:val="00DC4460"/>
    <w:rsid w:val="00DC4EFB"/>
    <w:rsid w:val="00DC4F6A"/>
    <w:rsid w:val="00DC6E95"/>
    <w:rsid w:val="00DC75B7"/>
    <w:rsid w:val="00DD058D"/>
    <w:rsid w:val="00DD0C8C"/>
    <w:rsid w:val="00DD1325"/>
    <w:rsid w:val="00DD2561"/>
    <w:rsid w:val="00DD2753"/>
    <w:rsid w:val="00DD3DFD"/>
    <w:rsid w:val="00DD4088"/>
    <w:rsid w:val="00DD4220"/>
    <w:rsid w:val="00DD4704"/>
    <w:rsid w:val="00DD49B2"/>
    <w:rsid w:val="00DD4BCF"/>
    <w:rsid w:val="00DD597C"/>
    <w:rsid w:val="00DD5A40"/>
    <w:rsid w:val="00DD5BB7"/>
    <w:rsid w:val="00DD6D54"/>
    <w:rsid w:val="00DD6DBF"/>
    <w:rsid w:val="00DD7305"/>
    <w:rsid w:val="00DD7407"/>
    <w:rsid w:val="00DE0DD5"/>
    <w:rsid w:val="00DE10D3"/>
    <w:rsid w:val="00DE1EF8"/>
    <w:rsid w:val="00DE2198"/>
    <w:rsid w:val="00DE2EDB"/>
    <w:rsid w:val="00DE2EE8"/>
    <w:rsid w:val="00DE2F25"/>
    <w:rsid w:val="00DE2FC8"/>
    <w:rsid w:val="00DE33B0"/>
    <w:rsid w:val="00DE38DE"/>
    <w:rsid w:val="00DE3AD7"/>
    <w:rsid w:val="00DE4227"/>
    <w:rsid w:val="00DE42A3"/>
    <w:rsid w:val="00DE4EEF"/>
    <w:rsid w:val="00DE5067"/>
    <w:rsid w:val="00DE5CC3"/>
    <w:rsid w:val="00DE61E2"/>
    <w:rsid w:val="00DE7189"/>
    <w:rsid w:val="00DE755B"/>
    <w:rsid w:val="00DE7D32"/>
    <w:rsid w:val="00DF01A6"/>
    <w:rsid w:val="00DF068F"/>
    <w:rsid w:val="00DF0713"/>
    <w:rsid w:val="00DF0C44"/>
    <w:rsid w:val="00DF1D26"/>
    <w:rsid w:val="00DF1D39"/>
    <w:rsid w:val="00DF2823"/>
    <w:rsid w:val="00DF46AF"/>
    <w:rsid w:val="00DF52B5"/>
    <w:rsid w:val="00DF5656"/>
    <w:rsid w:val="00DF569D"/>
    <w:rsid w:val="00DF57FA"/>
    <w:rsid w:val="00DF72C6"/>
    <w:rsid w:val="00DF7FD1"/>
    <w:rsid w:val="00E00676"/>
    <w:rsid w:val="00E00694"/>
    <w:rsid w:val="00E00EAA"/>
    <w:rsid w:val="00E01895"/>
    <w:rsid w:val="00E02829"/>
    <w:rsid w:val="00E02E9B"/>
    <w:rsid w:val="00E02FBD"/>
    <w:rsid w:val="00E03BD1"/>
    <w:rsid w:val="00E04B37"/>
    <w:rsid w:val="00E04DE0"/>
    <w:rsid w:val="00E04EE1"/>
    <w:rsid w:val="00E05B07"/>
    <w:rsid w:val="00E06643"/>
    <w:rsid w:val="00E06DD6"/>
    <w:rsid w:val="00E078AC"/>
    <w:rsid w:val="00E07A72"/>
    <w:rsid w:val="00E11333"/>
    <w:rsid w:val="00E11382"/>
    <w:rsid w:val="00E11496"/>
    <w:rsid w:val="00E116E8"/>
    <w:rsid w:val="00E11791"/>
    <w:rsid w:val="00E128DB"/>
    <w:rsid w:val="00E130CA"/>
    <w:rsid w:val="00E130DF"/>
    <w:rsid w:val="00E133C3"/>
    <w:rsid w:val="00E1393E"/>
    <w:rsid w:val="00E13A96"/>
    <w:rsid w:val="00E13F8B"/>
    <w:rsid w:val="00E141FE"/>
    <w:rsid w:val="00E14451"/>
    <w:rsid w:val="00E14840"/>
    <w:rsid w:val="00E1515E"/>
    <w:rsid w:val="00E157A1"/>
    <w:rsid w:val="00E163F6"/>
    <w:rsid w:val="00E16989"/>
    <w:rsid w:val="00E16BA3"/>
    <w:rsid w:val="00E179EC"/>
    <w:rsid w:val="00E17FA4"/>
    <w:rsid w:val="00E20029"/>
    <w:rsid w:val="00E214DB"/>
    <w:rsid w:val="00E21C7C"/>
    <w:rsid w:val="00E21F55"/>
    <w:rsid w:val="00E239D0"/>
    <w:rsid w:val="00E24B55"/>
    <w:rsid w:val="00E24E85"/>
    <w:rsid w:val="00E25021"/>
    <w:rsid w:val="00E25D46"/>
    <w:rsid w:val="00E25EFA"/>
    <w:rsid w:val="00E26075"/>
    <w:rsid w:val="00E268F4"/>
    <w:rsid w:val="00E269B0"/>
    <w:rsid w:val="00E2714E"/>
    <w:rsid w:val="00E278D8"/>
    <w:rsid w:val="00E27A53"/>
    <w:rsid w:val="00E303EB"/>
    <w:rsid w:val="00E30870"/>
    <w:rsid w:val="00E30A09"/>
    <w:rsid w:val="00E310B3"/>
    <w:rsid w:val="00E314F7"/>
    <w:rsid w:val="00E31A95"/>
    <w:rsid w:val="00E31B42"/>
    <w:rsid w:val="00E3247F"/>
    <w:rsid w:val="00E327B0"/>
    <w:rsid w:val="00E335E3"/>
    <w:rsid w:val="00E339B1"/>
    <w:rsid w:val="00E3403D"/>
    <w:rsid w:val="00E34F74"/>
    <w:rsid w:val="00E351F4"/>
    <w:rsid w:val="00E35858"/>
    <w:rsid w:val="00E358B9"/>
    <w:rsid w:val="00E35D3B"/>
    <w:rsid w:val="00E36D5C"/>
    <w:rsid w:val="00E37381"/>
    <w:rsid w:val="00E37479"/>
    <w:rsid w:val="00E40E9E"/>
    <w:rsid w:val="00E40FCD"/>
    <w:rsid w:val="00E4233B"/>
    <w:rsid w:val="00E423EF"/>
    <w:rsid w:val="00E42524"/>
    <w:rsid w:val="00E4310E"/>
    <w:rsid w:val="00E438D5"/>
    <w:rsid w:val="00E44255"/>
    <w:rsid w:val="00E44672"/>
    <w:rsid w:val="00E45856"/>
    <w:rsid w:val="00E45857"/>
    <w:rsid w:val="00E45D20"/>
    <w:rsid w:val="00E4614A"/>
    <w:rsid w:val="00E4679D"/>
    <w:rsid w:val="00E468FA"/>
    <w:rsid w:val="00E46B81"/>
    <w:rsid w:val="00E4713F"/>
    <w:rsid w:val="00E4780B"/>
    <w:rsid w:val="00E47B15"/>
    <w:rsid w:val="00E51627"/>
    <w:rsid w:val="00E516C5"/>
    <w:rsid w:val="00E5173F"/>
    <w:rsid w:val="00E5382F"/>
    <w:rsid w:val="00E54A15"/>
    <w:rsid w:val="00E54ADA"/>
    <w:rsid w:val="00E54C52"/>
    <w:rsid w:val="00E54E92"/>
    <w:rsid w:val="00E55169"/>
    <w:rsid w:val="00E55C6E"/>
    <w:rsid w:val="00E55D4D"/>
    <w:rsid w:val="00E55F54"/>
    <w:rsid w:val="00E56188"/>
    <w:rsid w:val="00E564E1"/>
    <w:rsid w:val="00E56F1D"/>
    <w:rsid w:val="00E57874"/>
    <w:rsid w:val="00E57DD9"/>
    <w:rsid w:val="00E6087C"/>
    <w:rsid w:val="00E60A62"/>
    <w:rsid w:val="00E60B51"/>
    <w:rsid w:val="00E60FAD"/>
    <w:rsid w:val="00E615BC"/>
    <w:rsid w:val="00E61D2F"/>
    <w:rsid w:val="00E63E30"/>
    <w:rsid w:val="00E65296"/>
    <w:rsid w:val="00E65763"/>
    <w:rsid w:val="00E65B63"/>
    <w:rsid w:val="00E65EB4"/>
    <w:rsid w:val="00E662DD"/>
    <w:rsid w:val="00E67448"/>
    <w:rsid w:val="00E67B6C"/>
    <w:rsid w:val="00E70259"/>
    <w:rsid w:val="00E7081F"/>
    <w:rsid w:val="00E717E2"/>
    <w:rsid w:val="00E720EA"/>
    <w:rsid w:val="00E7252B"/>
    <w:rsid w:val="00E7299A"/>
    <w:rsid w:val="00E75513"/>
    <w:rsid w:val="00E7591A"/>
    <w:rsid w:val="00E7713E"/>
    <w:rsid w:val="00E82069"/>
    <w:rsid w:val="00E82452"/>
    <w:rsid w:val="00E83271"/>
    <w:rsid w:val="00E839F5"/>
    <w:rsid w:val="00E83B47"/>
    <w:rsid w:val="00E83CFA"/>
    <w:rsid w:val="00E83D68"/>
    <w:rsid w:val="00E84556"/>
    <w:rsid w:val="00E857FB"/>
    <w:rsid w:val="00E85B26"/>
    <w:rsid w:val="00E85C42"/>
    <w:rsid w:val="00E8621F"/>
    <w:rsid w:val="00E8629D"/>
    <w:rsid w:val="00E86922"/>
    <w:rsid w:val="00E86A62"/>
    <w:rsid w:val="00E86C6F"/>
    <w:rsid w:val="00E86CCB"/>
    <w:rsid w:val="00E86D66"/>
    <w:rsid w:val="00E8755D"/>
    <w:rsid w:val="00E90102"/>
    <w:rsid w:val="00E90219"/>
    <w:rsid w:val="00E91B3A"/>
    <w:rsid w:val="00E92487"/>
    <w:rsid w:val="00E92816"/>
    <w:rsid w:val="00E93505"/>
    <w:rsid w:val="00E93998"/>
    <w:rsid w:val="00E93D73"/>
    <w:rsid w:val="00E94A21"/>
    <w:rsid w:val="00E95BED"/>
    <w:rsid w:val="00E95EFA"/>
    <w:rsid w:val="00E96D70"/>
    <w:rsid w:val="00E96E32"/>
    <w:rsid w:val="00E971EA"/>
    <w:rsid w:val="00E971FA"/>
    <w:rsid w:val="00E97234"/>
    <w:rsid w:val="00E97237"/>
    <w:rsid w:val="00EA0327"/>
    <w:rsid w:val="00EA086B"/>
    <w:rsid w:val="00EA0C18"/>
    <w:rsid w:val="00EA101D"/>
    <w:rsid w:val="00EA114B"/>
    <w:rsid w:val="00EA12A8"/>
    <w:rsid w:val="00EA17C3"/>
    <w:rsid w:val="00EA2751"/>
    <w:rsid w:val="00EA30C8"/>
    <w:rsid w:val="00EA3A7D"/>
    <w:rsid w:val="00EA3C7A"/>
    <w:rsid w:val="00EA40DD"/>
    <w:rsid w:val="00EA41F0"/>
    <w:rsid w:val="00EA4460"/>
    <w:rsid w:val="00EA4861"/>
    <w:rsid w:val="00EA4E8E"/>
    <w:rsid w:val="00EA5131"/>
    <w:rsid w:val="00EA562A"/>
    <w:rsid w:val="00EA601E"/>
    <w:rsid w:val="00EA6969"/>
    <w:rsid w:val="00EA71A4"/>
    <w:rsid w:val="00EA745A"/>
    <w:rsid w:val="00EB0166"/>
    <w:rsid w:val="00EB0D15"/>
    <w:rsid w:val="00EB1150"/>
    <w:rsid w:val="00EB1671"/>
    <w:rsid w:val="00EB16B6"/>
    <w:rsid w:val="00EB1C2B"/>
    <w:rsid w:val="00EB2B7B"/>
    <w:rsid w:val="00EB2CA3"/>
    <w:rsid w:val="00EB375F"/>
    <w:rsid w:val="00EB4390"/>
    <w:rsid w:val="00EB4518"/>
    <w:rsid w:val="00EB4551"/>
    <w:rsid w:val="00EB55ED"/>
    <w:rsid w:val="00EB5A35"/>
    <w:rsid w:val="00EB741E"/>
    <w:rsid w:val="00EB790E"/>
    <w:rsid w:val="00EB7AC1"/>
    <w:rsid w:val="00EC08A9"/>
    <w:rsid w:val="00EC16A1"/>
    <w:rsid w:val="00EC1730"/>
    <w:rsid w:val="00EC183A"/>
    <w:rsid w:val="00EC1ADF"/>
    <w:rsid w:val="00EC25A1"/>
    <w:rsid w:val="00EC2783"/>
    <w:rsid w:val="00EC3882"/>
    <w:rsid w:val="00EC4A07"/>
    <w:rsid w:val="00EC51F1"/>
    <w:rsid w:val="00EC55D5"/>
    <w:rsid w:val="00EC5FFD"/>
    <w:rsid w:val="00EC67EA"/>
    <w:rsid w:val="00EC6B08"/>
    <w:rsid w:val="00EC6B09"/>
    <w:rsid w:val="00EC7705"/>
    <w:rsid w:val="00EC7AF6"/>
    <w:rsid w:val="00EC7CE6"/>
    <w:rsid w:val="00ED1978"/>
    <w:rsid w:val="00ED1DB5"/>
    <w:rsid w:val="00ED2450"/>
    <w:rsid w:val="00ED2958"/>
    <w:rsid w:val="00ED44B1"/>
    <w:rsid w:val="00ED4CEA"/>
    <w:rsid w:val="00ED57A9"/>
    <w:rsid w:val="00ED5D9B"/>
    <w:rsid w:val="00ED6164"/>
    <w:rsid w:val="00ED622A"/>
    <w:rsid w:val="00ED636E"/>
    <w:rsid w:val="00ED6887"/>
    <w:rsid w:val="00ED69A5"/>
    <w:rsid w:val="00ED6AC5"/>
    <w:rsid w:val="00ED6CB6"/>
    <w:rsid w:val="00ED735F"/>
    <w:rsid w:val="00ED7701"/>
    <w:rsid w:val="00ED77FA"/>
    <w:rsid w:val="00ED7CA3"/>
    <w:rsid w:val="00EE1153"/>
    <w:rsid w:val="00EE12C9"/>
    <w:rsid w:val="00EE12FE"/>
    <w:rsid w:val="00EE1AF3"/>
    <w:rsid w:val="00EE25D4"/>
    <w:rsid w:val="00EE423B"/>
    <w:rsid w:val="00EE4870"/>
    <w:rsid w:val="00EE61A1"/>
    <w:rsid w:val="00EE6666"/>
    <w:rsid w:val="00EE6E68"/>
    <w:rsid w:val="00EF1470"/>
    <w:rsid w:val="00EF1A87"/>
    <w:rsid w:val="00EF3595"/>
    <w:rsid w:val="00EF427E"/>
    <w:rsid w:val="00EF4EA6"/>
    <w:rsid w:val="00F00380"/>
    <w:rsid w:val="00F0075F"/>
    <w:rsid w:val="00F00A4E"/>
    <w:rsid w:val="00F00EA3"/>
    <w:rsid w:val="00F021CD"/>
    <w:rsid w:val="00F02CEB"/>
    <w:rsid w:val="00F02F1A"/>
    <w:rsid w:val="00F03738"/>
    <w:rsid w:val="00F04072"/>
    <w:rsid w:val="00F04996"/>
    <w:rsid w:val="00F04C31"/>
    <w:rsid w:val="00F053A5"/>
    <w:rsid w:val="00F05425"/>
    <w:rsid w:val="00F058EA"/>
    <w:rsid w:val="00F0722E"/>
    <w:rsid w:val="00F07345"/>
    <w:rsid w:val="00F07C93"/>
    <w:rsid w:val="00F10F78"/>
    <w:rsid w:val="00F123DC"/>
    <w:rsid w:val="00F12489"/>
    <w:rsid w:val="00F12A9C"/>
    <w:rsid w:val="00F12DFF"/>
    <w:rsid w:val="00F13033"/>
    <w:rsid w:val="00F13200"/>
    <w:rsid w:val="00F137CE"/>
    <w:rsid w:val="00F15018"/>
    <w:rsid w:val="00F162AA"/>
    <w:rsid w:val="00F16656"/>
    <w:rsid w:val="00F166A5"/>
    <w:rsid w:val="00F16A3E"/>
    <w:rsid w:val="00F16BAB"/>
    <w:rsid w:val="00F16DAA"/>
    <w:rsid w:val="00F1739F"/>
    <w:rsid w:val="00F17E8D"/>
    <w:rsid w:val="00F20023"/>
    <w:rsid w:val="00F20436"/>
    <w:rsid w:val="00F2071A"/>
    <w:rsid w:val="00F2086F"/>
    <w:rsid w:val="00F210E7"/>
    <w:rsid w:val="00F2124B"/>
    <w:rsid w:val="00F213AC"/>
    <w:rsid w:val="00F22328"/>
    <w:rsid w:val="00F224C4"/>
    <w:rsid w:val="00F2349B"/>
    <w:rsid w:val="00F23552"/>
    <w:rsid w:val="00F23D1E"/>
    <w:rsid w:val="00F248B3"/>
    <w:rsid w:val="00F2522C"/>
    <w:rsid w:val="00F253AA"/>
    <w:rsid w:val="00F2568F"/>
    <w:rsid w:val="00F259DE"/>
    <w:rsid w:val="00F25CBE"/>
    <w:rsid w:val="00F25F6A"/>
    <w:rsid w:val="00F26047"/>
    <w:rsid w:val="00F262D5"/>
    <w:rsid w:val="00F27984"/>
    <w:rsid w:val="00F27C74"/>
    <w:rsid w:val="00F31189"/>
    <w:rsid w:val="00F315B4"/>
    <w:rsid w:val="00F317D7"/>
    <w:rsid w:val="00F31889"/>
    <w:rsid w:val="00F31952"/>
    <w:rsid w:val="00F31989"/>
    <w:rsid w:val="00F323B3"/>
    <w:rsid w:val="00F32CEB"/>
    <w:rsid w:val="00F32EF3"/>
    <w:rsid w:val="00F32FB5"/>
    <w:rsid w:val="00F33E58"/>
    <w:rsid w:val="00F34D73"/>
    <w:rsid w:val="00F3570B"/>
    <w:rsid w:val="00F35CA2"/>
    <w:rsid w:val="00F3786C"/>
    <w:rsid w:val="00F37B19"/>
    <w:rsid w:val="00F407BC"/>
    <w:rsid w:val="00F41165"/>
    <w:rsid w:val="00F418D9"/>
    <w:rsid w:val="00F41956"/>
    <w:rsid w:val="00F42F7B"/>
    <w:rsid w:val="00F42FEC"/>
    <w:rsid w:val="00F434C1"/>
    <w:rsid w:val="00F43D3B"/>
    <w:rsid w:val="00F43D5A"/>
    <w:rsid w:val="00F442DA"/>
    <w:rsid w:val="00F44EC8"/>
    <w:rsid w:val="00F45117"/>
    <w:rsid w:val="00F4610B"/>
    <w:rsid w:val="00F4657E"/>
    <w:rsid w:val="00F46D80"/>
    <w:rsid w:val="00F471AB"/>
    <w:rsid w:val="00F475D9"/>
    <w:rsid w:val="00F477DF"/>
    <w:rsid w:val="00F47B0D"/>
    <w:rsid w:val="00F50D37"/>
    <w:rsid w:val="00F51CA7"/>
    <w:rsid w:val="00F52B41"/>
    <w:rsid w:val="00F52E20"/>
    <w:rsid w:val="00F53FD4"/>
    <w:rsid w:val="00F5404A"/>
    <w:rsid w:val="00F54335"/>
    <w:rsid w:val="00F550C1"/>
    <w:rsid w:val="00F55AC8"/>
    <w:rsid w:val="00F55F3D"/>
    <w:rsid w:val="00F56548"/>
    <w:rsid w:val="00F57B96"/>
    <w:rsid w:val="00F57F88"/>
    <w:rsid w:val="00F600FB"/>
    <w:rsid w:val="00F605AD"/>
    <w:rsid w:val="00F6093D"/>
    <w:rsid w:val="00F61485"/>
    <w:rsid w:val="00F616DC"/>
    <w:rsid w:val="00F6192D"/>
    <w:rsid w:val="00F61BCF"/>
    <w:rsid w:val="00F61D48"/>
    <w:rsid w:val="00F62B8A"/>
    <w:rsid w:val="00F63527"/>
    <w:rsid w:val="00F6364E"/>
    <w:rsid w:val="00F63C1C"/>
    <w:rsid w:val="00F6454A"/>
    <w:rsid w:val="00F648AC"/>
    <w:rsid w:val="00F64E2A"/>
    <w:rsid w:val="00F6660C"/>
    <w:rsid w:val="00F66BE6"/>
    <w:rsid w:val="00F66D9B"/>
    <w:rsid w:val="00F678C6"/>
    <w:rsid w:val="00F67AB0"/>
    <w:rsid w:val="00F700C1"/>
    <w:rsid w:val="00F701FB"/>
    <w:rsid w:val="00F70DFB"/>
    <w:rsid w:val="00F71CEC"/>
    <w:rsid w:val="00F71E4F"/>
    <w:rsid w:val="00F71E9F"/>
    <w:rsid w:val="00F7245F"/>
    <w:rsid w:val="00F72D5C"/>
    <w:rsid w:val="00F72DE7"/>
    <w:rsid w:val="00F72F37"/>
    <w:rsid w:val="00F73BD9"/>
    <w:rsid w:val="00F744DE"/>
    <w:rsid w:val="00F74BF7"/>
    <w:rsid w:val="00F74CB3"/>
    <w:rsid w:val="00F75006"/>
    <w:rsid w:val="00F75182"/>
    <w:rsid w:val="00F75684"/>
    <w:rsid w:val="00F757CF"/>
    <w:rsid w:val="00F768F3"/>
    <w:rsid w:val="00F77545"/>
    <w:rsid w:val="00F77CCC"/>
    <w:rsid w:val="00F80BC5"/>
    <w:rsid w:val="00F80F64"/>
    <w:rsid w:val="00F8192F"/>
    <w:rsid w:val="00F81C75"/>
    <w:rsid w:val="00F81FDD"/>
    <w:rsid w:val="00F81FF0"/>
    <w:rsid w:val="00F822E6"/>
    <w:rsid w:val="00F82FB3"/>
    <w:rsid w:val="00F838E9"/>
    <w:rsid w:val="00F83E08"/>
    <w:rsid w:val="00F83F0B"/>
    <w:rsid w:val="00F84861"/>
    <w:rsid w:val="00F84E45"/>
    <w:rsid w:val="00F85599"/>
    <w:rsid w:val="00F862B5"/>
    <w:rsid w:val="00F8680E"/>
    <w:rsid w:val="00F86A83"/>
    <w:rsid w:val="00F87621"/>
    <w:rsid w:val="00F87C62"/>
    <w:rsid w:val="00F90619"/>
    <w:rsid w:val="00F90E4C"/>
    <w:rsid w:val="00F92D08"/>
    <w:rsid w:val="00F93659"/>
    <w:rsid w:val="00F939D4"/>
    <w:rsid w:val="00F93FB6"/>
    <w:rsid w:val="00F94034"/>
    <w:rsid w:val="00F94955"/>
    <w:rsid w:val="00F9525D"/>
    <w:rsid w:val="00F957F3"/>
    <w:rsid w:val="00F959F5"/>
    <w:rsid w:val="00F9664C"/>
    <w:rsid w:val="00F96892"/>
    <w:rsid w:val="00F968CC"/>
    <w:rsid w:val="00F96931"/>
    <w:rsid w:val="00F96D48"/>
    <w:rsid w:val="00F96E68"/>
    <w:rsid w:val="00F9704A"/>
    <w:rsid w:val="00F97494"/>
    <w:rsid w:val="00FA0999"/>
    <w:rsid w:val="00FA0B1C"/>
    <w:rsid w:val="00FA0DE1"/>
    <w:rsid w:val="00FA126C"/>
    <w:rsid w:val="00FA156C"/>
    <w:rsid w:val="00FA15C8"/>
    <w:rsid w:val="00FA1F28"/>
    <w:rsid w:val="00FA20B7"/>
    <w:rsid w:val="00FA28C8"/>
    <w:rsid w:val="00FA347B"/>
    <w:rsid w:val="00FA363D"/>
    <w:rsid w:val="00FA3D2D"/>
    <w:rsid w:val="00FA41D3"/>
    <w:rsid w:val="00FA48E3"/>
    <w:rsid w:val="00FA4CC4"/>
    <w:rsid w:val="00FA5524"/>
    <w:rsid w:val="00FA573F"/>
    <w:rsid w:val="00FA64D2"/>
    <w:rsid w:val="00FA74D3"/>
    <w:rsid w:val="00FB02C5"/>
    <w:rsid w:val="00FB1498"/>
    <w:rsid w:val="00FB1B9F"/>
    <w:rsid w:val="00FB2086"/>
    <w:rsid w:val="00FB2BAC"/>
    <w:rsid w:val="00FB34F1"/>
    <w:rsid w:val="00FB3E59"/>
    <w:rsid w:val="00FB3F86"/>
    <w:rsid w:val="00FB4670"/>
    <w:rsid w:val="00FB570D"/>
    <w:rsid w:val="00FB6196"/>
    <w:rsid w:val="00FB6876"/>
    <w:rsid w:val="00FB69DA"/>
    <w:rsid w:val="00FB74C9"/>
    <w:rsid w:val="00FC0C08"/>
    <w:rsid w:val="00FC0C91"/>
    <w:rsid w:val="00FC1557"/>
    <w:rsid w:val="00FC15A6"/>
    <w:rsid w:val="00FC2EEB"/>
    <w:rsid w:val="00FC3725"/>
    <w:rsid w:val="00FC4189"/>
    <w:rsid w:val="00FC4E39"/>
    <w:rsid w:val="00FC4F66"/>
    <w:rsid w:val="00FC55F0"/>
    <w:rsid w:val="00FC57A2"/>
    <w:rsid w:val="00FC5BE0"/>
    <w:rsid w:val="00FC62BA"/>
    <w:rsid w:val="00FC6652"/>
    <w:rsid w:val="00FC711C"/>
    <w:rsid w:val="00FD06CA"/>
    <w:rsid w:val="00FD1410"/>
    <w:rsid w:val="00FD1ACE"/>
    <w:rsid w:val="00FD20F1"/>
    <w:rsid w:val="00FD22AB"/>
    <w:rsid w:val="00FD24A3"/>
    <w:rsid w:val="00FD352B"/>
    <w:rsid w:val="00FD3788"/>
    <w:rsid w:val="00FD4C01"/>
    <w:rsid w:val="00FD53F6"/>
    <w:rsid w:val="00FD5622"/>
    <w:rsid w:val="00FD58AA"/>
    <w:rsid w:val="00FD5A58"/>
    <w:rsid w:val="00FD5C13"/>
    <w:rsid w:val="00FD6A39"/>
    <w:rsid w:val="00FD7838"/>
    <w:rsid w:val="00FD7A92"/>
    <w:rsid w:val="00FE0226"/>
    <w:rsid w:val="00FE09D4"/>
    <w:rsid w:val="00FE1F37"/>
    <w:rsid w:val="00FE20F6"/>
    <w:rsid w:val="00FE3425"/>
    <w:rsid w:val="00FE3AA0"/>
    <w:rsid w:val="00FE48AE"/>
    <w:rsid w:val="00FE4DB1"/>
    <w:rsid w:val="00FE5119"/>
    <w:rsid w:val="00FE5D38"/>
    <w:rsid w:val="00FE623F"/>
    <w:rsid w:val="00FE6D4F"/>
    <w:rsid w:val="00FE73CD"/>
    <w:rsid w:val="00FF03F7"/>
    <w:rsid w:val="00FF0550"/>
    <w:rsid w:val="00FF199D"/>
    <w:rsid w:val="00FF1BE5"/>
    <w:rsid w:val="00FF3A45"/>
    <w:rsid w:val="00FF3C00"/>
    <w:rsid w:val="00FF3CA9"/>
    <w:rsid w:val="00FF3E2A"/>
    <w:rsid w:val="00FF4881"/>
    <w:rsid w:val="00FF4AA6"/>
    <w:rsid w:val="00FF4FC5"/>
    <w:rsid w:val="00FF541C"/>
    <w:rsid w:val="00FF56F7"/>
    <w:rsid w:val="00FF5A6F"/>
    <w:rsid w:val="00FF5B89"/>
    <w:rsid w:val="00FF5E5B"/>
    <w:rsid w:val="00FF645E"/>
    <w:rsid w:val="00FF69F6"/>
    <w:rsid w:val="00FF6BDC"/>
    <w:rsid w:val="00FF6C34"/>
    <w:rsid w:val="00FF7772"/>
    <w:rsid w:val="00FF7D55"/>
    <w:rsid w:val="01260225"/>
    <w:rsid w:val="012B64A5"/>
    <w:rsid w:val="014D1A38"/>
    <w:rsid w:val="0168526D"/>
    <w:rsid w:val="016E27AE"/>
    <w:rsid w:val="019E10DE"/>
    <w:rsid w:val="01A134B5"/>
    <w:rsid w:val="01AB1B20"/>
    <w:rsid w:val="01AC75F0"/>
    <w:rsid w:val="01B86039"/>
    <w:rsid w:val="01C522C5"/>
    <w:rsid w:val="01E91357"/>
    <w:rsid w:val="01EA1DCA"/>
    <w:rsid w:val="01F34EBA"/>
    <w:rsid w:val="02012BD9"/>
    <w:rsid w:val="0205109B"/>
    <w:rsid w:val="02287AB6"/>
    <w:rsid w:val="02317CBF"/>
    <w:rsid w:val="024224CE"/>
    <w:rsid w:val="024731CE"/>
    <w:rsid w:val="028D10ED"/>
    <w:rsid w:val="029338D8"/>
    <w:rsid w:val="02AC7AEA"/>
    <w:rsid w:val="02B2472A"/>
    <w:rsid w:val="02BD5DCB"/>
    <w:rsid w:val="02CB30A6"/>
    <w:rsid w:val="02D848AA"/>
    <w:rsid w:val="02DD375E"/>
    <w:rsid w:val="02ED14CE"/>
    <w:rsid w:val="02F56EE3"/>
    <w:rsid w:val="034726A5"/>
    <w:rsid w:val="03666CF9"/>
    <w:rsid w:val="037B58FF"/>
    <w:rsid w:val="03931D25"/>
    <w:rsid w:val="03A8011A"/>
    <w:rsid w:val="03A85334"/>
    <w:rsid w:val="03AD59EB"/>
    <w:rsid w:val="03B31820"/>
    <w:rsid w:val="03B75A9C"/>
    <w:rsid w:val="03BC2F7B"/>
    <w:rsid w:val="03CC7465"/>
    <w:rsid w:val="03D34B6A"/>
    <w:rsid w:val="03D90E9E"/>
    <w:rsid w:val="03E52685"/>
    <w:rsid w:val="03FF5AD6"/>
    <w:rsid w:val="04182866"/>
    <w:rsid w:val="04367ED6"/>
    <w:rsid w:val="043D09D3"/>
    <w:rsid w:val="04407953"/>
    <w:rsid w:val="044544FD"/>
    <w:rsid w:val="04472C12"/>
    <w:rsid w:val="044D795B"/>
    <w:rsid w:val="045902C6"/>
    <w:rsid w:val="0475265F"/>
    <w:rsid w:val="047601C1"/>
    <w:rsid w:val="0478522C"/>
    <w:rsid w:val="0489654D"/>
    <w:rsid w:val="048B66E0"/>
    <w:rsid w:val="04997050"/>
    <w:rsid w:val="04B71810"/>
    <w:rsid w:val="04C00D9B"/>
    <w:rsid w:val="04C474CF"/>
    <w:rsid w:val="04C82F8C"/>
    <w:rsid w:val="04C918B3"/>
    <w:rsid w:val="04D0358A"/>
    <w:rsid w:val="04E64914"/>
    <w:rsid w:val="04ED2514"/>
    <w:rsid w:val="04EF1B16"/>
    <w:rsid w:val="04F42908"/>
    <w:rsid w:val="05031280"/>
    <w:rsid w:val="05176C80"/>
    <w:rsid w:val="05260171"/>
    <w:rsid w:val="053651B5"/>
    <w:rsid w:val="057E67F7"/>
    <w:rsid w:val="05811E69"/>
    <w:rsid w:val="05823C64"/>
    <w:rsid w:val="058464AB"/>
    <w:rsid w:val="05866747"/>
    <w:rsid w:val="058C0251"/>
    <w:rsid w:val="059A29C2"/>
    <w:rsid w:val="059E0610"/>
    <w:rsid w:val="05A04237"/>
    <w:rsid w:val="05BF1CE9"/>
    <w:rsid w:val="05C821C4"/>
    <w:rsid w:val="05D03BFF"/>
    <w:rsid w:val="05D06F72"/>
    <w:rsid w:val="05F01F72"/>
    <w:rsid w:val="05F693FA"/>
    <w:rsid w:val="06013FCE"/>
    <w:rsid w:val="06121141"/>
    <w:rsid w:val="06196993"/>
    <w:rsid w:val="061D1B51"/>
    <w:rsid w:val="061F4169"/>
    <w:rsid w:val="06234A77"/>
    <w:rsid w:val="063705C4"/>
    <w:rsid w:val="063B340E"/>
    <w:rsid w:val="064E247C"/>
    <w:rsid w:val="06703069"/>
    <w:rsid w:val="06775B63"/>
    <w:rsid w:val="069247F0"/>
    <w:rsid w:val="06A72894"/>
    <w:rsid w:val="06B121F0"/>
    <w:rsid w:val="06C36175"/>
    <w:rsid w:val="06CA1DBA"/>
    <w:rsid w:val="06CD3915"/>
    <w:rsid w:val="06D07EE2"/>
    <w:rsid w:val="06E7723C"/>
    <w:rsid w:val="06ED6912"/>
    <w:rsid w:val="06F15489"/>
    <w:rsid w:val="06F45398"/>
    <w:rsid w:val="06FF0B53"/>
    <w:rsid w:val="074418CD"/>
    <w:rsid w:val="075049CF"/>
    <w:rsid w:val="076B5D54"/>
    <w:rsid w:val="07777142"/>
    <w:rsid w:val="07820A0B"/>
    <w:rsid w:val="078B05A6"/>
    <w:rsid w:val="07904F8D"/>
    <w:rsid w:val="07A94F74"/>
    <w:rsid w:val="07AE1B6C"/>
    <w:rsid w:val="07AF0FFC"/>
    <w:rsid w:val="07B2471F"/>
    <w:rsid w:val="07B65457"/>
    <w:rsid w:val="07C45B44"/>
    <w:rsid w:val="083E0D94"/>
    <w:rsid w:val="08483FEC"/>
    <w:rsid w:val="08672039"/>
    <w:rsid w:val="0875311D"/>
    <w:rsid w:val="08937FFC"/>
    <w:rsid w:val="08C203A7"/>
    <w:rsid w:val="08D30CA4"/>
    <w:rsid w:val="08DA6B9B"/>
    <w:rsid w:val="090E69E0"/>
    <w:rsid w:val="09155BFB"/>
    <w:rsid w:val="092114CC"/>
    <w:rsid w:val="09395BF6"/>
    <w:rsid w:val="09656794"/>
    <w:rsid w:val="098D59D4"/>
    <w:rsid w:val="098F1FFF"/>
    <w:rsid w:val="09A01E77"/>
    <w:rsid w:val="09A25491"/>
    <w:rsid w:val="09BE05C5"/>
    <w:rsid w:val="09D26E02"/>
    <w:rsid w:val="09D85955"/>
    <w:rsid w:val="09E64FE7"/>
    <w:rsid w:val="09FC506F"/>
    <w:rsid w:val="0A084605"/>
    <w:rsid w:val="0A0916EF"/>
    <w:rsid w:val="0A2272E8"/>
    <w:rsid w:val="0A455FCA"/>
    <w:rsid w:val="0A4E77FE"/>
    <w:rsid w:val="0A5E0137"/>
    <w:rsid w:val="0A773335"/>
    <w:rsid w:val="0A801ED9"/>
    <w:rsid w:val="0A8F23F3"/>
    <w:rsid w:val="0A9D29AC"/>
    <w:rsid w:val="0AB67083"/>
    <w:rsid w:val="0AFA1BE8"/>
    <w:rsid w:val="0B0508AA"/>
    <w:rsid w:val="0B0A3ACF"/>
    <w:rsid w:val="0B271D3F"/>
    <w:rsid w:val="0B2726D2"/>
    <w:rsid w:val="0B4F2E8C"/>
    <w:rsid w:val="0B66657A"/>
    <w:rsid w:val="0B860B1F"/>
    <w:rsid w:val="0B8F6675"/>
    <w:rsid w:val="0B9E5FC9"/>
    <w:rsid w:val="0BBD39D4"/>
    <w:rsid w:val="0BC85E90"/>
    <w:rsid w:val="0C03033E"/>
    <w:rsid w:val="0C0D6306"/>
    <w:rsid w:val="0C1D6938"/>
    <w:rsid w:val="0C25562C"/>
    <w:rsid w:val="0C300041"/>
    <w:rsid w:val="0C453AD5"/>
    <w:rsid w:val="0C484349"/>
    <w:rsid w:val="0C5A75D3"/>
    <w:rsid w:val="0C5D7A0B"/>
    <w:rsid w:val="0C697506"/>
    <w:rsid w:val="0C6C1D02"/>
    <w:rsid w:val="0C6D08C1"/>
    <w:rsid w:val="0C760551"/>
    <w:rsid w:val="0C7D01AA"/>
    <w:rsid w:val="0C834C9F"/>
    <w:rsid w:val="0C9A5B97"/>
    <w:rsid w:val="0CAB1859"/>
    <w:rsid w:val="0CB12F21"/>
    <w:rsid w:val="0CC76598"/>
    <w:rsid w:val="0CF97F83"/>
    <w:rsid w:val="0D383CCF"/>
    <w:rsid w:val="0D3A0ECF"/>
    <w:rsid w:val="0D430EF8"/>
    <w:rsid w:val="0D44768B"/>
    <w:rsid w:val="0D5711E4"/>
    <w:rsid w:val="0D814BB3"/>
    <w:rsid w:val="0D8E083B"/>
    <w:rsid w:val="0DA075E5"/>
    <w:rsid w:val="0DBD6E48"/>
    <w:rsid w:val="0DD22018"/>
    <w:rsid w:val="0DE14D05"/>
    <w:rsid w:val="0DE2046D"/>
    <w:rsid w:val="0DF37801"/>
    <w:rsid w:val="0E0028BC"/>
    <w:rsid w:val="0E321E21"/>
    <w:rsid w:val="0E390B53"/>
    <w:rsid w:val="0E455B76"/>
    <w:rsid w:val="0E470E43"/>
    <w:rsid w:val="0E5D1A14"/>
    <w:rsid w:val="0E625953"/>
    <w:rsid w:val="0E6B2ACC"/>
    <w:rsid w:val="0E88152A"/>
    <w:rsid w:val="0EAB4B81"/>
    <w:rsid w:val="0EAC7AAF"/>
    <w:rsid w:val="0EBE6EED"/>
    <w:rsid w:val="0ECC39F8"/>
    <w:rsid w:val="0F0034DC"/>
    <w:rsid w:val="0F0D1F9D"/>
    <w:rsid w:val="0F112328"/>
    <w:rsid w:val="0F38352F"/>
    <w:rsid w:val="0F397DEE"/>
    <w:rsid w:val="0F3D6309"/>
    <w:rsid w:val="0F5222FD"/>
    <w:rsid w:val="0F5D0661"/>
    <w:rsid w:val="0F605E26"/>
    <w:rsid w:val="0F70164A"/>
    <w:rsid w:val="0F9A588A"/>
    <w:rsid w:val="0FA637D4"/>
    <w:rsid w:val="0FAC5631"/>
    <w:rsid w:val="0FAD27A3"/>
    <w:rsid w:val="0FB93D71"/>
    <w:rsid w:val="0FF17009"/>
    <w:rsid w:val="10040254"/>
    <w:rsid w:val="100A1745"/>
    <w:rsid w:val="1010028D"/>
    <w:rsid w:val="101E4034"/>
    <w:rsid w:val="10295BB9"/>
    <w:rsid w:val="102F578B"/>
    <w:rsid w:val="1037498E"/>
    <w:rsid w:val="104141D0"/>
    <w:rsid w:val="10470313"/>
    <w:rsid w:val="10502188"/>
    <w:rsid w:val="106023C9"/>
    <w:rsid w:val="106F341A"/>
    <w:rsid w:val="10806065"/>
    <w:rsid w:val="10813B2A"/>
    <w:rsid w:val="108B05BE"/>
    <w:rsid w:val="108E0776"/>
    <w:rsid w:val="1098656C"/>
    <w:rsid w:val="10A06920"/>
    <w:rsid w:val="10C120D7"/>
    <w:rsid w:val="10C81F6C"/>
    <w:rsid w:val="10DC633C"/>
    <w:rsid w:val="10DD075F"/>
    <w:rsid w:val="10DE00A5"/>
    <w:rsid w:val="11014F07"/>
    <w:rsid w:val="111E316F"/>
    <w:rsid w:val="112457FB"/>
    <w:rsid w:val="113A7E9D"/>
    <w:rsid w:val="114F627B"/>
    <w:rsid w:val="116510BD"/>
    <w:rsid w:val="11691C9A"/>
    <w:rsid w:val="117144A4"/>
    <w:rsid w:val="117A64FD"/>
    <w:rsid w:val="11912FEB"/>
    <w:rsid w:val="11926B81"/>
    <w:rsid w:val="11A7432A"/>
    <w:rsid w:val="11AA4A48"/>
    <w:rsid w:val="11BA4996"/>
    <w:rsid w:val="11C317FC"/>
    <w:rsid w:val="11DB57DD"/>
    <w:rsid w:val="11F31D34"/>
    <w:rsid w:val="12017172"/>
    <w:rsid w:val="120C40F6"/>
    <w:rsid w:val="12107FF1"/>
    <w:rsid w:val="121750BE"/>
    <w:rsid w:val="12186E1F"/>
    <w:rsid w:val="123C5591"/>
    <w:rsid w:val="126133CD"/>
    <w:rsid w:val="126D1A6C"/>
    <w:rsid w:val="128B3708"/>
    <w:rsid w:val="12AA2042"/>
    <w:rsid w:val="12C12DCC"/>
    <w:rsid w:val="12C138B5"/>
    <w:rsid w:val="12CC49D6"/>
    <w:rsid w:val="12D249E2"/>
    <w:rsid w:val="12D7694A"/>
    <w:rsid w:val="12DF3558"/>
    <w:rsid w:val="12F05AA2"/>
    <w:rsid w:val="136B7334"/>
    <w:rsid w:val="13710158"/>
    <w:rsid w:val="13954C78"/>
    <w:rsid w:val="13A63A38"/>
    <w:rsid w:val="13A70279"/>
    <w:rsid w:val="13B863D2"/>
    <w:rsid w:val="13BA5B46"/>
    <w:rsid w:val="13D84DC2"/>
    <w:rsid w:val="13E53C68"/>
    <w:rsid w:val="142B37CD"/>
    <w:rsid w:val="14337630"/>
    <w:rsid w:val="143C69E4"/>
    <w:rsid w:val="143F7B23"/>
    <w:rsid w:val="145D36D5"/>
    <w:rsid w:val="145F614F"/>
    <w:rsid w:val="14635854"/>
    <w:rsid w:val="146642B3"/>
    <w:rsid w:val="14916EEB"/>
    <w:rsid w:val="14AE748E"/>
    <w:rsid w:val="14B751EE"/>
    <w:rsid w:val="14E75DFB"/>
    <w:rsid w:val="14F67651"/>
    <w:rsid w:val="15061BAE"/>
    <w:rsid w:val="150C71C3"/>
    <w:rsid w:val="151B20A1"/>
    <w:rsid w:val="153849FC"/>
    <w:rsid w:val="153D5FB4"/>
    <w:rsid w:val="154A2269"/>
    <w:rsid w:val="155375B4"/>
    <w:rsid w:val="156F27B8"/>
    <w:rsid w:val="1570158A"/>
    <w:rsid w:val="158F4E06"/>
    <w:rsid w:val="159C7CFB"/>
    <w:rsid w:val="15AB7F0F"/>
    <w:rsid w:val="15B46CE7"/>
    <w:rsid w:val="15B510D4"/>
    <w:rsid w:val="15BB6BEC"/>
    <w:rsid w:val="15C46D3A"/>
    <w:rsid w:val="15D26FFE"/>
    <w:rsid w:val="15DC484C"/>
    <w:rsid w:val="15FE276E"/>
    <w:rsid w:val="1629536E"/>
    <w:rsid w:val="163350B8"/>
    <w:rsid w:val="16406D05"/>
    <w:rsid w:val="164200CB"/>
    <w:rsid w:val="16504289"/>
    <w:rsid w:val="165106E0"/>
    <w:rsid w:val="16662518"/>
    <w:rsid w:val="166C73F1"/>
    <w:rsid w:val="166F24A7"/>
    <w:rsid w:val="16742A70"/>
    <w:rsid w:val="16781BAC"/>
    <w:rsid w:val="1685582D"/>
    <w:rsid w:val="16975EEA"/>
    <w:rsid w:val="169825E7"/>
    <w:rsid w:val="16C877B6"/>
    <w:rsid w:val="16D2774C"/>
    <w:rsid w:val="16F6380B"/>
    <w:rsid w:val="1701097F"/>
    <w:rsid w:val="170822EC"/>
    <w:rsid w:val="171D5B66"/>
    <w:rsid w:val="17342066"/>
    <w:rsid w:val="17450204"/>
    <w:rsid w:val="174A2D90"/>
    <w:rsid w:val="174D7B0B"/>
    <w:rsid w:val="175A16FD"/>
    <w:rsid w:val="17615595"/>
    <w:rsid w:val="17916E76"/>
    <w:rsid w:val="17A27844"/>
    <w:rsid w:val="17A50479"/>
    <w:rsid w:val="17AA280D"/>
    <w:rsid w:val="17ACA08F"/>
    <w:rsid w:val="17D95C2B"/>
    <w:rsid w:val="17DC3C35"/>
    <w:rsid w:val="17DF2976"/>
    <w:rsid w:val="17ED4F72"/>
    <w:rsid w:val="17FB548E"/>
    <w:rsid w:val="17FE530A"/>
    <w:rsid w:val="180E351B"/>
    <w:rsid w:val="18226C9D"/>
    <w:rsid w:val="182D194A"/>
    <w:rsid w:val="183614DE"/>
    <w:rsid w:val="18486804"/>
    <w:rsid w:val="1851304F"/>
    <w:rsid w:val="185338EC"/>
    <w:rsid w:val="18692D99"/>
    <w:rsid w:val="188D0960"/>
    <w:rsid w:val="189122F1"/>
    <w:rsid w:val="18914BF2"/>
    <w:rsid w:val="189B3C04"/>
    <w:rsid w:val="18BC112C"/>
    <w:rsid w:val="18BC2A04"/>
    <w:rsid w:val="18C775A9"/>
    <w:rsid w:val="18D32E93"/>
    <w:rsid w:val="1900386C"/>
    <w:rsid w:val="19052800"/>
    <w:rsid w:val="1910541D"/>
    <w:rsid w:val="19322EDE"/>
    <w:rsid w:val="19347619"/>
    <w:rsid w:val="193F3247"/>
    <w:rsid w:val="19500708"/>
    <w:rsid w:val="19510080"/>
    <w:rsid w:val="1956115B"/>
    <w:rsid w:val="1967235D"/>
    <w:rsid w:val="198D3C6B"/>
    <w:rsid w:val="199C47AF"/>
    <w:rsid w:val="199D527E"/>
    <w:rsid w:val="199F1B18"/>
    <w:rsid w:val="19B83E36"/>
    <w:rsid w:val="19D79B8C"/>
    <w:rsid w:val="1A017C61"/>
    <w:rsid w:val="1A0C372A"/>
    <w:rsid w:val="1A0E38CD"/>
    <w:rsid w:val="1A112219"/>
    <w:rsid w:val="1A163E7D"/>
    <w:rsid w:val="1A187BA6"/>
    <w:rsid w:val="1A244537"/>
    <w:rsid w:val="1A2D77A0"/>
    <w:rsid w:val="1A3204D7"/>
    <w:rsid w:val="1A411510"/>
    <w:rsid w:val="1A6C3FF8"/>
    <w:rsid w:val="1A8A00FA"/>
    <w:rsid w:val="1A90734A"/>
    <w:rsid w:val="1A92634F"/>
    <w:rsid w:val="1AA2754B"/>
    <w:rsid w:val="1AA70044"/>
    <w:rsid w:val="1ADD0C23"/>
    <w:rsid w:val="1B1C0E0B"/>
    <w:rsid w:val="1B2136FE"/>
    <w:rsid w:val="1B2B5882"/>
    <w:rsid w:val="1B321C48"/>
    <w:rsid w:val="1B455C7F"/>
    <w:rsid w:val="1B653524"/>
    <w:rsid w:val="1B7318EA"/>
    <w:rsid w:val="1BCD0BB5"/>
    <w:rsid w:val="1BDE1561"/>
    <w:rsid w:val="1BE555FA"/>
    <w:rsid w:val="1BF60F4C"/>
    <w:rsid w:val="1BF726E1"/>
    <w:rsid w:val="1BFD67D6"/>
    <w:rsid w:val="1C003FFC"/>
    <w:rsid w:val="1C0C38B4"/>
    <w:rsid w:val="1C1D67CD"/>
    <w:rsid w:val="1C1E2484"/>
    <w:rsid w:val="1C224C26"/>
    <w:rsid w:val="1C47066C"/>
    <w:rsid w:val="1C544484"/>
    <w:rsid w:val="1C6160E0"/>
    <w:rsid w:val="1C715266"/>
    <w:rsid w:val="1C88211A"/>
    <w:rsid w:val="1CB63B8E"/>
    <w:rsid w:val="1CBB6E0B"/>
    <w:rsid w:val="1CC23C19"/>
    <w:rsid w:val="1CC42318"/>
    <w:rsid w:val="1CC5028D"/>
    <w:rsid w:val="1CFA1315"/>
    <w:rsid w:val="1D022242"/>
    <w:rsid w:val="1D147F61"/>
    <w:rsid w:val="1D1D6F6A"/>
    <w:rsid w:val="1D3E7121"/>
    <w:rsid w:val="1D560E8D"/>
    <w:rsid w:val="1D6472FB"/>
    <w:rsid w:val="1D6614E2"/>
    <w:rsid w:val="1D677C03"/>
    <w:rsid w:val="1D715B75"/>
    <w:rsid w:val="1D7461AC"/>
    <w:rsid w:val="1D8C7F6A"/>
    <w:rsid w:val="1D8D702F"/>
    <w:rsid w:val="1DA40855"/>
    <w:rsid w:val="1DFF9014"/>
    <w:rsid w:val="1E025816"/>
    <w:rsid w:val="1E061EC4"/>
    <w:rsid w:val="1E2B4E92"/>
    <w:rsid w:val="1E3B2B90"/>
    <w:rsid w:val="1E3C573A"/>
    <w:rsid w:val="1E461129"/>
    <w:rsid w:val="1E5E0E98"/>
    <w:rsid w:val="1E656319"/>
    <w:rsid w:val="1E6564F8"/>
    <w:rsid w:val="1E6A7320"/>
    <w:rsid w:val="1E933567"/>
    <w:rsid w:val="1EAA342C"/>
    <w:rsid w:val="1EC17831"/>
    <w:rsid w:val="1ECB2A22"/>
    <w:rsid w:val="1EDF59F0"/>
    <w:rsid w:val="1EF16622"/>
    <w:rsid w:val="1EF375B1"/>
    <w:rsid w:val="1EFF4116"/>
    <w:rsid w:val="1F15B2B7"/>
    <w:rsid w:val="1F183472"/>
    <w:rsid w:val="1F1D06B4"/>
    <w:rsid w:val="1F271B51"/>
    <w:rsid w:val="1F383069"/>
    <w:rsid w:val="1F3B391E"/>
    <w:rsid w:val="1F3F51B8"/>
    <w:rsid w:val="1F417D89"/>
    <w:rsid w:val="1F46049B"/>
    <w:rsid w:val="1F492448"/>
    <w:rsid w:val="1F4D4CE8"/>
    <w:rsid w:val="1F5369C1"/>
    <w:rsid w:val="1F594942"/>
    <w:rsid w:val="1F7A1573"/>
    <w:rsid w:val="1F877C56"/>
    <w:rsid w:val="1F9636C1"/>
    <w:rsid w:val="1F9D2D12"/>
    <w:rsid w:val="1FAD9288"/>
    <w:rsid w:val="1FB70E61"/>
    <w:rsid w:val="1FE43CAC"/>
    <w:rsid w:val="1FFB096E"/>
    <w:rsid w:val="20047043"/>
    <w:rsid w:val="20106D30"/>
    <w:rsid w:val="201447B9"/>
    <w:rsid w:val="201F6D26"/>
    <w:rsid w:val="203033A7"/>
    <w:rsid w:val="20381A11"/>
    <w:rsid w:val="203873E6"/>
    <w:rsid w:val="203D09A3"/>
    <w:rsid w:val="204A1F66"/>
    <w:rsid w:val="20564EB4"/>
    <w:rsid w:val="20650700"/>
    <w:rsid w:val="20663B33"/>
    <w:rsid w:val="20701480"/>
    <w:rsid w:val="20971013"/>
    <w:rsid w:val="20A82E07"/>
    <w:rsid w:val="20C107F2"/>
    <w:rsid w:val="20C644DF"/>
    <w:rsid w:val="20CA1B8B"/>
    <w:rsid w:val="21083F26"/>
    <w:rsid w:val="21191681"/>
    <w:rsid w:val="213C38A3"/>
    <w:rsid w:val="21450FB1"/>
    <w:rsid w:val="214B32FD"/>
    <w:rsid w:val="215B3783"/>
    <w:rsid w:val="21683E78"/>
    <w:rsid w:val="216F4834"/>
    <w:rsid w:val="217B4360"/>
    <w:rsid w:val="217B7832"/>
    <w:rsid w:val="21A4299C"/>
    <w:rsid w:val="21AF246D"/>
    <w:rsid w:val="21CD2CBA"/>
    <w:rsid w:val="220924D6"/>
    <w:rsid w:val="220F0D08"/>
    <w:rsid w:val="220F3AA8"/>
    <w:rsid w:val="221E7748"/>
    <w:rsid w:val="22215BD9"/>
    <w:rsid w:val="2222217F"/>
    <w:rsid w:val="222956B4"/>
    <w:rsid w:val="22314FE2"/>
    <w:rsid w:val="223C1491"/>
    <w:rsid w:val="224E4851"/>
    <w:rsid w:val="225B14AB"/>
    <w:rsid w:val="226B5ED9"/>
    <w:rsid w:val="226E7BCB"/>
    <w:rsid w:val="22760C12"/>
    <w:rsid w:val="228B29F9"/>
    <w:rsid w:val="22915649"/>
    <w:rsid w:val="22967BE5"/>
    <w:rsid w:val="22B170A2"/>
    <w:rsid w:val="22B21D83"/>
    <w:rsid w:val="22CA7675"/>
    <w:rsid w:val="22CF447F"/>
    <w:rsid w:val="22E96B14"/>
    <w:rsid w:val="230E44A6"/>
    <w:rsid w:val="231B23CF"/>
    <w:rsid w:val="23282477"/>
    <w:rsid w:val="233A0B32"/>
    <w:rsid w:val="233D0044"/>
    <w:rsid w:val="233E494E"/>
    <w:rsid w:val="23580712"/>
    <w:rsid w:val="235E2A3A"/>
    <w:rsid w:val="23636425"/>
    <w:rsid w:val="23681725"/>
    <w:rsid w:val="236D6C6B"/>
    <w:rsid w:val="23806D2F"/>
    <w:rsid w:val="2399581E"/>
    <w:rsid w:val="23A95BFE"/>
    <w:rsid w:val="23B75294"/>
    <w:rsid w:val="23B876DD"/>
    <w:rsid w:val="23C1691B"/>
    <w:rsid w:val="23C35031"/>
    <w:rsid w:val="23D61173"/>
    <w:rsid w:val="23D95A5C"/>
    <w:rsid w:val="23E66D10"/>
    <w:rsid w:val="23EE17BC"/>
    <w:rsid w:val="23EE3AD3"/>
    <w:rsid w:val="23F325EF"/>
    <w:rsid w:val="241247FD"/>
    <w:rsid w:val="241B515E"/>
    <w:rsid w:val="242B6E59"/>
    <w:rsid w:val="24306989"/>
    <w:rsid w:val="244012F6"/>
    <w:rsid w:val="24441677"/>
    <w:rsid w:val="244664CF"/>
    <w:rsid w:val="245909D9"/>
    <w:rsid w:val="24617559"/>
    <w:rsid w:val="246B2E6C"/>
    <w:rsid w:val="2482695C"/>
    <w:rsid w:val="249C6BD1"/>
    <w:rsid w:val="24BD448F"/>
    <w:rsid w:val="24BF696E"/>
    <w:rsid w:val="24C4324B"/>
    <w:rsid w:val="24C94F95"/>
    <w:rsid w:val="24E15684"/>
    <w:rsid w:val="24E75CD3"/>
    <w:rsid w:val="24F7550E"/>
    <w:rsid w:val="252014D8"/>
    <w:rsid w:val="256583D1"/>
    <w:rsid w:val="25803F3B"/>
    <w:rsid w:val="25D04F8E"/>
    <w:rsid w:val="25F211C5"/>
    <w:rsid w:val="25F3F0C1"/>
    <w:rsid w:val="25F97977"/>
    <w:rsid w:val="26224A86"/>
    <w:rsid w:val="2627079C"/>
    <w:rsid w:val="26377A55"/>
    <w:rsid w:val="263B4715"/>
    <w:rsid w:val="265C72F5"/>
    <w:rsid w:val="26701E0C"/>
    <w:rsid w:val="26703877"/>
    <w:rsid w:val="26757A38"/>
    <w:rsid w:val="26A23032"/>
    <w:rsid w:val="26BD2C4B"/>
    <w:rsid w:val="26BFC34D"/>
    <w:rsid w:val="26D40F2B"/>
    <w:rsid w:val="26E96547"/>
    <w:rsid w:val="26FD2A6E"/>
    <w:rsid w:val="271B2CD1"/>
    <w:rsid w:val="27382D35"/>
    <w:rsid w:val="2761697E"/>
    <w:rsid w:val="279F4FC9"/>
    <w:rsid w:val="27E6302E"/>
    <w:rsid w:val="27E815D0"/>
    <w:rsid w:val="27EC4194"/>
    <w:rsid w:val="27FA6858"/>
    <w:rsid w:val="280968DD"/>
    <w:rsid w:val="28475020"/>
    <w:rsid w:val="28564AD5"/>
    <w:rsid w:val="28785EA9"/>
    <w:rsid w:val="28AF7720"/>
    <w:rsid w:val="28B64C90"/>
    <w:rsid w:val="28B7743C"/>
    <w:rsid w:val="28BC0396"/>
    <w:rsid w:val="28D84921"/>
    <w:rsid w:val="28FA2460"/>
    <w:rsid w:val="2919361D"/>
    <w:rsid w:val="2933329A"/>
    <w:rsid w:val="2938056A"/>
    <w:rsid w:val="295A7DC7"/>
    <w:rsid w:val="295C5BE7"/>
    <w:rsid w:val="295E5CCD"/>
    <w:rsid w:val="29817022"/>
    <w:rsid w:val="29835374"/>
    <w:rsid w:val="29A8742D"/>
    <w:rsid w:val="29AC780F"/>
    <w:rsid w:val="29BA75F1"/>
    <w:rsid w:val="29CF4080"/>
    <w:rsid w:val="29DBD151"/>
    <w:rsid w:val="29ED4DBC"/>
    <w:rsid w:val="29FFB21B"/>
    <w:rsid w:val="2A0620AA"/>
    <w:rsid w:val="2A267B31"/>
    <w:rsid w:val="2A2E5117"/>
    <w:rsid w:val="2A410FD5"/>
    <w:rsid w:val="2A416727"/>
    <w:rsid w:val="2A4F1BFA"/>
    <w:rsid w:val="2A502F66"/>
    <w:rsid w:val="2A68062B"/>
    <w:rsid w:val="2A7A44CD"/>
    <w:rsid w:val="2A7D5D10"/>
    <w:rsid w:val="2A8B17AB"/>
    <w:rsid w:val="2ACA2AD0"/>
    <w:rsid w:val="2ADC79D7"/>
    <w:rsid w:val="2AF15437"/>
    <w:rsid w:val="2AF96227"/>
    <w:rsid w:val="2B040039"/>
    <w:rsid w:val="2B1B0EA8"/>
    <w:rsid w:val="2B3D4778"/>
    <w:rsid w:val="2B4B7717"/>
    <w:rsid w:val="2B85214E"/>
    <w:rsid w:val="2B8579E7"/>
    <w:rsid w:val="2B9F1257"/>
    <w:rsid w:val="2B9F4028"/>
    <w:rsid w:val="2BB14243"/>
    <w:rsid w:val="2BB73DEF"/>
    <w:rsid w:val="2BC93E8B"/>
    <w:rsid w:val="2BCD2C30"/>
    <w:rsid w:val="2BCD523D"/>
    <w:rsid w:val="2BD943E9"/>
    <w:rsid w:val="2BD9690B"/>
    <w:rsid w:val="2C014FD3"/>
    <w:rsid w:val="2C08271A"/>
    <w:rsid w:val="2C0B4AA1"/>
    <w:rsid w:val="2C2702E9"/>
    <w:rsid w:val="2C3C0189"/>
    <w:rsid w:val="2C4C6143"/>
    <w:rsid w:val="2C62248B"/>
    <w:rsid w:val="2C686E75"/>
    <w:rsid w:val="2C755012"/>
    <w:rsid w:val="2C7C676D"/>
    <w:rsid w:val="2C852C1F"/>
    <w:rsid w:val="2C9B4B76"/>
    <w:rsid w:val="2CA173B6"/>
    <w:rsid w:val="2CA77697"/>
    <w:rsid w:val="2CDA7D8D"/>
    <w:rsid w:val="2CED6B78"/>
    <w:rsid w:val="2CF8228B"/>
    <w:rsid w:val="2D267821"/>
    <w:rsid w:val="2D2770BE"/>
    <w:rsid w:val="2D2A59F3"/>
    <w:rsid w:val="2D300AEE"/>
    <w:rsid w:val="2D3711E7"/>
    <w:rsid w:val="2D426ED6"/>
    <w:rsid w:val="2D432753"/>
    <w:rsid w:val="2D480461"/>
    <w:rsid w:val="2D4F5105"/>
    <w:rsid w:val="2D6E08E5"/>
    <w:rsid w:val="2D717528"/>
    <w:rsid w:val="2D726A41"/>
    <w:rsid w:val="2D793A9B"/>
    <w:rsid w:val="2D7EC5BD"/>
    <w:rsid w:val="2DA4133C"/>
    <w:rsid w:val="2DA5138D"/>
    <w:rsid w:val="2DA62C23"/>
    <w:rsid w:val="2DA85B54"/>
    <w:rsid w:val="2DBA0F06"/>
    <w:rsid w:val="2DC63B68"/>
    <w:rsid w:val="2DDC0B9C"/>
    <w:rsid w:val="2DE46A6D"/>
    <w:rsid w:val="2DFA6BB8"/>
    <w:rsid w:val="2DFFEC62"/>
    <w:rsid w:val="2E1B3283"/>
    <w:rsid w:val="2E1F1501"/>
    <w:rsid w:val="2E252A56"/>
    <w:rsid w:val="2E2B223D"/>
    <w:rsid w:val="2E495CD6"/>
    <w:rsid w:val="2E6004B7"/>
    <w:rsid w:val="2E7D58C5"/>
    <w:rsid w:val="2E804811"/>
    <w:rsid w:val="2E814218"/>
    <w:rsid w:val="2E977F73"/>
    <w:rsid w:val="2EBFC5B2"/>
    <w:rsid w:val="2ED426EE"/>
    <w:rsid w:val="2EDA7ED3"/>
    <w:rsid w:val="2EF120A7"/>
    <w:rsid w:val="2F187B4D"/>
    <w:rsid w:val="2F1D7A89"/>
    <w:rsid w:val="2F3243CE"/>
    <w:rsid w:val="2F3374F0"/>
    <w:rsid w:val="2F3D7E17"/>
    <w:rsid w:val="2F4A5D4B"/>
    <w:rsid w:val="2F587953"/>
    <w:rsid w:val="2F5FB252"/>
    <w:rsid w:val="2F6537F0"/>
    <w:rsid w:val="2F735358"/>
    <w:rsid w:val="2F761F42"/>
    <w:rsid w:val="2F9E0E21"/>
    <w:rsid w:val="2FA67700"/>
    <w:rsid w:val="2FDB7C17"/>
    <w:rsid w:val="2FE27982"/>
    <w:rsid w:val="2FEC13BC"/>
    <w:rsid w:val="2FF74667"/>
    <w:rsid w:val="2FFE5D01"/>
    <w:rsid w:val="30020C06"/>
    <w:rsid w:val="30077E9D"/>
    <w:rsid w:val="30117B1D"/>
    <w:rsid w:val="3031120A"/>
    <w:rsid w:val="3041235F"/>
    <w:rsid w:val="30417EB0"/>
    <w:rsid w:val="30896862"/>
    <w:rsid w:val="308A760E"/>
    <w:rsid w:val="30963AF1"/>
    <w:rsid w:val="30983F4E"/>
    <w:rsid w:val="30A86BAA"/>
    <w:rsid w:val="30AE3A86"/>
    <w:rsid w:val="30BF5DEB"/>
    <w:rsid w:val="30CD5BD4"/>
    <w:rsid w:val="30D46846"/>
    <w:rsid w:val="30DC6A07"/>
    <w:rsid w:val="310244FE"/>
    <w:rsid w:val="31093965"/>
    <w:rsid w:val="311F0E06"/>
    <w:rsid w:val="311F1C65"/>
    <w:rsid w:val="31272156"/>
    <w:rsid w:val="31326F13"/>
    <w:rsid w:val="313F28A4"/>
    <w:rsid w:val="314D4C63"/>
    <w:rsid w:val="31B0029E"/>
    <w:rsid w:val="31BE3CC0"/>
    <w:rsid w:val="31E913E3"/>
    <w:rsid w:val="31E97BBD"/>
    <w:rsid w:val="32411572"/>
    <w:rsid w:val="32452FC5"/>
    <w:rsid w:val="325343D4"/>
    <w:rsid w:val="325B34A2"/>
    <w:rsid w:val="325C1885"/>
    <w:rsid w:val="327C596E"/>
    <w:rsid w:val="328132B4"/>
    <w:rsid w:val="329B43CB"/>
    <w:rsid w:val="32A74BF4"/>
    <w:rsid w:val="32B679C9"/>
    <w:rsid w:val="32BC2411"/>
    <w:rsid w:val="32E05EB4"/>
    <w:rsid w:val="32E82679"/>
    <w:rsid w:val="32F873E5"/>
    <w:rsid w:val="33054C89"/>
    <w:rsid w:val="330909CC"/>
    <w:rsid w:val="330D6F81"/>
    <w:rsid w:val="331B1783"/>
    <w:rsid w:val="331D765A"/>
    <w:rsid w:val="3321732E"/>
    <w:rsid w:val="33482D6F"/>
    <w:rsid w:val="335A1DB5"/>
    <w:rsid w:val="335C5E94"/>
    <w:rsid w:val="33600E81"/>
    <w:rsid w:val="336F51D1"/>
    <w:rsid w:val="337C7822"/>
    <w:rsid w:val="338C291A"/>
    <w:rsid w:val="338E537A"/>
    <w:rsid w:val="339D7F0F"/>
    <w:rsid w:val="33AA1B53"/>
    <w:rsid w:val="33B5C1EF"/>
    <w:rsid w:val="33B939E0"/>
    <w:rsid w:val="33CE2F66"/>
    <w:rsid w:val="33D44217"/>
    <w:rsid w:val="33E80938"/>
    <w:rsid w:val="33ED4DAD"/>
    <w:rsid w:val="33F54EC0"/>
    <w:rsid w:val="33FB7AB9"/>
    <w:rsid w:val="340C1D7C"/>
    <w:rsid w:val="34294E1C"/>
    <w:rsid w:val="343B2DC9"/>
    <w:rsid w:val="346E5532"/>
    <w:rsid w:val="347323D8"/>
    <w:rsid w:val="347E2104"/>
    <w:rsid w:val="34BA02C1"/>
    <w:rsid w:val="34C41D6F"/>
    <w:rsid w:val="34C6411D"/>
    <w:rsid w:val="34DA3C14"/>
    <w:rsid w:val="34DF0874"/>
    <w:rsid w:val="34EE1702"/>
    <w:rsid w:val="34EE7B03"/>
    <w:rsid w:val="35270161"/>
    <w:rsid w:val="35274987"/>
    <w:rsid w:val="353C487D"/>
    <w:rsid w:val="35467989"/>
    <w:rsid w:val="354E2406"/>
    <w:rsid w:val="355D33B3"/>
    <w:rsid w:val="356C065B"/>
    <w:rsid w:val="356E3E5E"/>
    <w:rsid w:val="357469B1"/>
    <w:rsid w:val="357EAAD7"/>
    <w:rsid w:val="35923193"/>
    <w:rsid w:val="35981AD0"/>
    <w:rsid w:val="35AD56C3"/>
    <w:rsid w:val="35AE54AE"/>
    <w:rsid w:val="35B43C43"/>
    <w:rsid w:val="35C97A69"/>
    <w:rsid w:val="35CB2998"/>
    <w:rsid w:val="35CC781C"/>
    <w:rsid w:val="35D30719"/>
    <w:rsid w:val="35FE7022"/>
    <w:rsid w:val="360D74C5"/>
    <w:rsid w:val="363017D1"/>
    <w:rsid w:val="3654169D"/>
    <w:rsid w:val="36565711"/>
    <w:rsid w:val="36625338"/>
    <w:rsid w:val="36944366"/>
    <w:rsid w:val="369D059B"/>
    <w:rsid w:val="36A74883"/>
    <w:rsid w:val="36BD1FB7"/>
    <w:rsid w:val="36CBC747"/>
    <w:rsid w:val="36D05A97"/>
    <w:rsid w:val="36E07A02"/>
    <w:rsid w:val="36E45468"/>
    <w:rsid w:val="36EF702A"/>
    <w:rsid w:val="36F3551B"/>
    <w:rsid w:val="37007054"/>
    <w:rsid w:val="37106AF0"/>
    <w:rsid w:val="3714503F"/>
    <w:rsid w:val="371A057C"/>
    <w:rsid w:val="372D2860"/>
    <w:rsid w:val="37362ED1"/>
    <w:rsid w:val="374D5FFF"/>
    <w:rsid w:val="376171E5"/>
    <w:rsid w:val="376C7398"/>
    <w:rsid w:val="376E30D5"/>
    <w:rsid w:val="37796C4A"/>
    <w:rsid w:val="377B5D94"/>
    <w:rsid w:val="37836390"/>
    <w:rsid w:val="37845F3D"/>
    <w:rsid w:val="378C244C"/>
    <w:rsid w:val="37A5558E"/>
    <w:rsid w:val="37AF49C1"/>
    <w:rsid w:val="37BE234D"/>
    <w:rsid w:val="37CF23BA"/>
    <w:rsid w:val="37E742D8"/>
    <w:rsid w:val="37F7A8F0"/>
    <w:rsid w:val="37F94392"/>
    <w:rsid w:val="38063BA4"/>
    <w:rsid w:val="38176E33"/>
    <w:rsid w:val="381C20D2"/>
    <w:rsid w:val="38201EFA"/>
    <w:rsid w:val="38216F3C"/>
    <w:rsid w:val="382B7CD3"/>
    <w:rsid w:val="383A4263"/>
    <w:rsid w:val="384D1E1D"/>
    <w:rsid w:val="38512E2F"/>
    <w:rsid w:val="38557B74"/>
    <w:rsid w:val="3865445B"/>
    <w:rsid w:val="38686A86"/>
    <w:rsid w:val="388A772D"/>
    <w:rsid w:val="38A26814"/>
    <w:rsid w:val="39023853"/>
    <w:rsid w:val="3906651D"/>
    <w:rsid w:val="39135C39"/>
    <w:rsid w:val="39404B6F"/>
    <w:rsid w:val="39751FC2"/>
    <w:rsid w:val="39816E3F"/>
    <w:rsid w:val="39AA2A76"/>
    <w:rsid w:val="39AC2E66"/>
    <w:rsid w:val="39CB7E89"/>
    <w:rsid w:val="39DD30F9"/>
    <w:rsid w:val="39EB7310"/>
    <w:rsid w:val="39EF72BD"/>
    <w:rsid w:val="3A07348D"/>
    <w:rsid w:val="3A1E3F5A"/>
    <w:rsid w:val="3A3B6F12"/>
    <w:rsid w:val="3A3D0D96"/>
    <w:rsid w:val="3A49013B"/>
    <w:rsid w:val="3A4F70DB"/>
    <w:rsid w:val="3A510AEF"/>
    <w:rsid w:val="3A5C1428"/>
    <w:rsid w:val="3A683A4A"/>
    <w:rsid w:val="3A6A6C48"/>
    <w:rsid w:val="3A9A7D2F"/>
    <w:rsid w:val="3AB97B23"/>
    <w:rsid w:val="3ABF6DB6"/>
    <w:rsid w:val="3ACD0B50"/>
    <w:rsid w:val="3AD41BB1"/>
    <w:rsid w:val="3AE32AD1"/>
    <w:rsid w:val="3AE35D89"/>
    <w:rsid w:val="3AE5467B"/>
    <w:rsid w:val="3AEE65F4"/>
    <w:rsid w:val="3AF40BC6"/>
    <w:rsid w:val="3AF84DFC"/>
    <w:rsid w:val="3AFC04AD"/>
    <w:rsid w:val="3B1A58F7"/>
    <w:rsid w:val="3B251D3B"/>
    <w:rsid w:val="3B3F7AE5"/>
    <w:rsid w:val="3B561AB2"/>
    <w:rsid w:val="3B57426D"/>
    <w:rsid w:val="3B7729A5"/>
    <w:rsid w:val="3B7E5CD3"/>
    <w:rsid w:val="3B852C3E"/>
    <w:rsid w:val="3B9D7D6B"/>
    <w:rsid w:val="3BA80B25"/>
    <w:rsid w:val="3BB62F48"/>
    <w:rsid w:val="3BCC6B96"/>
    <w:rsid w:val="3BCD0FA1"/>
    <w:rsid w:val="3BCF0130"/>
    <w:rsid w:val="3BDBCF3B"/>
    <w:rsid w:val="3BDF338F"/>
    <w:rsid w:val="3BE61DB7"/>
    <w:rsid w:val="3BF08EE0"/>
    <w:rsid w:val="3BF12D51"/>
    <w:rsid w:val="3BFF4977"/>
    <w:rsid w:val="3C0F1A7C"/>
    <w:rsid w:val="3C2842F4"/>
    <w:rsid w:val="3C2C3E21"/>
    <w:rsid w:val="3C345585"/>
    <w:rsid w:val="3C45540D"/>
    <w:rsid w:val="3C5333FE"/>
    <w:rsid w:val="3C5D05C1"/>
    <w:rsid w:val="3C667DC0"/>
    <w:rsid w:val="3C667FA7"/>
    <w:rsid w:val="3C680050"/>
    <w:rsid w:val="3C6B05C2"/>
    <w:rsid w:val="3C7E02A7"/>
    <w:rsid w:val="3CA6760C"/>
    <w:rsid w:val="3CCC64A5"/>
    <w:rsid w:val="3CCF8C93"/>
    <w:rsid w:val="3CD23574"/>
    <w:rsid w:val="3CDEA63E"/>
    <w:rsid w:val="3CEF8B92"/>
    <w:rsid w:val="3CF637F0"/>
    <w:rsid w:val="3CFAC91F"/>
    <w:rsid w:val="3CFF3368"/>
    <w:rsid w:val="3D035D1A"/>
    <w:rsid w:val="3D285462"/>
    <w:rsid w:val="3D3E1578"/>
    <w:rsid w:val="3D787188"/>
    <w:rsid w:val="3D8134F4"/>
    <w:rsid w:val="3D9B17E1"/>
    <w:rsid w:val="3DADC1EB"/>
    <w:rsid w:val="3DBE7A0F"/>
    <w:rsid w:val="3DCF9852"/>
    <w:rsid w:val="3DD17446"/>
    <w:rsid w:val="3DE91774"/>
    <w:rsid w:val="3DF05295"/>
    <w:rsid w:val="3DFB4F35"/>
    <w:rsid w:val="3DFF3655"/>
    <w:rsid w:val="3E114641"/>
    <w:rsid w:val="3E2A3AD0"/>
    <w:rsid w:val="3E342100"/>
    <w:rsid w:val="3E385EB2"/>
    <w:rsid w:val="3E3A6584"/>
    <w:rsid w:val="3E421CA9"/>
    <w:rsid w:val="3E5A70BB"/>
    <w:rsid w:val="3E5F4881"/>
    <w:rsid w:val="3E753E07"/>
    <w:rsid w:val="3E7F4E01"/>
    <w:rsid w:val="3E805394"/>
    <w:rsid w:val="3E830B1F"/>
    <w:rsid w:val="3E862B6F"/>
    <w:rsid w:val="3E8C6B23"/>
    <w:rsid w:val="3ECE0EA8"/>
    <w:rsid w:val="3ECF6B83"/>
    <w:rsid w:val="3ED94358"/>
    <w:rsid w:val="3EECE54D"/>
    <w:rsid w:val="3EF26C26"/>
    <w:rsid w:val="3EF90395"/>
    <w:rsid w:val="3EFF8A27"/>
    <w:rsid w:val="3EFFD184"/>
    <w:rsid w:val="3F2F81B7"/>
    <w:rsid w:val="3F311E00"/>
    <w:rsid w:val="3F320628"/>
    <w:rsid w:val="3F551F64"/>
    <w:rsid w:val="3F5B6796"/>
    <w:rsid w:val="3F654A20"/>
    <w:rsid w:val="3F78312C"/>
    <w:rsid w:val="3F7C58CD"/>
    <w:rsid w:val="3F7EBCC1"/>
    <w:rsid w:val="3F9E46A9"/>
    <w:rsid w:val="3FB60B86"/>
    <w:rsid w:val="3FBABB81"/>
    <w:rsid w:val="3FBDEDF3"/>
    <w:rsid w:val="3FC7B6BD"/>
    <w:rsid w:val="3FCB98D2"/>
    <w:rsid w:val="3FD2F49C"/>
    <w:rsid w:val="3FDD23A4"/>
    <w:rsid w:val="3FDD4272"/>
    <w:rsid w:val="3FDFF175"/>
    <w:rsid w:val="3FEE6B9D"/>
    <w:rsid w:val="3FFBD4AF"/>
    <w:rsid w:val="3FFE2C99"/>
    <w:rsid w:val="3FFEFB0D"/>
    <w:rsid w:val="3FFF0D8B"/>
    <w:rsid w:val="40131398"/>
    <w:rsid w:val="401D48F0"/>
    <w:rsid w:val="40394DE2"/>
    <w:rsid w:val="404C24B9"/>
    <w:rsid w:val="40696A7C"/>
    <w:rsid w:val="40714B60"/>
    <w:rsid w:val="40760EE3"/>
    <w:rsid w:val="4080085C"/>
    <w:rsid w:val="408F277D"/>
    <w:rsid w:val="409E1F80"/>
    <w:rsid w:val="409F3C4C"/>
    <w:rsid w:val="40A04C1B"/>
    <w:rsid w:val="40B551CB"/>
    <w:rsid w:val="40BB6614"/>
    <w:rsid w:val="40BD7997"/>
    <w:rsid w:val="40D51002"/>
    <w:rsid w:val="40EE3572"/>
    <w:rsid w:val="41187AA2"/>
    <w:rsid w:val="411B5B48"/>
    <w:rsid w:val="41354CEB"/>
    <w:rsid w:val="413A002D"/>
    <w:rsid w:val="41427BC7"/>
    <w:rsid w:val="41694D53"/>
    <w:rsid w:val="41925A07"/>
    <w:rsid w:val="4196268F"/>
    <w:rsid w:val="4199743A"/>
    <w:rsid w:val="419F0AE6"/>
    <w:rsid w:val="41A03C57"/>
    <w:rsid w:val="41C82515"/>
    <w:rsid w:val="41E836BE"/>
    <w:rsid w:val="41ED16E5"/>
    <w:rsid w:val="42153D93"/>
    <w:rsid w:val="421A05B4"/>
    <w:rsid w:val="422530DE"/>
    <w:rsid w:val="42352239"/>
    <w:rsid w:val="423670E8"/>
    <w:rsid w:val="423F5EE0"/>
    <w:rsid w:val="42646625"/>
    <w:rsid w:val="42B71DB4"/>
    <w:rsid w:val="42E81820"/>
    <w:rsid w:val="43087244"/>
    <w:rsid w:val="430938FE"/>
    <w:rsid w:val="431E08F9"/>
    <w:rsid w:val="43267622"/>
    <w:rsid w:val="433A7E95"/>
    <w:rsid w:val="43411B8F"/>
    <w:rsid w:val="435B6915"/>
    <w:rsid w:val="4363273B"/>
    <w:rsid w:val="43740C2F"/>
    <w:rsid w:val="4377345C"/>
    <w:rsid w:val="437C22F1"/>
    <w:rsid w:val="438910AB"/>
    <w:rsid w:val="43BD5326"/>
    <w:rsid w:val="43BE58DC"/>
    <w:rsid w:val="43EB05CA"/>
    <w:rsid w:val="43EF0CBC"/>
    <w:rsid w:val="43FC1125"/>
    <w:rsid w:val="443C6CA8"/>
    <w:rsid w:val="443E7E9D"/>
    <w:rsid w:val="445C1E8D"/>
    <w:rsid w:val="44690B65"/>
    <w:rsid w:val="447C7174"/>
    <w:rsid w:val="4480499D"/>
    <w:rsid w:val="44C25203"/>
    <w:rsid w:val="44DB3EA8"/>
    <w:rsid w:val="4515570A"/>
    <w:rsid w:val="45196E68"/>
    <w:rsid w:val="452B51A1"/>
    <w:rsid w:val="454F441B"/>
    <w:rsid w:val="45526AA6"/>
    <w:rsid w:val="4575439D"/>
    <w:rsid w:val="45914D77"/>
    <w:rsid w:val="45D83ABF"/>
    <w:rsid w:val="45DE8F0F"/>
    <w:rsid w:val="45F049EF"/>
    <w:rsid w:val="45F56B59"/>
    <w:rsid w:val="45FE455B"/>
    <w:rsid w:val="46080C7D"/>
    <w:rsid w:val="46401342"/>
    <w:rsid w:val="465C0C42"/>
    <w:rsid w:val="46634A76"/>
    <w:rsid w:val="46830D97"/>
    <w:rsid w:val="468C6BF7"/>
    <w:rsid w:val="469700A1"/>
    <w:rsid w:val="46AD0503"/>
    <w:rsid w:val="46AF4636"/>
    <w:rsid w:val="46CD2974"/>
    <w:rsid w:val="46E44141"/>
    <w:rsid w:val="46FF5632"/>
    <w:rsid w:val="47085CE6"/>
    <w:rsid w:val="47157189"/>
    <w:rsid w:val="47251BF5"/>
    <w:rsid w:val="472944FC"/>
    <w:rsid w:val="472968F6"/>
    <w:rsid w:val="4733479F"/>
    <w:rsid w:val="473F3A04"/>
    <w:rsid w:val="47417EC3"/>
    <w:rsid w:val="47552DCF"/>
    <w:rsid w:val="47637A8B"/>
    <w:rsid w:val="476F733D"/>
    <w:rsid w:val="478C2AEB"/>
    <w:rsid w:val="479E48B1"/>
    <w:rsid w:val="47A12600"/>
    <w:rsid w:val="47AE0A27"/>
    <w:rsid w:val="47BB4CF3"/>
    <w:rsid w:val="47BD4301"/>
    <w:rsid w:val="47BF334D"/>
    <w:rsid w:val="47CF95B6"/>
    <w:rsid w:val="47E76EF7"/>
    <w:rsid w:val="47F35D35"/>
    <w:rsid w:val="47FA0D2C"/>
    <w:rsid w:val="4804113C"/>
    <w:rsid w:val="48063B2C"/>
    <w:rsid w:val="48174014"/>
    <w:rsid w:val="48240356"/>
    <w:rsid w:val="482410B2"/>
    <w:rsid w:val="482E7135"/>
    <w:rsid w:val="48300FDB"/>
    <w:rsid w:val="487354DE"/>
    <w:rsid w:val="48914416"/>
    <w:rsid w:val="48A44149"/>
    <w:rsid w:val="48AC5FA5"/>
    <w:rsid w:val="48B56F29"/>
    <w:rsid w:val="48CB730F"/>
    <w:rsid w:val="48CC3BCB"/>
    <w:rsid w:val="48D27471"/>
    <w:rsid w:val="48F309BA"/>
    <w:rsid w:val="48FE3028"/>
    <w:rsid w:val="490C26D1"/>
    <w:rsid w:val="49213E10"/>
    <w:rsid w:val="492C0F09"/>
    <w:rsid w:val="494C4365"/>
    <w:rsid w:val="49652E13"/>
    <w:rsid w:val="4968450B"/>
    <w:rsid w:val="49812480"/>
    <w:rsid w:val="4981375D"/>
    <w:rsid w:val="498F1415"/>
    <w:rsid w:val="499F3C32"/>
    <w:rsid w:val="49B05B07"/>
    <w:rsid w:val="49C45140"/>
    <w:rsid w:val="49CE3759"/>
    <w:rsid w:val="4A033E2D"/>
    <w:rsid w:val="4A272B71"/>
    <w:rsid w:val="4A362E8F"/>
    <w:rsid w:val="4A376C48"/>
    <w:rsid w:val="4A3D67B9"/>
    <w:rsid w:val="4A3E2E76"/>
    <w:rsid w:val="4A402B3E"/>
    <w:rsid w:val="4A432B74"/>
    <w:rsid w:val="4A52652D"/>
    <w:rsid w:val="4A736DDC"/>
    <w:rsid w:val="4A8137B7"/>
    <w:rsid w:val="4AA47916"/>
    <w:rsid w:val="4AAD547B"/>
    <w:rsid w:val="4AB744BE"/>
    <w:rsid w:val="4ABA28B1"/>
    <w:rsid w:val="4ABC7564"/>
    <w:rsid w:val="4AE76DEA"/>
    <w:rsid w:val="4AF57790"/>
    <w:rsid w:val="4AFF0ACB"/>
    <w:rsid w:val="4B011F40"/>
    <w:rsid w:val="4B0E261A"/>
    <w:rsid w:val="4B1238BF"/>
    <w:rsid w:val="4B226507"/>
    <w:rsid w:val="4B2513AD"/>
    <w:rsid w:val="4B273E40"/>
    <w:rsid w:val="4B3F21E1"/>
    <w:rsid w:val="4B5C0867"/>
    <w:rsid w:val="4B6D48BA"/>
    <w:rsid w:val="4B7D610E"/>
    <w:rsid w:val="4B7F2A8A"/>
    <w:rsid w:val="4B855F65"/>
    <w:rsid w:val="4BAF3DEB"/>
    <w:rsid w:val="4BC14A43"/>
    <w:rsid w:val="4BEA59B9"/>
    <w:rsid w:val="4BEE603A"/>
    <w:rsid w:val="4BF02D5C"/>
    <w:rsid w:val="4BF32221"/>
    <w:rsid w:val="4BF52532"/>
    <w:rsid w:val="4BFFCAFB"/>
    <w:rsid w:val="4C060A43"/>
    <w:rsid w:val="4C2E0565"/>
    <w:rsid w:val="4C334BA3"/>
    <w:rsid w:val="4C4D7DA3"/>
    <w:rsid w:val="4C562074"/>
    <w:rsid w:val="4C581B1F"/>
    <w:rsid w:val="4C61196A"/>
    <w:rsid w:val="4C714C8A"/>
    <w:rsid w:val="4C734844"/>
    <w:rsid w:val="4C7A5E97"/>
    <w:rsid w:val="4C8065A1"/>
    <w:rsid w:val="4C8833FB"/>
    <w:rsid w:val="4C8A1DCE"/>
    <w:rsid w:val="4CAD4C8F"/>
    <w:rsid w:val="4CC177B0"/>
    <w:rsid w:val="4CE7449E"/>
    <w:rsid w:val="4CF05A7C"/>
    <w:rsid w:val="4CFB6808"/>
    <w:rsid w:val="4D5222DF"/>
    <w:rsid w:val="4D5449D5"/>
    <w:rsid w:val="4D620C4C"/>
    <w:rsid w:val="4D6317AC"/>
    <w:rsid w:val="4D6EFBD7"/>
    <w:rsid w:val="4D7AA912"/>
    <w:rsid w:val="4D7E3147"/>
    <w:rsid w:val="4D7F438D"/>
    <w:rsid w:val="4D8131BF"/>
    <w:rsid w:val="4D9E6C17"/>
    <w:rsid w:val="4DA1089D"/>
    <w:rsid w:val="4DA370C6"/>
    <w:rsid w:val="4DBF70B0"/>
    <w:rsid w:val="4DCC065A"/>
    <w:rsid w:val="4DCD57B8"/>
    <w:rsid w:val="4DD9A0E9"/>
    <w:rsid w:val="4DEA4ACD"/>
    <w:rsid w:val="4DEA5FCF"/>
    <w:rsid w:val="4DEC041C"/>
    <w:rsid w:val="4DF51D37"/>
    <w:rsid w:val="4DF94C4D"/>
    <w:rsid w:val="4DFB18E5"/>
    <w:rsid w:val="4E6D778B"/>
    <w:rsid w:val="4E8B2156"/>
    <w:rsid w:val="4E906556"/>
    <w:rsid w:val="4EA07087"/>
    <w:rsid w:val="4EAB7C38"/>
    <w:rsid w:val="4EAD1F3E"/>
    <w:rsid w:val="4EAF0D8C"/>
    <w:rsid w:val="4EAF297E"/>
    <w:rsid w:val="4ED81194"/>
    <w:rsid w:val="4EE637B4"/>
    <w:rsid w:val="4EE92544"/>
    <w:rsid w:val="4EF07324"/>
    <w:rsid w:val="4EF134AF"/>
    <w:rsid w:val="4EF81727"/>
    <w:rsid w:val="4EF93996"/>
    <w:rsid w:val="4F1518D7"/>
    <w:rsid w:val="4F3B6B46"/>
    <w:rsid w:val="4F3E4F20"/>
    <w:rsid w:val="4F3F73B4"/>
    <w:rsid w:val="4F454E98"/>
    <w:rsid w:val="4F5A50EB"/>
    <w:rsid w:val="4F6670AA"/>
    <w:rsid w:val="4F78CD14"/>
    <w:rsid w:val="4F7BF6CA"/>
    <w:rsid w:val="4F9D5D7B"/>
    <w:rsid w:val="4FA57544"/>
    <w:rsid w:val="4FAD5087"/>
    <w:rsid w:val="4FAEFBD7"/>
    <w:rsid w:val="4FB550BA"/>
    <w:rsid w:val="4FB77474"/>
    <w:rsid w:val="4FBA39F5"/>
    <w:rsid w:val="4FD32677"/>
    <w:rsid w:val="4FDF4708"/>
    <w:rsid w:val="4FE0167D"/>
    <w:rsid w:val="4FE24AB0"/>
    <w:rsid w:val="4FF25596"/>
    <w:rsid w:val="4FF76A4E"/>
    <w:rsid w:val="4FFA2F48"/>
    <w:rsid w:val="4FFBB096"/>
    <w:rsid w:val="4FFEAFD7"/>
    <w:rsid w:val="4FFF2126"/>
    <w:rsid w:val="4FFFB8EB"/>
    <w:rsid w:val="500124C6"/>
    <w:rsid w:val="500A2584"/>
    <w:rsid w:val="503652AE"/>
    <w:rsid w:val="503E3C7C"/>
    <w:rsid w:val="504900E8"/>
    <w:rsid w:val="504A2B50"/>
    <w:rsid w:val="505B22BF"/>
    <w:rsid w:val="505B33B1"/>
    <w:rsid w:val="505B55EC"/>
    <w:rsid w:val="505B70AE"/>
    <w:rsid w:val="50711798"/>
    <w:rsid w:val="5085308A"/>
    <w:rsid w:val="50B15DAD"/>
    <w:rsid w:val="50B555A3"/>
    <w:rsid w:val="50BC2696"/>
    <w:rsid w:val="50BC5C21"/>
    <w:rsid w:val="50C12B08"/>
    <w:rsid w:val="50D24775"/>
    <w:rsid w:val="50DE4A6D"/>
    <w:rsid w:val="50DF1C5F"/>
    <w:rsid w:val="50E47DB2"/>
    <w:rsid w:val="50F1670D"/>
    <w:rsid w:val="50FB8F39"/>
    <w:rsid w:val="50FD5A0F"/>
    <w:rsid w:val="510E1AF7"/>
    <w:rsid w:val="5119356E"/>
    <w:rsid w:val="511B07D7"/>
    <w:rsid w:val="512D6CA6"/>
    <w:rsid w:val="512E2625"/>
    <w:rsid w:val="51340940"/>
    <w:rsid w:val="513A0A13"/>
    <w:rsid w:val="51455E5E"/>
    <w:rsid w:val="51457324"/>
    <w:rsid w:val="514704C2"/>
    <w:rsid w:val="515D07F0"/>
    <w:rsid w:val="516F6529"/>
    <w:rsid w:val="51890DE3"/>
    <w:rsid w:val="51B3597A"/>
    <w:rsid w:val="51CD5B96"/>
    <w:rsid w:val="51CD7110"/>
    <w:rsid w:val="51DC2B68"/>
    <w:rsid w:val="51DF4413"/>
    <w:rsid w:val="52035F57"/>
    <w:rsid w:val="522D3754"/>
    <w:rsid w:val="522F1C58"/>
    <w:rsid w:val="525B2EFD"/>
    <w:rsid w:val="527C0300"/>
    <w:rsid w:val="527E0476"/>
    <w:rsid w:val="528A2BF2"/>
    <w:rsid w:val="528C332C"/>
    <w:rsid w:val="52927041"/>
    <w:rsid w:val="52934CA3"/>
    <w:rsid w:val="52CC3FAC"/>
    <w:rsid w:val="52CE7DB4"/>
    <w:rsid w:val="52F318D8"/>
    <w:rsid w:val="52F647DB"/>
    <w:rsid w:val="532F2A04"/>
    <w:rsid w:val="53350EA2"/>
    <w:rsid w:val="534B06D9"/>
    <w:rsid w:val="534D5599"/>
    <w:rsid w:val="53515EFD"/>
    <w:rsid w:val="5353637A"/>
    <w:rsid w:val="5375461F"/>
    <w:rsid w:val="537A6885"/>
    <w:rsid w:val="537FFE35"/>
    <w:rsid w:val="538B4075"/>
    <w:rsid w:val="538E0BD5"/>
    <w:rsid w:val="53AC2882"/>
    <w:rsid w:val="53AF3A63"/>
    <w:rsid w:val="53AFE65E"/>
    <w:rsid w:val="53B1241D"/>
    <w:rsid w:val="53B44840"/>
    <w:rsid w:val="53B67876"/>
    <w:rsid w:val="53C17204"/>
    <w:rsid w:val="53C23BDB"/>
    <w:rsid w:val="53CA6DE6"/>
    <w:rsid w:val="53DE2F07"/>
    <w:rsid w:val="53E333C1"/>
    <w:rsid w:val="53EB232B"/>
    <w:rsid w:val="53ED52B6"/>
    <w:rsid w:val="53F2A4AC"/>
    <w:rsid w:val="53F65B33"/>
    <w:rsid w:val="53F8F286"/>
    <w:rsid w:val="53FA486E"/>
    <w:rsid w:val="53FD7167"/>
    <w:rsid w:val="53FE48AE"/>
    <w:rsid w:val="54211953"/>
    <w:rsid w:val="54303A35"/>
    <w:rsid w:val="544A72DE"/>
    <w:rsid w:val="54560671"/>
    <w:rsid w:val="5464080D"/>
    <w:rsid w:val="547E4DF8"/>
    <w:rsid w:val="5480630F"/>
    <w:rsid w:val="54815DC7"/>
    <w:rsid w:val="548E5430"/>
    <w:rsid w:val="54A45C2A"/>
    <w:rsid w:val="54D661D7"/>
    <w:rsid w:val="54E3573A"/>
    <w:rsid w:val="54E51CAF"/>
    <w:rsid w:val="54E74D17"/>
    <w:rsid w:val="54EA7801"/>
    <w:rsid w:val="54EF02BF"/>
    <w:rsid w:val="54F173FB"/>
    <w:rsid w:val="553179F7"/>
    <w:rsid w:val="554B0A01"/>
    <w:rsid w:val="55681B51"/>
    <w:rsid w:val="557B1C74"/>
    <w:rsid w:val="557F4D6D"/>
    <w:rsid w:val="558448D8"/>
    <w:rsid w:val="55AC07B0"/>
    <w:rsid w:val="55ADF442"/>
    <w:rsid w:val="55B70414"/>
    <w:rsid w:val="55E2F802"/>
    <w:rsid w:val="55E75BE8"/>
    <w:rsid w:val="55EF376F"/>
    <w:rsid w:val="55F79FAC"/>
    <w:rsid w:val="560B64D8"/>
    <w:rsid w:val="5618018E"/>
    <w:rsid w:val="561E2BA0"/>
    <w:rsid w:val="56240071"/>
    <w:rsid w:val="565615E8"/>
    <w:rsid w:val="565C487B"/>
    <w:rsid w:val="568B25DB"/>
    <w:rsid w:val="569E118A"/>
    <w:rsid w:val="56AB6EC9"/>
    <w:rsid w:val="56B7672B"/>
    <w:rsid w:val="56C57D0C"/>
    <w:rsid w:val="56C64F6E"/>
    <w:rsid w:val="56D7326A"/>
    <w:rsid w:val="56E175CA"/>
    <w:rsid w:val="571754BA"/>
    <w:rsid w:val="573232F9"/>
    <w:rsid w:val="57580F21"/>
    <w:rsid w:val="575E2A3C"/>
    <w:rsid w:val="5767A83D"/>
    <w:rsid w:val="577261DE"/>
    <w:rsid w:val="577F1627"/>
    <w:rsid w:val="579B2808"/>
    <w:rsid w:val="57A35115"/>
    <w:rsid w:val="57A741CE"/>
    <w:rsid w:val="57B60A4D"/>
    <w:rsid w:val="57BC0AF0"/>
    <w:rsid w:val="57BE4A36"/>
    <w:rsid w:val="57C60F74"/>
    <w:rsid w:val="57DB1927"/>
    <w:rsid w:val="57E16EDC"/>
    <w:rsid w:val="57F54331"/>
    <w:rsid w:val="57FF1EE9"/>
    <w:rsid w:val="580D7F89"/>
    <w:rsid w:val="58193100"/>
    <w:rsid w:val="581B3C0A"/>
    <w:rsid w:val="58201228"/>
    <w:rsid w:val="582E177D"/>
    <w:rsid w:val="583E4178"/>
    <w:rsid w:val="584D65AC"/>
    <w:rsid w:val="585400D8"/>
    <w:rsid w:val="5854733E"/>
    <w:rsid w:val="58773C63"/>
    <w:rsid w:val="58843509"/>
    <w:rsid w:val="588A357A"/>
    <w:rsid w:val="5898273A"/>
    <w:rsid w:val="589E63D3"/>
    <w:rsid w:val="589F05A8"/>
    <w:rsid w:val="58BA4E8F"/>
    <w:rsid w:val="58CC5A50"/>
    <w:rsid w:val="58D31C9A"/>
    <w:rsid w:val="58D93ED1"/>
    <w:rsid w:val="58DD263C"/>
    <w:rsid w:val="58EF27AB"/>
    <w:rsid w:val="58F227EC"/>
    <w:rsid w:val="5912759F"/>
    <w:rsid w:val="593537FA"/>
    <w:rsid w:val="5938245D"/>
    <w:rsid w:val="594E59EA"/>
    <w:rsid w:val="59571690"/>
    <w:rsid w:val="59635262"/>
    <w:rsid w:val="59664C4D"/>
    <w:rsid w:val="5972725A"/>
    <w:rsid w:val="597508E2"/>
    <w:rsid w:val="59767CB1"/>
    <w:rsid w:val="59907769"/>
    <w:rsid w:val="599B6CD6"/>
    <w:rsid w:val="59AA2D0A"/>
    <w:rsid w:val="59B02246"/>
    <w:rsid w:val="59BFAD00"/>
    <w:rsid w:val="59E137B1"/>
    <w:rsid w:val="59EA3A7C"/>
    <w:rsid w:val="59F5138B"/>
    <w:rsid w:val="59FE7524"/>
    <w:rsid w:val="5A2523E4"/>
    <w:rsid w:val="5A2B1056"/>
    <w:rsid w:val="5A4803BE"/>
    <w:rsid w:val="5A482A58"/>
    <w:rsid w:val="5A731D37"/>
    <w:rsid w:val="5A7B24A2"/>
    <w:rsid w:val="5A7EA25C"/>
    <w:rsid w:val="5A7F4FFB"/>
    <w:rsid w:val="5A9021FA"/>
    <w:rsid w:val="5A9324A1"/>
    <w:rsid w:val="5A9361C3"/>
    <w:rsid w:val="5A992327"/>
    <w:rsid w:val="5AA12180"/>
    <w:rsid w:val="5AA24A43"/>
    <w:rsid w:val="5AB318D6"/>
    <w:rsid w:val="5AB834A5"/>
    <w:rsid w:val="5ABA434F"/>
    <w:rsid w:val="5AC67CBE"/>
    <w:rsid w:val="5AD1034C"/>
    <w:rsid w:val="5ADA3667"/>
    <w:rsid w:val="5AFF9BCF"/>
    <w:rsid w:val="5B047E2E"/>
    <w:rsid w:val="5B064156"/>
    <w:rsid w:val="5B279304"/>
    <w:rsid w:val="5B3FC12F"/>
    <w:rsid w:val="5B5516BF"/>
    <w:rsid w:val="5B5F6458"/>
    <w:rsid w:val="5B66154B"/>
    <w:rsid w:val="5B6A5B8D"/>
    <w:rsid w:val="5B6E78A4"/>
    <w:rsid w:val="5B71412C"/>
    <w:rsid w:val="5B79723D"/>
    <w:rsid w:val="5B7A0BFC"/>
    <w:rsid w:val="5B7AE440"/>
    <w:rsid w:val="5B7F0323"/>
    <w:rsid w:val="5B7F20BD"/>
    <w:rsid w:val="5B99332E"/>
    <w:rsid w:val="5B9993F2"/>
    <w:rsid w:val="5B9B374F"/>
    <w:rsid w:val="5BA91752"/>
    <w:rsid w:val="5BAD8A6A"/>
    <w:rsid w:val="5BB63D58"/>
    <w:rsid w:val="5BBBE63A"/>
    <w:rsid w:val="5BC757F4"/>
    <w:rsid w:val="5BF5E089"/>
    <w:rsid w:val="5BFD22F2"/>
    <w:rsid w:val="5C1F0E80"/>
    <w:rsid w:val="5C3B05B3"/>
    <w:rsid w:val="5C3F9B5A"/>
    <w:rsid w:val="5C496B91"/>
    <w:rsid w:val="5CA000C6"/>
    <w:rsid w:val="5CA95291"/>
    <w:rsid w:val="5CB52CB6"/>
    <w:rsid w:val="5CC67B54"/>
    <w:rsid w:val="5CE55CF7"/>
    <w:rsid w:val="5CE8A176"/>
    <w:rsid w:val="5CEC217A"/>
    <w:rsid w:val="5CF0435E"/>
    <w:rsid w:val="5CFC6EE5"/>
    <w:rsid w:val="5D201760"/>
    <w:rsid w:val="5D2C12FC"/>
    <w:rsid w:val="5D3607F8"/>
    <w:rsid w:val="5D475578"/>
    <w:rsid w:val="5D5A3776"/>
    <w:rsid w:val="5D634CAB"/>
    <w:rsid w:val="5D794C80"/>
    <w:rsid w:val="5D80794C"/>
    <w:rsid w:val="5D863E4B"/>
    <w:rsid w:val="5D9A4B82"/>
    <w:rsid w:val="5DB54B47"/>
    <w:rsid w:val="5DBE5BD3"/>
    <w:rsid w:val="5DCC3D17"/>
    <w:rsid w:val="5DD870E9"/>
    <w:rsid w:val="5DF362CD"/>
    <w:rsid w:val="5DFB1FCB"/>
    <w:rsid w:val="5E104155"/>
    <w:rsid w:val="5E230E3C"/>
    <w:rsid w:val="5E237B0E"/>
    <w:rsid w:val="5E367564"/>
    <w:rsid w:val="5E3F16D5"/>
    <w:rsid w:val="5E571068"/>
    <w:rsid w:val="5E62566B"/>
    <w:rsid w:val="5E6A553B"/>
    <w:rsid w:val="5E770346"/>
    <w:rsid w:val="5E786A08"/>
    <w:rsid w:val="5E7F8DF5"/>
    <w:rsid w:val="5E967E7F"/>
    <w:rsid w:val="5E9B7BAC"/>
    <w:rsid w:val="5E9F7A60"/>
    <w:rsid w:val="5EBC3AED"/>
    <w:rsid w:val="5EDB0D72"/>
    <w:rsid w:val="5EDE1951"/>
    <w:rsid w:val="5EE32040"/>
    <w:rsid w:val="5EE57317"/>
    <w:rsid w:val="5EEE2A13"/>
    <w:rsid w:val="5EF3E1B5"/>
    <w:rsid w:val="5F162789"/>
    <w:rsid w:val="5F1C220D"/>
    <w:rsid w:val="5F33A545"/>
    <w:rsid w:val="5F4164D9"/>
    <w:rsid w:val="5F58667B"/>
    <w:rsid w:val="5F6F1A8A"/>
    <w:rsid w:val="5F6F6E19"/>
    <w:rsid w:val="5F702ED6"/>
    <w:rsid w:val="5F8B201F"/>
    <w:rsid w:val="5F9F6FD2"/>
    <w:rsid w:val="5FA275A5"/>
    <w:rsid w:val="5FABA9B6"/>
    <w:rsid w:val="5FB21993"/>
    <w:rsid w:val="5FB52BE1"/>
    <w:rsid w:val="5FB77916"/>
    <w:rsid w:val="5FBE0B49"/>
    <w:rsid w:val="5FCE8D10"/>
    <w:rsid w:val="5FDB1C28"/>
    <w:rsid w:val="5FDEA4E7"/>
    <w:rsid w:val="5FDFA854"/>
    <w:rsid w:val="5FE86FDF"/>
    <w:rsid w:val="5FE97988"/>
    <w:rsid w:val="5FEB77FC"/>
    <w:rsid w:val="5FEF191C"/>
    <w:rsid w:val="5FF0C841"/>
    <w:rsid w:val="5FF22A90"/>
    <w:rsid w:val="5FF32C89"/>
    <w:rsid w:val="5FF3778D"/>
    <w:rsid w:val="5FF5235F"/>
    <w:rsid w:val="5FF74012"/>
    <w:rsid w:val="5FFB9640"/>
    <w:rsid w:val="5FFC5A28"/>
    <w:rsid w:val="5FFD9EE3"/>
    <w:rsid w:val="5FFFD71E"/>
    <w:rsid w:val="6001420D"/>
    <w:rsid w:val="60082C4C"/>
    <w:rsid w:val="60145E84"/>
    <w:rsid w:val="6027103A"/>
    <w:rsid w:val="602C18D4"/>
    <w:rsid w:val="603F2B6B"/>
    <w:rsid w:val="6049043A"/>
    <w:rsid w:val="609E2375"/>
    <w:rsid w:val="609E5572"/>
    <w:rsid w:val="60A138EF"/>
    <w:rsid w:val="60AD756B"/>
    <w:rsid w:val="60B8021A"/>
    <w:rsid w:val="60D669FC"/>
    <w:rsid w:val="60E4759D"/>
    <w:rsid w:val="60E75CFB"/>
    <w:rsid w:val="60F14F0C"/>
    <w:rsid w:val="6133279A"/>
    <w:rsid w:val="616E0A9C"/>
    <w:rsid w:val="617B2B2D"/>
    <w:rsid w:val="618867BE"/>
    <w:rsid w:val="618945A3"/>
    <w:rsid w:val="61A60F9B"/>
    <w:rsid w:val="61B41018"/>
    <w:rsid w:val="61B8014D"/>
    <w:rsid w:val="61CA26C4"/>
    <w:rsid w:val="61E23212"/>
    <w:rsid w:val="61EE33A1"/>
    <w:rsid w:val="62197C1C"/>
    <w:rsid w:val="622901D7"/>
    <w:rsid w:val="62393D76"/>
    <w:rsid w:val="625467D2"/>
    <w:rsid w:val="62561F4F"/>
    <w:rsid w:val="62651355"/>
    <w:rsid w:val="627849C4"/>
    <w:rsid w:val="627C0174"/>
    <w:rsid w:val="6280433A"/>
    <w:rsid w:val="62857F2F"/>
    <w:rsid w:val="62F21D73"/>
    <w:rsid w:val="63024805"/>
    <w:rsid w:val="630D35CC"/>
    <w:rsid w:val="6324498E"/>
    <w:rsid w:val="63484312"/>
    <w:rsid w:val="6376755E"/>
    <w:rsid w:val="637A2761"/>
    <w:rsid w:val="63851B05"/>
    <w:rsid w:val="6391492C"/>
    <w:rsid w:val="63B84F0C"/>
    <w:rsid w:val="63B85287"/>
    <w:rsid w:val="63C101AB"/>
    <w:rsid w:val="63CB491D"/>
    <w:rsid w:val="63EA1A51"/>
    <w:rsid w:val="63FE015B"/>
    <w:rsid w:val="64053449"/>
    <w:rsid w:val="64372CC1"/>
    <w:rsid w:val="643E2C81"/>
    <w:rsid w:val="644957D7"/>
    <w:rsid w:val="645D3A61"/>
    <w:rsid w:val="646D5140"/>
    <w:rsid w:val="646F6CBD"/>
    <w:rsid w:val="648065AD"/>
    <w:rsid w:val="64A0679C"/>
    <w:rsid w:val="64C445C0"/>
    <w:rsid w:val="64D12312"/>
    <w:rsid w:val="64EA2E9A"/>
    <w:rsid w:val="64FD8FDA"/>
    <w:rsid w:val="650B353F"/>
    <w:rsid w:val="651346D9"/>
    <w:rsid w:val="651E4EBF"/>
    <w:rsid w:val="653D5755"/>
    <w:rsid w:val="654624E5"/>
    <w:rsid w:val="654A07B3"/>
    <w:rsid w:val="655174E3"/>
    <w:rsid w:val="656332F6"/>
    <w:rsid w:val="656A7D6E"/>
    <w:rsid w:val="659E54BD"/>
    <w:rsid w:val="65A31D07"/>
    <w:rsid w:val="65A506B0"/>
    <w:rsid w:val="65BD24F7"/>
    <w:rsid w:val="65BE5F1B"/>
    <w:rsid w:val="65BF04E0"/>
    <w:rsid w:val="65D3011A"/>
    <w:rsid w:val="65D3207B"/>
    <w:rsid w:val="65F73162"/>
    <w:rsid w:val="65FF49AD"/>
    <w:rsid w:val="662067D2"/>
    <w:rsid w:val="6635046A"/>
    <w:rsid w:val="667C7CEB"/>
    <w:rsid w:val="669B6FFE"/>
    <w:rsid w:val="66B73E26"/>
    <w:rsid w:val="66BC1B2D"/>
    <w:rsid w:val="66BD26A5"/>
    <w:rsid w:val="66CE4FD5"/>
    <w:rsid w:val="66D4665E"/>
    <w:rsid w:val="66D534B5"/>
    <w:rsid w:val="66D5608D"/>
    <w:rsid w:val="66DD5B07"/>
    <w:rsid w:val="670223D0"/>
    <w:rsid w:val="6719545F"/>
    <w:rsid w:val="6735635A"/>
    <w:rsid w:val="67472E30"/>
    <w:rsid w:val="675538F9"/>
    <w:rsid w:val="67555BF4"/>
    <w:rsid w:val="6763598A"/>
    <w:rsid w:val="67874A3A"/>
    <w:rsid w:val="67A17DC1"/>
    <w:rsid w:val="67A5140F"/>
    <w:rsid w:val="67AB6713"/>
    <w:rsid w:val="67AD74B6"/>
    <w:rsid w:val="67BB69E8"/>
    <w:rsid w:val="67C98449"/>
    <w:rsid w:val="67CB20E2"/>
    <w:rsid w:val="67E75191"/>
    <w:rsid w:val="67FA410F"/>
    <w:rsid w:val="67FE2759"/>
    <w:rsid w:val="680B1DFC"/>
    <w:rsid w:val="68351DDD"/>
    <w:rsid w:val="683937A3"/>
    <w:rsid w:val="684D52F6"/>
    <w:rsid w:val="685E1B76"/>
    <w:rsid w:val="68641E1C"/>
    <w:rsid w:val="686D6A06"/>
    <w:rsid w:val="68773DFF"/>
    <w:rsid w:val="68806972"/>
    <w:rsid w:val="688A251F"/>
    <w:rsid w:val="689C0D13"/>
    <w:rsid w:val="68A94270"/>
    <w:rsid w:val="68BD082B"/>
    <w:rsid w:val="68C97C43"/>
    <w:rsid w:val="68CA3DE9"/>
    <w:rsid w:val="68EA2D05"/>
    <w:rsid w:val="68ED7261"/>
    <w:rsid w:val="68ED7536"/>
    <w:rsid w:val="68EFAE1E"/>
    <w:rsid w:val="690254BC"/>
    <w:rsid w:val="69112449"/>
    <w:rsid w:val="691471A9"/>
    <w:rsid w:val="69155200"/>
    <w:rsid w:val="692468E5"/>
    <w:rsid w:val="69431A78"/>
    <w:rsid w:val="69485FA5"/>
    <w:rsid w:val="6972764A"/>
    <w:rsid w:val="6973753B"/>
    <w:rsid w:val="6978330D"/>
    <w:rsid w:val="69960698"/>
    <w:rsid w:val="69B14D3C"/>
    <w:rsid w:val="69BC1B25"/>
    <w:rsid w:val="69CB9FAD"/>
    <w:rsid w:val="6A0064E9"/>
    <w:rsid w:val="6A036238"/>
    <w:rsid w:val="6A0C7ED6"/>
    <w:rsid w:val="6A1053A6"/>
    <w:rsid w:val="6A306638"/>
    <w:rsid w:val="6A3F6EB0"/>
    <w:rsid w:val="6A3F7FD6"/>
    <w:rsid w:val="6A4A4800"/>
    <w:rsid w:val="6A4C0C28"/>
    <w:rsid w:val="6A771CFB"/>
    <w:rsid w:val="6A7B5236"/>
    <w:rsid w:val="6A814BA3"/>
    <w:rsid w:val="6A9A4608"/>
    <w:rsid w:val="6B3C703D"/>
    <w:rsid w:val="6B3EFBBD"/>
    <w:rsid w:val="6B410494"/>
    <w:rsid w:val="6B7A488F"/>
    <w:rsid w:val="6B7A7905"/>
    <w:rsid w:val="6B840224"/>
    <w:rsid w:val="6B9D26C8"/>
    <w:rsid w:val="6B9FADCB"/>
    <w:rsid w:val="6BBF6EBC"/>
    <w:rsid w:val="6BDCC953"/>
    <w:rsid w:val="6C14628A"/>
    <w:rsid w:val="6C430E05"/>
    <w:rsid w:val="6C4532D0"/>
    <w:rsid w:val="6C4D7115"/>
    <w:rsid w:val="6C7240A4"/>
    <w:rsid w:val="6C74669A"/>
    <w:rsid w:val="6C7A70F9"/>
    <w:rsid w:val="6C826983"/>
    <w:rsid w:val="6CA86D95"/>
    <w:rsid w:val="6CBB3492"/>
    <w:rsid w:val="6CD7653A"/>
    <w:rsid w:val="6CDB4FC8"/>
    <w:rsid w:val="6CE45D9A"/>
    <w:rsid w:val="6CE84991"/>
    <w:rsid w:val="6D193E3A"/>
    <w:rsid w:val="6D3E04D2"/>
    <w:rsid w:val="6D3F3190"/>
    <w:rsid w:val="6D496D0C"/>
    <w:rsid w:val="6D740A24"/>
    <w:rsid w:val="6D77401C"/>
    <w:rsid w:val="6D805954"/>
    <w:rsid w:val="6D821E33"/>
    <w:rsid w:val="6D9811E0"/>
    <w:rsid w:val="6DA4301F"/>
    <w:rsid w:val="6DB52DEC"/>
    <w:rsid w:val="6DC95EAF"/>
    <w:rsid w:val="6DDF75AD"/>
    <w:rsid w:val="6DE61227"/>
    <w:rsid w:val="6DEE2D4B"/>
    <w:rsid w:val="6DEFF534"/>
    <w:rsid w:val="6DF199E0"/>
    <w:rsid w:val="6DF2B60A"/>
    <w:rsid w:val="6DF375B2"/>
    <w:rsid w:val="6DF44598"/>
    <w:rsid w:val="6DF74663"/>
    <w:rsid w:val="6DFBECC3"/>
    <w:rsid w:val="6E15549A"/>
    <w:rsid w:val="6E18275F"/>
    <w:rsid w:val="6E2600E8"/>
    <w:rsid w:val="6E2F71CC"/>
    <w:rsid w:val="6E3A7343"/>
    <w:rsid w:val="6E450900"/>
    <w:rsid w:val="6E4F0699"/>
    <w:rsid w:val="6E6607EA"/>
    <w:rsid w:val="6EBD9CB8"/>
    <w:rsid w:val="6EC27356"/>
    <w:rsid w:val="6EC304A6"/>
    <w:rsid w:val="6EC51168"/>
    <w:rsid w:val="6EDD2C9E"/>
    <w:rsid w:val="6EDE018D"/>
    <w:rsid w:val="6EE20561"/>
    <w:rsid w:val="6EEE0AFF"/>
    <w:rsid w:val="6EEE4014"/>
    <w:rsid w:val="6EEFB2F2"/>
    <w:rsid w:val="6EF02FCD"/>
    <w:rsid w:val="6EFC8599"/>
    <w:rsid w:val="6EFF6413"/>
    <w:rsid w:val="6F0A4E26"/>
    <w:rsid w:val="6F197226"/>
    <w:rsid w:val="6F49178F"/>
    <w:rsid w:val="6F573A5B"/>
    <w:rsid w:val="6F5A7DF4"/>
    <w:rsid w:val="6F69DC45"/>
    <w:rsid w:val="6F772002"/>
    <w:rsid w:val="6F77C8D4"/>
    <w:rsid w:val="6F7EFE2D"/>
    <w:rsid w:val="6F801251"/>
    <w:rsid w:val="6F9A01E6"/>
    <w:rsid w:val="6F9E7547"/>
    <w:rsid w:val="6FA053C3"/>
    <w:rsid w:val="6FAD795A"/>
    <w:rsid w:val="6FB7A101"/>
    <w:rsid w:val="6FC06B65"/>
    <w:rsid w:val="6FCD3DD7"/>
    <w:rsid w:val="6FD41441"/>
    <w:rsid w:val="6FD96104"/>
    <w:rsid w:val="6FE14D92"/>
    <w:rsid w:val="6FE7CE90"/>
    <w:rsid w:val="6FF2284D"/>
    <w:rsid w:val="6FF3E4BD"/>
    <w:rsid w:val="6FF4FA26"/>
    <w:rsid w:val="6FFA7AAE"/>
    <w:rsid w:val="6FFB92E9"/>
    <w:rsid w:val="6FFEFA9F"/>
    <w:rsid w:val="705216E0"/>
    <w:rsid w:val="705762AF"/>
    <w:rsid w:val="705946ED"/>
    <w:rsid w:val="705B51D2"/>
    <w:rsid w:val="705C0881"/>
    <w:rsid w:val="706C76AF"/>
    <w:rsid w:val="707E1AA4"/>
    <w:rsid w:val="709A6707"/>
    <w:rsid w:val="709E6156"/>
    <w:rsid w:val="70B16A32"/>
    <w:rsid w:val="70C66A30"/>
    <w:rsid w:val="70C85859"/>
    <w:rsid w:val="70D34224"/>
    <w:rsid w:val="70DFF73E"/>
    <w:rsid w:val="70FA7281"/>
    <w:rsid w:val="70FB1578"/>
    <w:rsid w:val="71036831"/>
    <w:rsid w:val="711C4901"/>
    <w:rsid w:val="7124063F"/>
    <w:rsid w:val="71265C70"/>
    <w:rsid w:val="71314792"/>
    <w:rsid w:val="71394150"/>
    <w:rsid w:val="71404CCC"/>
    <w:rsid w:val="71503225"/>
    <w:rsid w:val="71532C0A"/>
    <w:rsid w:val="71752757"/>
    <w:rsid w:val="717611EC"/>
    <w:rsid w:val="717B3F26"/>
    <w:rsid w:val="718E288B"/>
    <w:rsid w:val="719F7F5A"/>
    <w:rsid w:val="71AFE508"/>
    <w:rsid w:val="71B54736"/>
    <w:rsid w:val="71C73D7B"/>
    <w:rsid w:val="71D72AA7"/>
    <w:rsid w:val="71ED76C2"/>
    <w:rsid w:val="71FA4F9B"/>
    <w:rsid w:val="71FD1CDD"/>
    <w:rsid w:val="71FDF961"/>
    <w:rsid w:val="720B1BF1"/>
    <w:rsid w:val="721D041B"/>
    <w:rsid w:val="72325BC1"/>
    <w:rsid w:val="72351231"/>
    <w:rsid w:val="723A4165"/>
    <w:rsid w:val="723B2812"/>
    <w:rsid w:val="72415DA9"/>
    <w:rsid w:val="72426DA9"/>
    <w:rsid w:val="724A44C9"/>
    <w:rsid w:val="726D13C6"/>
    <w:rsid w:val="727768AA"/>
    <w:rsid w:val="728B4234"/>
    <w:rsid w:val="7297402B"/>
    <w:rsid w:val="729D14C3"/>
    <w:rsid w:val="72CF7CCF"/>
    <w:rsid w:val="72DF6183"/>
    <w:rsid w:val="72DF6455"/>
    <w:rsid w:val="72F948D8"/>
    <w:rsid w:val="73183662"/>
    <w:rsid w:val="731C4065"/>
    <w:rsid w:val="731D2A29"/>
    <w:rsid w:val="73351FB1"/>
    <w:rsid w:val="733C5A25"/>
    <w:rsid w:val="73432B9C"/>
    <w:rsid w:val="734348D5"/>
    <w:rsid w:val="735FCCC4"/>
    <w:rsid w:val="7362335D"/>
    <w:rsid w:val="7372327F"/>
    <w:rsid w:val="738730E5"/>
    <w:rsid w:val="73887D00"/>
    <w:rsid w:val="73A1690F"/>
    <w:rsid w:val="73A63FF7"/>
    <w:rsid w:val="73A848DF"/>
    <w:rsid w:val="73BAE001"/>
    <w:rsid w:val="73BBD329"/>
    <w:rsid w:val="73C7BA80"/>
    <w:rsid w:val="73CA35B6"/>
    <w:rsid w:val="73DB1646"/>
    <w:rsid w:val="73DC6828"/>
    <w:rsid w:val="73EF51BC"/>
    <w:rsid w:val="73EF7DB5"/>
    <w:rsid w:val="73F700B4"/>
    <w:rsid w:val="73FD00EE"/>
    <w:rsid w:val="740B56C7"/>
    <w:rsid w:val="741E56EC"/>
    <w:rsid w:val="74267DC5"/>
    <w:rsid w:val="74286882"/>
    <w:rsid w:val="742B791D"/>
    <w:rsid w:val="743820BF"/>
    <w:rsid w:val="745650A1"/>
    <w:rsid w:val="745B59DF"/>
    <w:rsid w:val="746437A0"/>
    <w:rsid w:val="74751279"/>
    <w:rsid w:val="747FF1F1"/>
    <w:rsid w:val="74996EFB"/>
    <w:rsid w:val="75023E22"/>
    <w:rsid w:val="75135606"/>
    <w:rsid w:val="75215C54"/>
    <w:rsid w:val="75242AE5"/>
    <w:rsid w:val="75340165"/>
    <w:rsid w:val="75371D34"/>
    <w:rsid w:val="753C487B"/>
    <w:rsid w:val="754F7C6F"/>
    <w:rsid w:val="75564163"/>
    <w:rsid w:val="756A0D7B"/>
    <w:rsid w:val="75812C56"/>
    <w:rsid w:val="758154B1"/>
    <w:rsid w:val="75AF7C63"/>
    <w:rsid w:val="75B24E82"/>
    <w:rsid w:val="75BC556C"/>
    <w:rsid w:val="75BCCD9E"/>
    <w:rsid w:val="75C722D9"/>
    <w:rsid w:val="75CF032D"/>
    <w:rsid w:val="75EB15D1"/>
    <w:rsid w:val="75EC3010"/>
    <w:rsid w:val="75ED5303"/>
    <w:rsid w:val="75FC4E74"/>
    <w:rsid w:val="75FE0163"/>
    <w:rsid w:val="75FE359F"/>
    <w:rsid w:val="75FEEEF9"/>
    <w:rsid w:val="76092A64"/>
    <w:rsid w:val="76122501"/>
    <w:rsid w:val="76151316"/>
    <w:rsid w:val="763D45BB"/>
    <w:rsid w:val="764357E5"/>
    <w:rsid w:val="76466536"/>
    <w:rsid w:val="764B75C6"/>
    <w:rsid w:val="76524A49"/>
    <w:rsid w:val="7660772C"/>
    <w:rsid w:val="7676167D"/>
    <w:rsid w:val="767B92F9"/>
    <w:rsid w:val="767E0E00"/>
    <w:rsid w:val="767E2814"/>
    <w:rsid w:val="768F9D9B"/>
    <w:rsid w:val="76A87FF8"/>
    <w:rsid w:val="76D32C6C"/>
    <w:rsid w:val="76D74AEC"/>
    <w:rsid w:val="76D917E1"/>
    <w:rsid w:val="76DDEA8A"/>
    <w:rsid w:val="76F9E9B1"/>
    <w:rsid w:val="76FF25C2"/>
    <w:rsid w:val="7705722B"/>
    <w:rsid w:val="770C45E9"/>
    <w:rsid w:val="771A1E3E"/>
    <w:rsid w:val="772C7DBA"/>
    <w:rsid w:val="77340D02"/>
    <w:rsid w:val="775D68C5"/>
    <w:rsid w:val="77661264"/>
    <w:rsid w:val="77715241"/>
    <w:rsid w:val="77777B9F"/>
    <w:rsid w:val="777873E7"/>
    <w:rsid w:val="7779030A"/>
    <w:rsid w:val="777EB25B"/>
    <w:rsid w:val="777F8575"/>
    <w:rsid w:val="778A2B69"/>
    <w:rsid w:val="77916539"/>
    <w:rsid w:val="779629A8"/>
    <w:rsid w:val="779A6346"/>
    <w:rsid w:val="779D7812"/>
    <w:rsid w:val="77B70C6A"/>
    <w:rsid w:val="77BF6A8C"/>
    <w:rsid w:val="77BFC28F"/>
    <w:rsid w:val="77C00DC4"/>
    <w:rsid w:val="77C50F4F"/>
    <w:rsid w:val="77DE7203"/>
    <w:rsid w:val="77DFFE3C"/>
    <w:rsid w:val="77E740BA"/>
    <w:rsid w:val="77EE16A3"/>
    <w:rsid w:val="77F59D0B"/>
    <w:rsid w:val="77FB0E47"/>
    <w:rsid w:val="77FC7063"/>
    <w:rsid w:val="77FDDD9D"/>
    <w:rsid w:val="77FF4EE3"/>
    <w:rsid w:val="77FF7FE4"/>
    <w:rsid w:val="780D57A7"/>
    <w:rsid w:val="78193987"/>
    <w:rsid w:val="781975F2"/>
    <w:rsid w:val="782F3742"/>
    <w:rsid w:val="78404D95"/>
    <w:rsid w:val="78430CD6"/>
    <w:rsid w:val="78507E0B"/>
    <w:rsid w:val="78633894"/>
    <w:rsid w:val="78794E26"/>
    <w:rsid w:val="78BF1217"/>
    <w:rsid w:val="78FA4FD2"/>
    <w:rsid w:val="78FE457A"/>
    <w:rsid w:val="79105436"/>
    <w:rsid w:val="791639AE"/>
    <w:rsid w:val="791A44FE"/>
    <w:rsid w:val="79255CB6"/>
    <w:rsid w:val="79362C0A"/>
    <w:rsid w:val="79405588"/>
    <w:rsid w:val="797A467A"/>
    <w:rsid w:val="798D0839"/>
    <w:rsid w:val="79A74CA7"/>
    <w:rsid w:val="79BD4E80"/>
    <w:rsid w:val="79CA47CF"/>
    <w:rsid w:val="79CB57D6"/>
    <w:rsid w:val="79DB5B83"/>
    <w:rsid w:val="79F03FCF"/>
    <w:rsid w:val="79FB2566"/>
    <w:rsid w:val="7A010AE6"/>
    <w:rsid w:val="7A07604B"/>
    <w:rsid w:val="7A394D44"/>
    <w:rsid w:val="7A3C5218"/>
    <w:rsid w:val="7A3E7FFB"/>
    <w:rsid w:val="7A4A2674"/>
    <w:rsid w:val="7A52758B"/>
    <w:rsid w:val="7A602347"/>
    <w:rsid w:val="7A734461"/>
    <w:rsid w:val="7AAE0615"/>
    <w:rsid w:val="7AB61B40"/>
    <w:rsid w:val="7ABBB6C4"/>
    <w:rsid w:val="7ACB60A9"/>
    <w:rsid w:val="7ACC5C1F"/>
    <w:rsid w:val="7ADB1CB7"/>
    <w:rsid w:val="7ADF32D1"/>
    <w:rsid w:val="7AE30252"/>
    <w:rsid w:val="7AEBC347"/>
    <w:rsid w:val="7AEF0D5D"/>
    <w:rsid w:val="7AF424A0"/>
    <w:rsid w:val="7AF83B90"/>
    <w:rsid w:val="7AFF9E3B"/>
    <w:rsid w:val="7AFFC624"/>
    <w:rsid w:val="7B0A65B7"/>
    <w:rsid w:val="7B1446CC"/>
    <w:rsid w:val="7B1A6A73"/>
    <w:rsid w:val="7B1EB103"/>
    <w:rsid w:val="7B3B436A"/>
    <w:rsid w:val="7B4A8481"/>
    <w:rsid w:val="7B5223B2"/>
    <w:rsid w:val="7B5B3C69"/>
    <w:rsid w:val="7B6F50E5"/>
    <w:rsid w:val="7B79F785"/>
    <w:rsid w:val="7B7ABF80"/>
    <w:rsid w:val="7B7B9116"/>
    <w:rsid w:val="7B7D1A99"/>
    <w:rsid w:val="7B9E7D40"/>
    <w:rsid w:val="7BA179BD"/>
    <w:rsid w:val="7BAF1D11"/>
    <w:rsid w:val="7BBC423F"/>
    <w:rsid w:val="7BC82C5F"/>
    <w:rsid w:val="7BD079C5"/>
    <w:rsid w:val="7BD86872"/>
    <w:rsid w:val="7BE0CFC7"/>
    <w:rsid w:val="7BE77E17"/>
    <w:rsid w:val="7BFABC06"/>
    <w:rsid w:val="7BFC0C44"/>
    <w:rsid w:val="7BFF93D0"/>
    <w:rsid w:val="7C0B38F4"/>
    <w:rsid w:val="7C0D7E3C"/>
    <w:rsid w:val="7C1F8B16"/>
    <w:rsid w:val="7C380277"/>
    <w:rsid w:val="7C3A685F"/>
    <w:rsid w:val="7C537EEA"/>
    <w:rsid w:val="7C7B0BD3"/>
    <w:rsid w:val="7C7DAE17"/>
    <w:rsid w:val="7C8F06DC"/>
    <w:rsid w:val="7CAD3809"/>
    <w:rsid w:val="7CAE620B"/>
    <w:rsid w:val="7CC05DC2"/>
    <w:rsid w:val="7CCA6E53"/>
    <w:rsid w:val="7CF1D204"/>
    <w:rsid w:val="7CF949CF"/>
    <w:rsid w:val="7CFABEC4"/>
    <w:rsid w:val="7CFF20AF"/>
    <w:rsid w:val="7CFF78DD"/>
    <w:rsid w:val="7D225865"/>
    <w:rsid w:val="7D3519B7"/>
    <w:rsid w:val="7D4407D9"/>
    <w:rsid w:val="7D4728C6"/>
    <w:rsid w:val="7D49415F"/>
    <w:rsid w:val="7D6BF250"/>
    <w:rsid w:val="7D743A60"/>
    <w:rsid w:val="7D931034"/>
    <w:rsid w:val="7D9A6EE8"/>
    <w:rsid w:val="7D9C9C2D"/>
    <w:rsid w:val="7DA34427"/>
    <w:rsid w:val="7DBD4672"/>
    <w:rsid w:val="7DC32D03"/>
    <w:rsid w:val="7DC753CC"/>
    <w:rsid w:val="7DCC4270"/>
    <w:rsid w:val="7DCE5869"/>
    <w:rsid w:val="7DD34528"/>
    <w:rsid w:val="7DD74639"/>
    <w:rsid w:val="7DDA7424"/>
    <w:rsid w:val="7DDD4D6C"/>
    <w:rsid w:val="7DE6131E"/>
    <w:rsid w:val="7DEC1FC9"/>
    <w:rsid w:val="7DED7107"/>
    <w:rsid w:val="7DEF5B9B"/>
    <w:rsid w:val="7DF171B0"/>
    <w:rsid w:val="7DFA0FE8"/>
    <w:rsid w:val="7DFA1C90"/>
    <w:rsid w:val="7DFEE2C7"/>
    <w:rsid w:val="7E122DFA"/>
    <w:rsid w:val="7E1C7FCF"/>
    <w:rsid w:val="7E1F7B43"/>
    <w:rsid w:val="7E27425E"/>
    <w:rsid w:val="7E3A873B"/>
    <w:rsid w:val="7E4512A6"/>
    <w:rsid w:val="7E5C7084"/>
    <w:rsid w:val="7E652BE9"/>
    <w:rsid w:val="7E672BEF"/>
    <w:rsid w:val="7E69250C"/>
    <w:rsid w:val="7E6E4774"/>
    <w:rsid w:val="7E97DC44"/>
    <w:rsid w:val="7EA43808"/>
    <w:rsid w:val="7EA94026"/>
    <w:rsid w:val="7EA95B84"/>
    <w:rsid w:val="7EABC6AC"/>
    <w:rsid w:val="7EB43B5F"/>
    <w:rsid w:val="7EBA3D6E"/>
    <w:rsid w:val="7EBB7170"/>
    <w:rsid w:val="7ECB1861"/>
    <w:rsid w:val="7ECB7672"/>
    <w:rsid w:val="7ECF9435"/>
    <w:rsid w:val="7EDBBA17"/>
    <w:rsid w:val="7EDC2FEE"/>
    <w:rsid w:val="7EDF0742"/>
    <w:rsid w:val="7EE0347F"/>
    <w:rsid w:val="7EE5B6D7"/>
    <w:rsid w:val="7EE794C4"/>
    <w:rsid w:val="7EE93561"/>
    <w:rsid w:val="7EEA1AEB"/>
    <w:rsid w:val="7EEBEFE0"/>
    <w:rsid w:val="7EEECDF7"/>
    <w:rsid w:val="7EF3B824"/>
    <w:rsid w:val="7EFB4A4A"/>
    <w:rsid w:val="7EFE7C28"/>
    <w:rsid w:val="7EFF2461"/>
    <w:rsid w:val="7EFF7E95"/>
    <w:rsid w:val="7EFF8BB5"/>
    <w:rsid w:val="7F0E1915"/>
    <w:rsid w:val="7F273EE6"/>
    <w:rsid w:val="7F2B5B2A"/>
    <w:rsid w:val="7F305B1E"/>
    <w:rsid w:val="7F37FE6B"/>
    <w:rsid w:val="7F3EE624"/>
    <w:rsid w:val="7F58309D"/>
    <w:rsid w:val="7F5F8679"/>
    <w:rsid w:val="7F60637A"/>
    <w:rsid w:val="7F63A09E"/>
    <w:rsid w:val="7F6A34FE"/>
    <w:rsid w:val="7F706B67"/>
    <w:rsid w:val="7F7A76B3"/>
    <w:rsid w:val="7F7ADEDC"/>
    <w:rsid w:val="7F7E0C8E"/>
    <w:rsid w:val="7F7EC09B"/>
    <w:rsid w:val="7F7F9C54"/>
    <w:rsid w:val="7F8D392C"/>
    <w:rsid w:val="7F97BA7D"/>
    <w:rsid w:val="7FA3C6E5"/>
    <w:rsid w:val="7FA85DF6"/>
    <w:rsid w:val="7FAB6F5D"/>
    <w:rsid w:val="7FB5FBA2"/>
    <w:rsid w:val="7FB98B47"/>
    <w:rsid w:val="7FBB49D5"/>
    <w:rsid w:val="7FBC0796"/>
    <w:rsid w:val="7FBCE93F"/>
    <w:rsid w:val="7FBDF4F5"/>
    <w:rsid w:val="7FBF9298"/>
    <w:rsid w:val="7FBFADEC"/>
    <w:rsid w:val="7FBFF13B"/>
    <w:rsid w:val="7FC7D7ED"/>
    <w:rsid w:val="7FCDCB32"/>
    <w:rsid w:val="7FCF3C57"/>
    <w:rsid w:val="7FCF8F49"/>
    <w:rsid w:val="7FD5CBB7"/>
    <w:rsid w:val="7FD8757A"/>
    <w:rsid w:val="7FDB79B9"/>
    <w:rsid w:val="7FDF0206"/>
    <w:rsid w:val="7FDF6DB7"/>
    <w:rsid w:val="7FE622D8"/>
    <w:rsid w:val="7FEC207F"/>
    <w:rsid w:val="7FEEE57F"/>
    <w:rsid w:val="7FF0AE26"/>
    <w:rsid w:val="7FF334EF"/>
    <w:rsid w:val="7FF38D8D"/>
    <w:rsid w:val="7FF3B761"/>
    <w:rsid w:val="7FF40C0A"/>
    <w:rsid w:val="7FF73292"/>
    <w:rsid w:val="7FF78201"/>
    <w:rsid w:val="7FF7B88D"/>
    <w:rsid w:val="7FF7CA6F"/>
    <w:rsid w:val="7FFA5B65"/>
    <w:rsid w:val="7FFBC42D"/>
    <w:rsid w:val="7FFBEEE2"/>
    <w:rsid w:val="7FFD0F19"/>
    <w:rsid w:val="7FFDCC32"/>
    <w:rsid w:val="7FFE38CE"/>
    <w:rsid w:val="7FFE80CD"/>
    <w:rsid w:val="7FFF1D54"/>
    <w:rsid w:val="7FFF5297"/>
    <w:rsid w:val="7FFF7F3D"/>
    <w:rsid w:val="7FFFAD62"/>
    <w:rsid w:val="7FFFCC6E"/>
    <w:rsid w:val="7FFFDE6E"/>
    <w:rsid w:val="7FFFE7CD"/>
    <w:rsid w:val="8EBAA5B3"/>
    <w:rsid w:val="8F9E1CBC"/>
    <w:rsid w:val="8FDCA97A"/>
    <w:rsid w:val="8FFF15F5"/>
    <w:rsid w:val="925B61B8"/>
    <w:rsid w:val="975FE2A0"/>
    <w:rsid w:val="976FB75E"/>
    <w:rsid w:val="97EB617E"/>
    <w:rsid w:val="97FBCDE9"/>
    <w:rsid w:val="99393F67"/>
    <w:rsid w:val="9A7B90EC"/>
    <w:rsid w:val="9ABD8C14"/>
    <w:rsid w:val="9B7B046D"/>
    <w:rsid w:val="9CFB7CD9"/>
    <w:rsid w:val="9DABE4D6"/>
    <w:rsid w:val="9E5FB31E"/>
    <w:rsid w:val="9ECD39A5"/>
    <w:rsid w:val="9ED5C053"/>
    <w:rsid w:val="9F6ADBE9"/>
    <w:rsid w:val="9FB68085"/>
    <w:rsid w:val="9FBDB720"/>
    <w:rsid w:val="9FBFBA6E"/>
    <w:rsid w:val="9FED3605"/>
    <w:rsid w:val="9FF3E149"/>
    <w:rsid w:val="9FFF2951"/>
    <w:rsid w:val="A3BB8822"/>
    <w:rsid w:val="A4FF1F47"/>
    <w:rsid w:val="A7FA2A2B"/>
    <w:rsid w:val="AAEA10E6"/>
    <w:rsid w:val="ACBD9632"/>
    <w:rsid w:val="ACFB10B4"/>
    <w:rsid w:val="AD7BFE1F"/>
    <w:rsid w:val="AE7A9299"/>
    <w:rsid w:val="AED0E299"/>
    <w:rsid w:val="AEDF193F"/>
    <w:rsid w:val="AEF85F1E"/>
    <w:rsid w:val="AF5B5CB9"/>
    <w:rsid w:val="AF772577"/>
    <w:rsid w:val="AFB39D47"/>
    <w:rsid w:val="AFF8EC29"/>
    <w:rsid w:val="AFFA3D7C"/>
    <w:rsid w:val="B2BBA24E"/>
    <w:rsid w:val="B4FEEF2A"/>
    <w:rsid w:val="B53FDB03"/>
    <w:rsid w:val="B5DD28F4"/>
    <w:rsid w:val="B6AF3D59"/>
    <w:rsid w:val="B6BD79EC"/>
    <w:rsid w:val="B71E6409"/>
    <w:rsid w:val="B7D054CA"/>
    <w:rsid w:val="B7DD4B6C"/>
    <w:rsid w:val="B7F53AC6"/>
    <w:rsid w:val="B7FF11CD"/>
    <w:rsid w:val="B8FAED81"/>
    <w:rsid w:val="B9BEFA19"/>
    <w:rsid w:val="B9E6163B"/>
    <w:rsid w:val="B9EDAF82"/>
    <w:rsid w:val="B9FFD570"/>
    <w:rsid w:val="BA2FF8AB"/>
    <w:rsid w:val="BAE14BE9"/>
    <w:rsid w:val="BAED73FC"/>
    <w:rsid w:val="BB7DC1B6"/>
    <w:rsid w:val="BBBB9B50"/>
    <w:rsid w:val="BBEF4C2F"/>
    <w:rsid w:val="BBF43034"/>
    <w:rsid w:val="BC9F126D"/>
    <w:rsid w:val="BD32BD5E"/>
    <w:rsid w:val="BDA667F3"/>
    <w:rsid w:val="BDAE3DD9"/>
    <w:rsid w:val="BDBBA944"/>
    <w:rsid w:val="BDEB44D0"/>
    <w:rsid w:val="BDEF48E5"/>
    <w:rsid w:val="BDF9C70B"/>
    <w:rsid w:val="BE559CB3"/>
    <w:rsid w:val="BE7D3435"/>
    <w:rsid w:val="BE7FC595"/>
    <w:rsid w:val="BEB27996"/>
    <w:rsid w:val="BEBDD900"/>
    <w:rsid w:val="BEF738F9"/>
    <w:rsid w:val="BF653E43"/>
    <w:rsid w:val="BF7F29A7"/>
    <w:rsid w:val="BF7FFAC9"/>
    <w:rsid w:val="BF97DC85"/>
    <w:rsid w:val="BF9B5EB0"/>
    <w:rsid w:val="BF9D2E8B"/>
    <w:rsid w:val="BFAB7A59"/>
    <w:rsid w:val="BFBB0FCA"/>
    <w:rsid w:val="BFBF93E9"/>
    <w:rsid w:val="BFCEFC20"/>
    <w:rsid w:val="BFDBF78E"/>
    <w:rsid w:val="BFDF29B2"/>
    <w:rsid w:val="BFDFE36F"/>
    <w:rsid w:val="BFE34F27"/>
    <w:rsid w:val="BFE61B52"/>
    <w:rsid w:val="BFFAEAA3"/>
    <w:rsid w:val="BFFD646B"/>
    <w:rsid w:val="C0FFE1AA"/>
    <w:rsid w:val="C7272414"/>
    <w:rsid w:val="C7DB8258"/>
    <w:rsid w:val="C85D7AA3"/>
    <w:rsid w:val="CBF6755A"/>
    <w:rsid w:val="CEBBBC71"/>
    <w:rsid w:val="CEFFACB8"/>
    <w:rsid w:val="CFBF6E8C"/>
    <w:rsid w:val="CFFFEB09"/>
    <w:rsid w:val="D2AFFEE6"/>
    <w:rsid w:val="D2FF26B2"/>
    <w:rsid w:val="D35C3F1E"/>
    <w:rsid w:val="D485850B"/>
    <w:rsid w:val="D5F33B09"/>
    <w:rsid w:val="D6DF8C04"/>
    <w:rsid w:val="D6FF9912"/>
    <w:rsid w:val="D7AD39EB"/>
    <w:rsid w:val="D7D57703"/>
    <w:rsid w:val="D7E6E228"/>
    <w:rsid w:val="D7F36884"/>
    <w:rsid w:val="D7FB1EC0"/>
    <w:rsid w:val="D7FB619E"/>
    <w:rsid w:val="D7FFFDB1"/>
    <w:rsid w:val="D9675D70"/>
    <w:rsid w:val="D9BA0433"/>
    <w:rsid w:val="DA4FAD0B"/>
    <w:rsid w:val="DB05C0DF"/>
    <w:rsid w:val="DB5E6118"/>
    <w:rsid w:val="DB7BDC6A"/>
    <w:rsid w:val="DBDF2312"/>
    <w:rsid w:val="DBEDF342"/>
    <w:rsid w:val="DBFA7F51"/>
    <w:rsid w:val="DBFEC364"/>
    <w:rsid w:val="DC7F7087"/>
    <w:rsid w:val="DCAC6A31"/>
    <w:rsid w:val="DCDEF19A"/>
    <w:rsid w:val="DCEE55BC"/>
    <w:rsid w:val="DD6FCD87"/>
    <w:rsid w:val="DD77BD08"/>
    <w:rsid w:val="DD8FCBF3"/>
    <w:rsid w:val="DDE7EBB9"/>
    <w:rsid w:val="DE352F2B"/>
    <w:rsid w:val="DE554E65"/>
    <w:rsid w:val="DE7EE856"/>
    <w:rsid w:val="DEEA3005"/>
    <w:rsid w:val="DF0EAB05"/>
    <w:rsid w:val="DF75AF57"/>
    <w:rsid w:val="DF87C999"/>
    <w:rsid w:val="DFA5A159"/>
    <w:rsid w:val="DFBB0338"/>
    <w:rsid w:val="DFBEE98E"/>
    <w:rsid w:val="DFBFBB67"/>
    <w:rsid w:val="DFCF6AA1"/>
    <w:rsid w:val="DFDEFE89"/>
    <w:rsid w:val="DFDF306B"/>
    <w:rsid w:val="DFF1719C"/>
    <w:rsid w:val="DFF637BB"/>
    <w:rsid w:val="DFF95588"/>
    <w:rsid w:val="DFFDA270"/>
    <w:rsid w:val="DFFED0A4"/>
    <w:rsid w:val="DFFEE446"/>
    <w:rsid w:val="DFFF4710"/>
    <w:rsid w:val="DFFF76BE"/>
    <w:rsid w:val="E3760DA7"/>
    <w:rsid w:val="E3EC6B29"/>
    <w:rsid w:val="E45FB033"/>
    <w:rsid w:val="E4FF8046"/>
    <w:rsid w:val="E56EE636"/>
    <w:rsid w:val="E57E1B14"/>
    <w:rsid w:val="E58FCC12"/>
    <w:rsid w:val="E5EEDF71"/>
    <w:rsid w:val="E5FFE649"/>
    <w:rsid w:val="E6EEB185"/>
    <w:rsid w:val="E6EF5C7E"/>
    <w:rsid w:val="E77DCD0E"/>
    <w:rsid w:val="E7D589BB"/>
    <w:rsid w:val="E7DD3F25"/>
    <w:rsid w:val="E7FF2B70"/>
    <w:rsid w:val="E8FD4DDD"/>
    <w:rsid w:val="E97A3A04"/>
    <w:rsid w:val="E9FB44DC"/>
    <w:rsid w:val="E9FF6A58"/>
    <w:rsid w:val="EADB4A8A"/>
    <w:rsid w:val="EAFF444A"/>
    <w:rsid w:val="EB595022"/>
    <w:rsid w:val="EB7DD356"/>
    <w:rsid w:val="EBBFF623"/>
    <w:rsid w:val="EBFA3B43"/>
    <w:rsid w:val="EBFB3B81"/>
    <w:rsid w:val="EBFF48CA"/>
    <w:rsid w:val="EC9F3616"/>
    <w:rsid w:val="ECCBAED4"/>
    <w:rsid w:val="ECDC2EB5"/>
    <w:rsid w:val="ED79B9A8"/>
    <w:rsid w:val="EDE31F9A"/>
    <w:rsid w:val="EDFCEC46"/>
    <w:rsid w:val="EDFFA5CB"/>
    <w:rsid w:val="EDFFBEB3"/>
    <w:rsid w:val="EED9AF06"/>
    <w:rsid w:val="EEEB4AF2"/>
    <w:rsid w:val="EEEFB884"/>
    <w:rsid w:val="EF1B4EF4"/>
    <w:rsid w:val="EF3BD0D3"/>
    <w:rsid w:val="EF3FE332"/>
    <w:rsid w:val="EF7C4EDE"/>
    <w:rsid w:val="EF7D763E"/>
    <w:rsid w:val="EF97745E"/>
    <w:rsid w:val="EF9C773A"/>
    <w:rsid w:val="EFB2A546"/>
    <w:rsid w:val="EFB3BDDB"/>
    <w:rsid w:val="EFBF005C"/>
    <w:rsid w:val="EFBF5848"/>
    <w:rsid w:val="EFBFF908"/>
    <w:rsid w:val="EFCD5116"/>
    <w:rsid w:val="EFDF9DAD"/>
    <w:rsid w:val="EFF76986"/>
    <w:rsid w:val="EFFA6EA3"/>
    <w:rsid w:val="EFFB2863"/>
    <w:rsid w:val="EFFEA4E1"/>
    <w:rsid w:val="EFFF4F91"/>
    <w:rsid w:val="EFFFA3A6"/>
    <w:rsid w:val="F1AD3B9D"/>
    <w:rsid w:val="F1FE408C"/>
    <w:rsid w:val="F1FFA271"/>
    <w:rsid w:val="F2EA54E5"/>
    <w:rsid w:val="F2FB0F42"/>
    <w:rsid w:val="F2FFA4B7"/>
    <w:rsid w:val="F36B7B40"/>
    <w:rsid w:val="F3B9E7F5"/>
    <w:rsid w:val="F3DFD507"/>
    <w:rsid w:val="F3F939C8"/>
    <w:rsid w:val="F3FA327A"/>
    <w:rsid w:val="F3FF909E"/>
    <w:rsid w:val="F43F8F01"/>
    <w:rsid w:val="F5A24E3A"/>
    <w:rsid w:val="F5B3D081"/>
    <w:rsid w:val="F5C791E6"/>
    <w:rsid w:val="F5F725AE"/>
    <w:rsid w:val="F5F8234E"/>
    <w:rsid w:val="F5FD56AE"/>
    <w:rsid w:val="F5FDEDEA"/>
    <w:rsid w:val="F5FF9CAF"/>
    <w:rsid w:val="F66FB3AA"/>
    <w:rsid w:val="F67B6938"/>
    <w:rsid w:val="F67F4E83"/>
    <w:rsid w:val="F69F88D5"/>
    <w:rsid w:val="F6AF181F"/>
    <w:rsid w:val="F6DFBBFD"/>
    <w:rsid w:val="F6EFD16B"/>
    <w:rsid w:val="F6FDEE7A"/>
    <w:rsid w:val="F71FA8B0"/>
    <w:rsid w:val="F76AC514"/>
    <w:rsid w:val="F76FDC9C"/>
    <w:rsid w:val="F77343FA"/>
    <w:rsid w:val="F77FEE83"/>
    <w:rsid w:val="F79FCCC5"/>
    <w:rsid w:val="F7BF27FF"/>
    <w:rsid w:val="F7D66DD8"/>
    <w:rsid w:val="F7F136B2"/>
    <w:rsid w:val="F7F6A293"/>
    <w:rsid w:val="F7F71FA5"/>
    <w:rsid w:val="F7FAF6C0"/>
    <w:rsid w:val="F7FE9CCF"/>
    <w:rsid w:val="F7FF009F"/>
    <w:rsid w:val="F7FF1486"/>
    <w:rsid w:val="F7FF5A9B"/>
    <w:rsid w:val="F8AF21E6"/>
    <w:rsid w:val="F8BE7F04"/>
    <w:rsid w:val="F8BF1C50"/>
    <w:rsid w:val="F8FFBB65"/>
    <w:rsid w:val="F97AF7F3"/>
    <w:rsid w:val="F9AE1013"/>
    <w:rsid w:val="F9BF557A"/>
    <w:rsid w:val="F9DECF60"/>
    <w:rsid w:val="F9F436BD"/>
    <w:rsid w:val="F9FF9FB0"/>
    <w:rsid w:val="FA1BE6D0"/>
    <w:rsid w:val="FAAAC54A"/>
    <w:rsid w:val="FADD898E"/>
    <w:rsid w:val="FAF65449"/>
    <w:rsid w:val="FAF7E2C5"/>
    <w:rsid w:val="FAFFB0BB"/>
    <w:rsid w:val="FB761116"/>
    <w:rsid w:val="FB7E4AFC"/>
    <w:rsid w:val="FBBDE65B"/>
    <w:rsid w:val="FBDF6989"/>
    <w:rsid w:val="FBE7D764"/>
    <w:rsid w:val="FBEE3861"/>
    <w:rsid w:val="FBF16F18"/>
    <w:rsid w:val="FBF2EFA3"/>
    <w:rsid w:val="FBF5809C"/>
    <w:rsid w:val="FBF58392"/>
    <w:rsid w:val="FBFF8633"/>
    <w:rsid w:val="FCB72C05"/>
    <w:rsid w:val="FCBCC5F2"/>
    <w:rsid w:val="FCD325BA"/>
    <w:rsid w:val="FCEDF58F"/>
    <w:rsid w:val="FCEFDE25"/>
    <w:rsid w:val="FCFC09D1"/>
    <w:rsid w:val="FCFFA328"/>
    <w:rsid w:val="FD3F5673"/>
    <w:rsid w:val="FDBD9380"/>
    <w:rsid w:val="FDDB354F"/>
    <w:rsid w:val="FDDB81BE"/>
    <w:rsid w:val="FDDEBE2E"/>
    <w:rsid w:val="FDE3A615"/>
    <w:rsid w:val="FDE65F2A"/>
    <w:rsid w:val="FDEDC112"/>
    <w:rsid w:val="FDEDF450"/>
    <w:rsid w:val="FDF77C4A"/>
    <w:rsid w:val="FDFB9655"/>
    <w:rsid w:val="FDFE8DF0"/>
    <w:rsid w:val="FDFF1F49"/>
    <w:rsid w:val="FDFFEABE"/>
    <w:rsid w:val="FE0EF807"/>
    <w:rsid w:val="FE6FC6B2"/>
    <w:rsid w:val="FE7C1329"/>
    <w:rsid w:val="FE7FF1C5"/>
    <w:rsid w:val="FE8CF455"/>
    <w:rsid w:val="FE9E0829"/>
    <w:rsid w:val="FEA4D74C"/>
    <w:rsid w:val="FEAFB15F"/>
    <w:rsid w:val="FEBB8E85"/>
    <w:rsid w:val="FEBC8CC9"/>
    <w:rsid w:val="FEBFB7BB"/>
    <w:rsid w:val="FECE6E8D"/>
    <w:rsid w:val="FED95E09"/>
    <w:rsid w:val="FEEEB462"/>
    <w:rsid w:val="FEEF44DF"/>
    <w:rsid w:val="FEEF6E47"/>
    <w:rsid w:val="FEF3CE25"/>
    <w:rsid w:val="FEF74EEA"/>
    <w:rsid w:val="FEFDD16A"/>
    <w:rsid w:val="FF3BDAB8"/>
    <w:rsid w:val="FF3BFE17"/>
    <w:rsid w:val="FF3FE1B4"/>
    <w:rsid w:val="FF6B1E86"/>
    <w:rsid w:val="FF6D3CCD"/>
    <w:rsid w:val="FF774BD2"/>
    <w:rsid w:val="FF7F6CDB"/>
    <w:rsid w:val="FF7FAFA5"/>
    <w:rsid w:val="FF96246E"/>
    <w:rsid w:val="FF9B6994"/>
    <w:rsid w:val="FF9E7443"/>
    <w:rsid w:val="FF9F5DCE"/>
    <w:rsid w:val="FF9FC69E"/>
    <w:rsid w:val="FFA77828"/>
    <w:rsid w:val="FFAF742B"/>
    <w:rsid w:val="FFB5A407"/>
    <w:rsid w:val="FFB7BFA8"/>
    <w:rsid w:val="FFBC8EA1"/>
    <w:rsid w:val="FFBFEAFA"/>
    <w:rsid w:val="FFC7B1B0"/>
    <w:rsid w:val="FFD5E56B"/>
    <w:rsid w:val="FFDCCC53"/>
    <w:rsid w:val="FFDF4A6F"/>
    <w:rsid w:val="FFDFDBD2"/>
    <w:rsid w:val="FFF32895"/>
    <w:rsid w:val="FFF4075B"/>
    <w:rsid w:val="FFF5FA9B"/>
    <w:rsid w:val="FFF7920E"/>
    <w:rsid w:val="FFFB9EA3"/>
    <w:rsid w:val="FFFC4F00"/>
    <w:rsid w:val="FFFDC5B4"/>
    <w:rsid w:val="FFFDC5EF"/>
    <w:rsid w:val="FFFE14AB"/>
    <w:rsid w:val="FFFEB4B4"/>
    <w:rsid w:val="FFFEC9B9"/>
    <w:rsid w:val="FFFEF13F"/>
    <w:rsid w:val="FFFF281A"/>
    <w:rsid w:val="FFFF5A1B"/>
    <w:rsid w:val="FFFF78E8"/>
    <w:rsid w:val="FFFFA86A"/>
    <w:rsid w:val="FFFFCE86"/>
    <w:rsid w:val="FFFFE708"/>
  </w:rsids>
  <m:mathPr>
    <m:mathFont m:val="Cambria Math"/>
    <m:brkBin m:val="before"/>
    <m:brkBinSub m:val="--"/>
    <m:smallFrac m:val="1"/>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2"/>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9" w:semiHidden="0" w:name="heading 4"/>
    <w:lsdException w:qFormat="1" w:unhideWhenUsed="0" w:uiPriority="0" w:semiHidden="0"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nhideWhenUsed="0" w:uiPriority="39" w:semiHidden="0" w:name="toc 1"/>
    <w:lsdException w:qFormat="1" w:unhideWhenUsed="0" w:uiPriority="39" w:semiHidden="0" w:name="toc 2"/>
    <w:lsdException w:uiPriority="39" w:name="toc 3"/>
    <w:lsdException w:uiPriority="39" w:name="toc 4"/>
    <w:lsdException w:unhideWhenUsed="0" w:uiPriority="0" w:semiHidden="0" w:name="toc 5"/>
    <w:lsdException w:uiPriority="39" w:name="toc 6"/>
    <w:lsdException w:uiPriority="39" w:name="toc 7"/>
    <w:lsdException w:uiPriority="39" w:name="toc 8"/>
    <w:lsdException w:uiPriority="39" w:name="toc 9"/>
    <w:lsdException w:unhideWhenUsed="0" w:uiPriority="0" w:semiHidden="0" w:name="Normal Indent"/>
    <w:lsdException w:uiPriority="99" w:name="footnote text"/>
    <w:lsdException w:qFormat="1" w:uiPriority="0" w:semiHidden="0" w:name="annotation text"/>
    <w:lsdException w:qFormat="1" w:uiPriority="99" w:semiHidden="0" w:name="header"/>
    <w:lsdException w:qFormat="1" w:uiPriority="99" w:semiHidden="0" w:name="footer"/>
    <w:lsdException w:uiPriority="99" w:name="index heading"/>
    <w:lsdException w:qFormat="1" w:uiPriority="35" w:semiHidden="0" w:name="caption"/>
    <w:lsdException w:uiPriority="99" w:name="table of figures"/>
    <w:lsdException w:uiPriority="99" w:name="envelope address"/>
    <w:lsdException w:uiPriority="99" w:name="envelope return"/>
    <w:lsdException w:uiPriority="99" w:name="footnote reference"/>
    <w:lsdException w:qFormat="1" w:unhideWhenUsed="0" w:uiPriority="0" w:semiHidden="0"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qFormat="1" w:unhideWhenUsed="0" w:uiPriority="0" w:semiHidden="0" w:name="List"/>
    <w:lsdException w:uiPriority="99" w:name="List Bullet"/>
    <w:lsdException w:uiPriority="99" w:name="List Number"/>
    <w:lsdException w:uiPriority="99" w:name="List 2"/>
    <w:lsdException w:qFormat="1" w:unhideWhenUsed="0" w:uiPriority="99" w:semiHidden="0" w:name="List 3"/>
    <w:lsdException w:uiPriority="99" w:name="List 4"/>
    <w:lsdException w:uiPriority="99" w:name="List 5"/>
    <w:lsdException w:qFormat="1" w:uiPriority="99" w:semiHidden="0"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semiHidden="0" w:name="Default Paragraph Font"/>
    <w:lsdException w:unhideWhenUsed="0" w:uiPriority="0" w:semiHidden="0" w:name="Body Text"/>
    <w:lsdException w:unhideWhenUsed="0"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semiHidden="0" w:name="Body Text First Indent"/>
    <w:lsdException w:uiPriority="99" w:semiHidden="0" w:name="Body Text First Indent 2"/>
    <w:lsdException w:uiPriority="99" w:name="Note Heading"/>
    <w:lsdException w:unhideWhenUsed="0" w:uiPriority="0" w:semiHidden="0" w:name="Body Text 2"/>
    <w:lsdException w:uiPriority="99" w:name="Body Text 3"/>
    <w:lsdException w:uiPriority="99" w:name="Body Text Indent 2"/>
    <w:lsdException w:unhideWhenUsed="0" w:uiPriority="0" w:semiHidden="0" w:name="Body Text Indent 3"/>
    <w:lsdException w:uiPriority="99" w:name="Block Text"/>
    <w:lsdException w:qFormat="1" w:uiPriority="99" w:semiHidden="0" w:name="Hyperlink"/>
    <w:lsdException w:qFormat="1" w:uiPriority="99" w:name="FollowedHyperlink"/>
    <w:lsdException w:qFormat="1" w:unhideWhenUsed="0" w:uiPriority="0" w:semiHidden="0" w:name="Strong"/>
    <w:lsdException w:qFormat="1" w:unhideWhenUsed="0" w:uiPriority="20" w:semiHidden="0" w:name="Emphasis"/>
    <w:lsdException w:uiPriority="99" w:name="Document Map"/>
    <w:lsdException w:qFormat="1" w:unhideWhenUsed="0" w:uiPriority="0" w:semiHidden="0" w:name="Plain Text"/>
    <w:lsdException w:qFormat="1" w:uiPriority="99" w:semiHidden="0" w:name="E-mail Signature"/>
    <w:lsdException w:qFormat="1" w:unhideWhenUsed="0"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iPriority="99"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qFormat="1"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adjustRightInd w:val="0"/>
      <w:snapToGrid w:val="0"/>
      <w:spacing w:line="360" w:lineRule="auto"/>
      <w:ind w:firstLine="200" w:firstLineChars="200"/>
      <w:jc w:val="both"/>
    </w:pPr>
    <w:rPr>
      <w:rFonts w:ascii="Times New Roman" w:hAnsi="Times New Roman" w:eastAsia="宋体" w:cs="Times New Roman"/>
      <w:sz w:val="24"/>
      <w:szCs w:val="24"/>
      <w:lang w:val="en-US" w:eastAsia="zh-CN" w:bidi="ar-SA"/>
    </w:rPr>
  </w:style>
  <w:style w:type="paragraph" w:styleId="2">
    <w:name w:val="heading 1"/>
    <w:basedOn w:val="1"/>
    <w:next w:val="1"/>
    <w:link w:val="46"/>
    <w:autoRedefine/>
    <w:qFormat/>
    <w:uiPriority w:val="0"/>
    <w:pPr>
      <w:ind w:firstLine="602"/>
      <w:jc w:val="center"/>
      <w:outlineLvl w:val="0"/>
    </w:pPr>
    <w:rPr>
      <w:rFonts w:asciiTheme="majorBidi" w:hAnsiTheme="majorBidi" w:eastAsiaTheme="minorEastAsia" w:cstheme="majorBidi"/>
      <w:b/>
      <w:bCs/>
      <w:snapToGrid w:val="0"/>
      <w:color w:val="000000" w:themeColor="text1"/>
      <w:sz w:val="30"/>
      <w:szCs w:val="30"/>
      <w14:textFill>
        <w14:solidFill>
          <w14:schemeClr w14:val="tx1"/>
        </w14:solidFill>
      </w14:textFill>
    </w:rPr>
  </w:style>
  <w:style w:type="paragraph" w:styleId="3">
    <w:name w:val="heading 2"/>
    <w:next w:val="1"/>
    <w:autoRedefine/>
    <w:qFormat/>
    <w:uiPriority w:val="0"/>
    <w:pPr>
      <w:keepNext/>
      <w:keepLines/>
      <w:widowControl w:val="0"/>
      <w:numPr>
        <w:ilvl w:val="0"/>
        <w:numId w:val="1"/>
      </w:numPr>
      <w:autoSpaceDE w:val="0"/>
      <w:autoSpaceDN w:val="0"/>
      <w:adjustRightInd w:val="0"/>
      <w:spacing w:before="120" w:after="120"/>
      <w:jc w:val="both"/>
      <w:textAlignment w:val="baseline"/>
      <w:outlineLvl w:val="1"/>
    </w:pPr>
    <w:rPr>
      <w:rFonts w:ascii="宋体" w:hAnsi="Arial" w:eastAsia="宋体" w:cs="Times New Roman"/>
      <w:b/>
      <w:kern w:val="24"/>
      <w:sz w:val="30"/>
      <w:lang w:val="en-US" w:eastAsia="zh-CN" w:bidi="ar-SA"/>
    </w:rPr>
  </w:style>
  <w:style w:type="paragraph" w:styleId="4">
    <w:name w:val="heading 3"/>
    <w:basedOn w:val="1"/>
    <w:next w:val="1"/>
    <w:autoRedefine/>
    <w:qFormat/>
    <w:uiPriority w:val="0"/>
    <w:pPr>
      <w:autoSpaceDE w:val="0"/>
      <w:autoSpaceDN w:val="0"/>
      <w:textAlignment w:val="baseline"/>
      <w:outlineLvl w:val="2"/>
    </w:pPr>
    <w:rPr>
      <w:b/>
      <w:kern w:val="24"/>
    </w:rPr>
  </w:style>
  <w:style w:type="paragraph" w:styleId="5">
    <w:name w:val="heading 4"/>
    <w:basedOn w:val="1"/>
    <w:next w:val="1"/>
    <w:autoRedefine/>
    <w:qFormat/>
    <w:uiPriority w:val="9"/>
    <w:pPr>
      <w:ind w:firstLine="240" w:firstLineChars="100"/>
      <w:outlineLvl w:val="3"/>
    </w:pPr>
    <w:rPr>
      <w:rFonts w:ascii="Arial" w:hAnsi="Arial"/>
      <w:sz w:val="28"/>
    </w:rPr>
  </w:style>
  <w:style w:type="paragraph" w:styleId="6">
    <w:name w:val="heading 5"/>
    <w:basedOn w:val="1"/>
    <w:next w:val="1"/>
    <w:link w:val="39"/>
    <w:autoRedefine/>
    <w:qFormat/>
    <w:uiPriority w:val="0"/>
    <w:pPr>
      <w:keepNext/>
      <w:keepLines/>
      <w:numPr>
        <w:ilvl w:val="4"/>
        <w:numId w:val="2"/>
      </w:numPr>
      <w:adjustRightInd/>
      <w:snapToGrid/>
      <w:spacing w:before="60" w:after="60"/>
      <w:ind w:firstLine="0"/>
      <w:outlineLvl w:val="4"/>
    </w:pPr>
    <w:rPr>
      <w:rFonts w:hAnsi="Impact" w:eastAsia="楷体_GB2312"/>
      <w:b/>
      <w:kern w:val="2"/>
      <w:szCs w:val="20"/>
      <w:lang w:val="zh-CN"/>
    </w:rPr>
  </w:style>
  <w:style w:type="character" w:default="1" w:styleId="23">
    <w:name w:val="Default Paragraph Font"/>
    <w:unhideWhenUsed/>
    <w:qFormat/>
    <w:uiPriority w:val="1"/>
  </w:style>
  <w:style w:type="table" w:default="1" w:styleId="21">
    <w:name w:val="Normal Table"/>
    <w:semiHidden/>
    <w:unhideWhenUsed/>
    <w:qFormat/>
    <w:uiPriority w:val="99"/>
    <w:tblPr>
      <w:tblCellMar>
        <w:top w:w="0" w:type="dxa"/>
        <w:left w:w="108" w:type="dxa"/>
        <w:bottom w:w="0" w:type="dxa"/>
        <w:right w:w="108" w:type="dxa"/>
      </w:tblCellMar>
    </w:tblPr>
  </w:style>
  <w:style w:type="paragraph" w:styleId="7">
    <w:name w:val="List 3"/>
    <w:basedOn w:val="1"/>
    <w:next w:val="1"/>
    <w:autoRedefine/>
    <w:qFormat/>
    <w:uiPriority w:val="99"/>
    <w:pPr>
      <w:autoSpaceDE w:val="0"/>
      <w:autoSpaceDN w:val="0"/>
      <w:spacing w:line="288" w:lineRule="auto"/>
      <w:ind w:left="1260" w:hanging="420"/>
      <w:textAlignment w:val="baseline"/>
    </w:pPr>
  </w:style>
  <w:style w:type="paragraph" w:styleId="8">
    <w:name w:val="E-mail Signature"/>
    <w:next w:val="9"/>
    <w:autoRedefine/>
    <w:unhideWhenUsed/>
    <w:qFormat/>
    <w:uiPriority w:val="99"/>
    <w:pPr>
      <w:widowControl w:val="0"/>
      <w:spacing w:line="460" w:lineRule="exact"/>
      <w:ind w:firstLine="200"/>
      <w:jc w:val="both"/>
    </w:pPr>
    <w:rPr>
      <w:rFonts w:ascii="Calibri" w:hAnsi="Calibri" w:eastAsia="宋体" w:cs="Times New Roman"/>
      <w:kern w:val="2"/>
      <w:sz w:val="21"/>
      <w:szCs w:val="22"/>
      <w:lang w:val="en-US" w:eastAsia="zh-CN" w:bidi="ar-SA"/>
    </w:rPr>
  </w:style>
  <w:style w:type="paragraph" w:customStyle="1" w:styleId="9">
    <w:name w:val="文章"/>
    <w:next w:val="10"/>
    <w:autoRedefine/>
    <w:qFormat/>
    <w:uiPriority w:val="0"/>
    <w:pPr>
      <w:ind w:firstLine="480"/>
      <w:jc w:val="center"/>
    </w:pPr>
    <w:rPr>
      <w:rFonts w:ascii="Times New Roman" w:hAnsi="Times New Roman" w:eastAsia="宋体" w:cs="Times New Roman"/>
      <w:kern w:val="2"/>
      <w:sz w:val="26"/>
      <w:szCs w:val="22"/>
      <w:lang w:val="en-US" w:eastAsia="zh-CN" w:bidi="ar-SA"/>
    </w:rPr>
  </w:style>
  <w:style w:type="paragraph" w:styleId="10">
    <w:name w:val="List"/>
    <w:qFormat/>
    <w:uiPriority w:val="0"/>
    <w:pPr>
      <w:widowControl w:val="0"/>
      <w:snapToGrid w:val="0"/>
      <w:spacing w:before="20" w:beforeLines="20" w:line="288" w:lineRule="auto"/>
      <w:jc w:val="center"/>
    </w:pPr>
    <w:rPr>
      <w:rFonts w:ascii="Times New Roman" w:hAnsi="Times New Roman" w:eastAsia="宋体" w:cs="Times New Roman"/>
      <w:kern w:val="2"/>
      <w:sz w:val="24"/>
      <w:szCs w:val="21"/>
      <w:lang w:val="en-US" w:eastAsia="zh-CN" w:bidi="ar-SA"/>
    </w:rPr>
  </w:style>
  <w:style w:type="paragraph" w:styleId="11">
    <w:name w:val="caption"/>
    <w:basedOn w:val="1"/>
    <w:next w:val="1"/>
    <w:unhideWhenUsed/>
    <w:qFormat/>
    <w:uiPriority w:val="35"/>
    <w:pPr>
      <w:spacing w:line="240" w:lineRule="auto"/>
      <w:ind w:firstLine="0" w:firstLineChars="0"/>
      <w:jc w:val="center"/>
    </w:pPr>
    <w:rPr>
      <w:rFonts w:cstheme="majorBidi"/>
      <w:b/>
      <w:bCs/>
    </w:rPr>
  </w:style>
  <w:style w:type="paragraph" w:styleId="12">
    <w:name w:val="annotation text"/>
    <w:basedOn w:val="1"/>
    <w:link w:val="36"/>
    <w:autoRedefine/>
    <w:unhideWhenUsed/>
    <w:qFormat/>
    <w:uiPriority w:val="0"/>
    <w:rPr>
      <w:rFonts w:eastAsiaTheme="minorEastAsia"/>
    </w:rPr>
  </w:style>
  <w:style w:type="paragraph" w:styleId="13">
    <w:name w:val="List Bullet 2"/>
    <w:basedOn w:val="1"/>
    <w:next w:val="1"/>
    <w:autoRedefine/>
    <w:unhideWhenUsed/>
    <w:qFormat/>
    <w:uiPriority w:val="99"/>
    <w:pPr>
      <w:numPr>
        <w:ilvl w:val="0"/>
        <w:numId w:val="3"/>
      </w:numPr>
    </w:pPr>
  </w:style>
  <w:style w:type="paragraph" w:styleId="14">
    <w:name w:val="Plain Text"/>
    <w:basedOn w:val="1"/>
    <w:next w:val="1"/>
    <w:link w:val="41"/>
    <w:autoRedefine/>
    <w:qFormat/>
    <w:uiPriority w:val="0"/>
    <w:rPr>
      <w:rFonts w:ascii="宋体" w:hAnsi="Courier New"/>
      <w:kern w:val="2"/>
      <w:sz w:val="21"/>
      <w:szCs w:val="20"/>
    </w:rPr>
  </w:style>
  <w:style w:type="paragraph" w:styleId="15">
    <w:name w:val="Balloon Text"/>
    <w:basedOn w:val="1"/>
    <w:link w:val="32"/>
    <w:autoRedefine/>
    <w:unhideWhenUsed/>
    <w:qFormat/>
    <w:uiPriority w:val="99"/>
    <w:rPr>
      <w:sz w:val="18"/>
      <w:szCs w:val="18"/>
    </w:rPr>
  </w:style>
  <w:style w:type="paragraph" w:styleId="16">
    <w:name w:val="footer"/>
    <w:basedOn w:val="1"/>
    <w:link w:val="31"/>
    <w:autoRedefine/>
    <w:unhideWhenUsed/>
    <w:qFormat/>
    <w:uiPriority w:val="99"/>
    <w:pPr>
      <w:tabs>
        <w:tab w:val="center" w:pos="4153"/>
        <w:tab w:val="right" w:pos="8306"/>
      </w:tabs>
    </w:pPr>
    <w:rPr>
      <w:sz w:val="18"/>
      <w:szCs w:val="18"/>
    </w:rPr>
  </w:style>
  <w:style w:type="paragraph" w:styleId="17">
    <w:name w:val="header"/>
    <w:basedOn w:val="1"/>
    <w:link w:val="30"/>
    <w:autoRedefine/>
    <w:unhideWhenUsed/>
    <w:qFormat/>
    <w:uiPriority w:val="99"/>
    <w:pPr>
      <w:pBdr>
        <w:bottom w:val="single" w:color="auto" w:sz="6" w:space="1"/>
      </w:pBdr>
      <w:tabs>
        <w:tab w:val="center" w:pos="4153"/>
        <w:tab w:val="right" w:pos="8306"/>
      </w:tabs>
      <w:jc w:val="center"/>
    </w:pPr>
    <w:rPr>
      <w:sz w:val="18"/>
      <w:szCs w:val="18"/>
    </w:rPr>
  </w:style>
  <w:style w:type="paragraph" w:styleId="18">
    <w:name w:val="toc 1"/>
    <w:basedOn w:val="1"/>
    <w:next w:val="1"/>
    <w:autoRedefine/>
    <w:qFormat/>
    <w:uiPriority w:val="39"/>
    <w:pPr>
      <w:tabs>
        <w:tab w:val="right" w:leader="dot" w:pos="9060"/>
      </w:tabs>
      <w:snapToGrid/>
      <w:spacing w:line="240" w:lineRule="auto"/>
      <w:ind w:firstLine="0" w:firstLineChars="0"/>
      <w:jc w:val="center"/>
    </w:pPr>
    <w:rPr>
      <w:rFonts w:ascii="方正小标宋简体" w:eastAsia="方正小标宋简体" w:hAnsiTheme="majorBidi" w:cstheme="majorBidi"/>
      <w:color w:val="000000" w:themeColor="text1"/>
      <w:kern w:val="2"/>
      <w:sz w:val="28"/>
      <w:szCs w:val="36"/>
      <w14:textFill>
        <w14:solidFill>
          <w14:schemeClr w14:val="tx1"/>
        </w14:solidFill>
      </w14:textFill>
    </w:rPr>
  </w:style>
  <w:style w:type="paragraph" w:styleId="19">
    <w:name w:val="Normal (Web)"/>
    <w:basedOn w:val="1"/>
    <w:autoRedefine/>
    <w:qFormat/>
    <w:uiPriority w:val="99"/>
    <w:pPr>
      <w:jc w:val="center"/>
      <w:outlineLvl w:val="0"/>
    </w:pPr>
    <w:rPr>
      <w:rFonts w:eastAsiaTheme="minorEastAsia"/>
      <w:b/>
      <w:bCs/>
      <w:snapToGrid w:val="0"/>
      <w:sz w:val="30"/>
      <w:szCs w:val="30"/>
    </w:rPr>
  </w:style>
  <w:style w:type="paragraph" w:styleId="20">
    <w:name w:val="annotation subject"/>
    <w:basedOn w:val="12"/>
    <w:next w:val="12"/>
    <w:link w:val="37"/>
    <w:autoRedefine/>
    <w:unhideWhenUsed/>
    <w:qFormat/>
    <w:uiPriority w:val="99"/>
    <w:rPr>
      <w:b/>
      <w:bCs/>
    </w:rPr>
  </w:style>
  <w:style w:type="table" w:styleId="22">
    <w:name w:val="Table Grid"/>
    <w:basedOn w:val="21"/>
    <w:autoRedefine/>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4">
    <w:name w:val="Strong"/>
    <w:autoRedefine/>
    <w:qFormat/>
    <w:uiPriority w:val="0"/>
    <w:rPr>
      <w:b/>
      <w:bCs/>
    </w:rPr>
  </w:style>
  <w:style w:type="character" w:styleId="25">
    <w:name w:val="page number"/>
    <w:basedOn w:val="23"/>
    <w:autoRedefine/>
    <w:qFormat/>
    <w:uiPriority w:val="0"/>
  </w:style>
  <w:style w:type="character" w:styleId="26">
    <w:name w:val="FollowedHyperlink"/>
    <w:basedOn w:val="23"/>
    <w:autoRedefine/>
    <w:semiHidden/>
    <w:unhideWhenUsed/>
    <w:qFormat/>
    <w:uiPriority w:val="99"/>
    <w:rPr>
      <w:color w:val="800080" w:themeColor="followedHyperlink"/>
      <w:u w:val="single"/>
      <w14:textFill>
        <w14:solidFill>
          <w14:schemeClr w14:val="folHlink"/>
        </w14:solidFill>
      </w14:textFill>
    </w:rPr>
  </w:style>
  <w:style w:type="character" w:styleId="27">
    <w:name w:val="Hyperlink"/>
    <w:basedOn w:val="23"/>
    <w:autoRedefine/>
    <w:unhideWhenUsed/>
    <w:qFormat/>
    <w:uiPriority w:val="99"/>
    <w:rPr>
      <w:color w:val="0000FF"/>
      <w:u w:val="single"/>
    </w:rPr>
  </w:style>
  <w:style w:type="character" w:styleId="28">
    <w:name w:val="annotation reference"/>
    <w:autoRedefine/>
    <w:qFormat/>
    <w:uiPriority w:val="0"/>
    <w:rPr>
      <w:rFonts w:ascii="Times New Roman" w:hAnsi="Times New Roman" w:eastAsia="楷体_GB2312"/>
      <w:sz w:val="21"/>
    </w:rPr>
  </w:style>
  <w:style w:type="paragraph" w:customStyle="1" w:styleId="29">
    <w:name w:val="Default"/>
    <w:link w:val="38"/>
    <w:qFormat/>
    <w:uiPriority w:val="0"/>
    <w:pPr>
      <w:widowControl w:val="0"/>
      <w:autoSpaceDE w:val="0"/>
      <w:autoSpaceDN w:val="0"/>
      <w:adjustRightInd w:val="0"/>
      <w:snapToGrid w:val="0"/>
      <w:jc w:val="center"/>
      <w:textAlignment w:val="baseline"/>
    </w:pPr>
    <w:rPr>
      <w:rFonts w:ascii="Times New Roman" w:hAnsi="Times New Roman" w:eastAsia="宋体" w:cs="Times New Roman"/>
      <w:sz w:val="21"/>
      <w:szCs w:val="21"/>
      <w:lang w:val="en-US" w:eastAsia="zh-CN" w:bidi="ar-SA"/>
    </w:rPr>
  </w:style>
  <w:style w:type="character" w:customStyle="1" w:styleId="30">
    <w:name w:val="页眉 字符"/>
    <w:basedOn w:val="23"/>
    <w:link w:val="17"/>
    <w:autoRedefine/>
    <w:semiHidden/>
    <w:qFormat/>
    <w:uiPriority w:val="99"/>
    <w:rPr>
      <w:rFonts w:ascii="Tahoma" w:hAnsi="Tahoma"/>
      <w:sz w:val="18"/>
      <w:szCs w:val="18"/>
    </w:rPr>
  </w:style>
  <w:style w:type="character" w:customStyle="1" w:styleId="31">
    <w:name w:val="页脚 字符"/>
    <w:basedOn w:val="23"/>
    <w:link w:val="16"/>
    <w:autoRedefine/>
    <w:qFormat/>
    <w:uiPriority w:val="99"/>
    <w:rPr>
      <w:rFonts w:ascii="Tahoma" w:hAnsi="Tahoma"/>
      <w:sz w:val="18"/>
      <w:szCs w:val="18"/>
    </w:rPr>
  </w:style>
  <w:style w:type="character" w:customStyle="1" w:styleId="32">
    <w:name w:val="批注框文本 字符"/>
    <w:basedOn w:val="23"/>
    <w:link w:val="15"/>
    <w:autoRedefine/>
    <w:semiHidden/>
    <w:qFormat/>
    <w:uiPriority w:val="99"/>
    <w:rPr>
      <w:rFonts w:ascii="Tahoma" w:hAnsi="Tahoma"/>
      <w:sz w:val="18"/>
      <w:szCs w:val="18"/>
    </w:rPr>
  </w:style>
  <w:style w:type="paragraph" w:customStyle="1" w:styleId="33">
    <w:name w:val="列出段落1"/>
    <w:autoRedefine/>
    <w:qFormat/>
    <w:uiPriority w:val="34"/>
    <w:pPr>
      <w:widowControl w:val="0"/>
      <w:ind w:firstLine="420" w:firstLineChars="200"/>
      <w:jc w:val="both"/>
    </w:pPr>
    <w:rPr>
      <w:rFonts w:ascii="Calibri" w:hAnsi="Calibri" w:eastAsia="宋体" w:cs="Times New Roman"/>
      <w:kern w:val="2"/>
      <w:sz w:val="21"/>
      <w:szCs w:val="21"/>
      <w:lang w:val="en-US" w:eastAsia="zh-CN" w:bidi="ar-SA"/>
    </w:rPr>
  </w:style>
  <w:style w:type="table" w:customStyle="1" w:styleId="34">
    <w:name w:val="网格型1"/>
    <w:autoRedefine/>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paragraph" w:customStyle="1" w:styleId="35">
    <w:name w:val="列出段落2"/>
    <w:autoRedefine/>
    <w:qFormat/>
    <w:uiPriority w:val="34"/>
    <w:pPr>
      <w:widowControl w:val="0"/>
      <w:ind w:firstLine="420" w:firstLineChars="200"/>
      <w:jc w:val="both"/>
    </w:pPr>
    <w:rPr>
      <w:rFonts w:ascii="Calibri" w:hAnsi="Calibri" w:eastAsia="宋体" w:cs="Times New Roman"/>
      <w:kern w:val="2"/>
      <w:sz w:val="21"/>
      <w:szCs w:val="21"/>
      <w:lang w:val="en-US" w:eastAsia="zh-CN" w:bidi="ar-SA"/>
    </w:rPr>
  </w:style>
  <w:style w:type="character" w:customStyle="1" w:styleId="36">
    <w:name w:val="批注文字 字符"/>
    <w:basedOn w:val="23"/>
    <w:link w:val="12"/>
    <w:autoRedefine/>
    <w:qFormat/>
    <w:uiPriority w:val="0"/>
    <w:rPr>
      <w:rFonts w:ascii="Tahoma" w:hAnsi="Tahoma" w:eastAsiaTheme="minorEastAsia" w:cstheme="minorBidi"/>
      <w:sz w:val="22"/>
      <w:szCs w:val="24"/>
    </w:rPr>
  </w:style>
  <w:style w:type="character" w:customStyle="1" w:styleId="37">
    <w:name w:val="批注主题 字符"/>
    <w:basedOn w:val="36"/>
    <w:link w:val="20"/>
    <w:autoRedefine/>
    <w:qFormat/>
    <w:uiPriority w:val="0"/>
    <w:rPr>
      <w:rFonts w:ascii="Tahoma" w:hAnsi="Tahoma" w:eastAsia="微软雅黑" w:cstheme="minorBidi"/>
      <w:sz w:val="22"/>
      <w:szCs w:val="22"/>
    </w:rPr>
  </w:style>
  <w:style w:type="character" w:customStyle="1" w:styleId="38">
    <w:name w:val="Default Char Char"/>
    <w:link w:val="29"/>
    <w:autoRedefine/>
    <w:qFormat/>
    <w:uiPriority w:val="99"/>
    <w:rPr>
      <w:sz w:val="21"/>
      <w:szCs w:val="21"/>
    </w:rPr>
  </w:style>
  <w:style w:type="character" w:customStyle="1" w:styleId="39">
    <w:name w:val="标题 5 字符"/>
    <w:basedOn w:val="23"/>
    <w:link w:val="6"/>
    <w:autoRedefine/>
    <w:qFormat/>
    <w:uiPriority w:val="0"/>
    <w:rPr>
      <w:rFonts w:hAnsi="Impact" w:eastAsia="楷体_GB2312"/>
      <w:b/>
      <w:kern w:val="2"/>
      <w:sz w:val="24"/>
      <w:lang w:val="zh-CN"/>
    </w:rPr>
  </w:style>
  <w:style w:type="paragraph" w:styleId="40">
    <w:name w:val="List Paragraph"/>
    <w:basedOn w:val="1"/>
    <w:autoRedefine/>
    <w:qFormat/>
    <w:uiPriority w:val="99"/>
    <w:pPr>
      <w:ind w:left="440"/>
      <w:jc w:val="center"/>
    </w:pPr>
    <w:rPr>
      <w:color w:val="00B050"/>
      <w:kern w:val="2"/>
      <w:szCs w:val="21"/>
    </w:rPr>
  </w:style>
  <w:style w:type="character" w:customStyle="1" w:styleId="41">
    <w:name w:val="纯文本 字符"/>
    <w:link w:val="14"/>
    <w:autoRedefine/>
    <w:qFormat/>
    <w:uiPriority w:val="99"/>
    <w:rPr>
      <w:rFonts w:ascii="宋体" w:hAnsi="Courier New"/>
      <w:kern w:val="2"/>
      <w:sz w:val="21"/>
    </w:rPr>
  </w:style>
  <w:style w:type="character" w:customStyle="1" w:styleId="42">
    <w:name w:val="未处理的提及1"/>
    <w:basedOn w:val="23"/>
    <w:semiHidden/>
    <w:unhideWhenUsed/>
    <w:qFormat/>
    <w:uiPriority w:val="99"/>
    <w:rPr>
      <w:color w:val="605E5C"/>
      <w:shd w:val="clear" w:color="auto" w:fill="E1DFDD"/>
    </w:rPr>
  </w:style>
  <w:style w:type="table" w:customStyle="1" w:styleId="43">
    <w:name w:val="表格样式1—————常用格式"/>
    <w:basedOn w:val="21"/>
    <w:autoRedefine/>
    <w:qFormat/>
    <w:uiPriority w:val="0"/>
    <w:pPr>
      <w:jc w:val="center"/>
    </w:pPr>
    <w:rPr>
      <w:szCs w:val="22"/>
    </w:rPr>
    <w:tblPr>
      <w:tblBorders>
        <w:top w:val="single" w:color="auto" w:sz="12" w:space="0"/>
        <w:bottom w:val="single" w:color="auto" w:sz="12" w:space="0"/>
        <w:insideH w:val="single" w:color="auto" w:sz="6" w:space="0"/>
        <w:insideV w:val="single" w:color="auto" w:sz="6" w:space="0"/>
      </w:tblBorders>
    </w:tblPr>
    <w:tcPr>
      <w:vAlign w:val="center"/>
    </w:tcPr>
  </w:style>
  <w:style w:type="paragraph" w:customStyle="1" w:styleId="44">
    <w:name w:val="修订1"/>
    <w:hidden/>
    <w:unhideWhenUsed/>
    <w:qFormat/>
    <w:uiPriority w:val="99"/>
    <w:rPr>
      <w:rFonts w:ascii="Tahoma" w:hAnsi="Tahoma" w:eastAsia="微软雅黑" w:cstheme="minorBidi"/>
      <w:sz w:val="22"/>
      <w:szCs w:val="22"/>
      <w:lang w:val="en-US" w:eastAsia="zh-CN" w:bidi="ar-SA"/>
    </w:rPr>
  </w:style>
  <w:style w:type="paragraph" w:customStyle="1" w:styleId="45">
    <w:name w:val="修订2"/>
    <w:hidden/>
    <w:unhideWhenUsed/>
    <w:qFormat/>
    <w:uiPriority w:val="99"/>
    <w:rPr>
      <w:rFonts w:ascii="Times New Roman" w:hAnsi="Times New Roman" w:eastAsia="宋体" w:cs="Times New Roman"/>
      <w:sz w:val="24"/>
      <w:szCs w:val="24"/>
      <w:lang w:val="en-US" w:eastAsia="zh-CN" w:bidi="ar-SA"/>
    </w:rPr>
  </w:style>
  <w:style w:type="character" w:customStyle="1" w:styleId="46">
    <w:name w:val="标题 1 字符"/>
    <w:basedOn w:val="23"/>
    <w:link w:val="2"/>
    <w:qFormat/>
    <w:uiPriority w:val="0"/>
    <w:rPr>
      <w:rFonts w:asciiTheme="majorBidi" w:hAnsiTheme="majorBidi" w:eastAsiaTheme="minorEastAsia" w:cstheme="majorBidi"/>
      <w:b/>
      <w:bCs/>
      <w:snapToGrid w:val="0"/>
      <w:color w:val="000000" w:themeColor="text1"/>
      <w:sz w:val="30"/>
      <w:szCs w:val="30"/>
      <w14:textFill>
        <w14:solidFill>
          <w14:schemeClr w14:val="tx1"/>
        </w14:solidFill>
      </w14:textFill>
    </w:rPr>
  </w:style>
  <w:style w:type="paragraph" w:customStyle="1" w:styleId="47">
    <w:name w:val="Revision"/>
    <w:hidden/>
    <w:unhideWhenUsed/>
    <w:qFormat/>
    <w:uiPriority w:val="99"/>
    <w:rPr>
      <w:rFonts w:ascii="Times New Roman" w:hAnsi="Times New Roman" w:eastAsia="宋体" w:cs="Times New Roman"/>
      <w:sz w:val="24"/>
      <w:szCs w:val="24"/>
      <w:lang w:val="en-US" w:eastAsia="zh-CN" w:bidi="ar-SA"/>
    </w:rPr>
  </w:style>
  <w:style w:type="paragraph" w:customStyle="1" w:styleId="48">
    <w:name w:val="TOC Heading"/>
    <w:basedOn w:val="2"/>
    <w:next w:val="1"/>
    <w:unhideWhenUsed/>
    <w:qFormat/>
    <w:uiPriority w:val="39"/>
    <w:pPr>
      <w:keepNext/>
      <w:keepLines/>
      <w:widowControl/>
      <w:adjustRightInd/>
      <w:snapToGrid/>
      <w:spacing w:before="240" w:line="259" w:lineRule="auto"/>
      <w:ind w:firstLine="0" w:firstLineChars="0"/>
      <w:jc w:val="left"/>
      <w:outlineLvl w:val="9"/>
    </w:pPr>
    <w:rPr>
      <w:rFonts w:asciiTheme="majorHAnsi" w:hAnsiTheme="majorHAnsi" w:eastAsiaTheme="majorEastAsia"/>
      <w:b w:val="0"/>
      <w:bCs w:val="0"/>
      <w:snapToGrid/>
      <w:color w:val="376092" w:themeColor="accent1" w:themeShade="BF"/>
      <w:sz w:val="32"/>
      <w:szCs w:val="32"/>
    </w:rPr>
  </w:style>
  <w:style w:type="paragraph" w:customStyle="1" w:styleId="49">
    <w:name w:val="正文LL"/>
    <w:basedOn w:val="1"/>
    <w:link w:val="50"/>
    <w:autoRedefine/>
    <w:qFormat/>
    <w:uiPriority w:val="0"/>
    <w:pPr>
      <w:widowControl/>
      <w:adjustRightInd/>
      <w:snapToGrid/>
      <w:spacing w:after="160"/>
      <w:jc w:val="left"/>
    </w:pPr>
    <w:rPr>
      <w:rFonts w:eastAsia="仿宋_GB2312" w:asciiTheme="minorHAnsi" w:hAnsiTheme="minorHAnsi" w:cstheme="minorBidi"/>
      <w:sz w:val="21"/>
      <w:szCs w:val="44"/>
    </w:rPr>
  </w:style>
  <w:style w:type="character" w:customStyle="1" w:styleId="50">
    <w:name w:val="正文LL Char"/>
    <w:link w:val="49"/>
    <w:autoRedefine/>
    <w:qFormat/>
    <w:uiPriority w:val="0"/>
    <w:rPr>
      <w:rFonts w:eastAsia="仿宋_GB2312" w:asciiTheme="minorHAnsi" w:hAnsiTheme="minorHAnsi" w:cstheme="minorBidi"/>
      <w:sz w:val="21"/>
      <w:szCs w:val="44"/>
    </w:rPr>
  </w:style>
</w:styles>
</file>

<file path=word/_rels/document.xml.rels><?xml version="1.0" encoding="UTF-8" standalone="yes"?>
<Relationships xmlns="http://schemas.openxmlformats.org/package/2006/relationships"><Relationship Id="rId9" Type="http://schemas.openxmlformats.org/officeDocument/2006/relationships/footer" Target="footer2.xml"/><Relationship Id="rId8" Type="http://schemas.openxmlformats.org/officeDocument/2006/relationships/footer" Target="footer1.xml"/><Relationship Id="rId7" Type="http://schemas.openxmlformats.org/officeDocument/2006/relationships/header" Target="header3.xml"/><Relationship Id="rId6" Type="http://schemas.openxmlformats.org/officeDocument/2006/relationships/header" Target="header2.xml"/><Relationship Id="rId57" Type="http://schemas.openxmlformats.org/officeDocument/2006/relationships/fontTable" Target="fontTable.xml"/><Relationship Id="rId56" Type="http://schemas.openxmlformats.org/officeDocument/2006/relationships/customXml" Target="../customXml/item2.xml"/><Relationship Id="rId55" Type="http://schemas.openxmlformats.org/officeDocument/2006/relationships/numbering" Target="numbering.xml"/><Relationship Id="rId54" Type="http://schemas.openxmlformats.org/officeDocument/2006/relationships/customXml" Target="../customXml/item1.xml"/><Relationship Id="rId53" Type="http://schemas.openxmlformats.org/officeDocument/2006/relationships/image" Target="media/image30.png"/><Relationship Id="rId52" Type="http://schemas.openxmlformats.org/officeDocument/2006/relationships/oleObject" Target="embeddings/oleObject9.bin"/><Relationship Id="rId51" Type="http://schemas.openxmlformats.org/officeDocument/2006/relationships/image" Target="media/image29.png"/><Relationship Id="rId50" Type="http://schemas.openxmlformats.org/officeDocument/2006/relationships/image" Target="media/image28.wmf"/><Relationship Id="rId5" Type="http://schemas.openxmlformats.org/officeDocument/2006/relationships/header" Target="header1.xml"/><Relationship Id="rId49" Type="http://schemas.openxmlformats.org/officeDocument/2006/relationships/oleObject" Target="embeddings/oleObject8.bin"/><Relationship Id="rId48" Type="http://schemas.openxmlformats.org/officeDocument/2006/relationships/image" Target="media/image27.wmf"/><Relationship Id="rId47" Type="http://schemas.openxmlformats.org/officeDocument/2006/relationships/oleObject" Target="embeddings/oleObject7.bin"/><Relationship Id="rId46" Type="http://schemas.openxmlformats.org/officeDocument/2006/relationships/image" Target="media/image26.wmf"/><Relationship Id="rId45" Type="http://schemas.openxmlformats.org/officeDocument/2006/relationships/oleObject" Target="embeddings/oleObject6.bin"/><Relationship Id="rId44" Type="http://schemas.openxmlformats.org/officeDocument/2006/relationships/image" Target="media/image25.wmf"/><Relationship Id="rId43" Type="http://schemas.openxmlformats.org/officeDocument/2006/relationships/oleObject" Target="embeddings/oleObject5.bin"/><Relationship Id="rId42" Type="http://schemas.openxmlformats.org/officeDocument/2006/relationships/image" Target="media/image24.wmf"/><Relationship Id="rId41" Type="http://schemas.openxmlformats.org/officeDocument/2006/relationships/oleObject" Target="embeddings/oleObject4.bin"/><Relationship Id="rId40" Type="http://schemas.openxmlformats.org/officeDocument/2006/relationships/image" Target="media/image23.wmf"/><Relationship Id="rId4" Type="http://schemas.openxmlformats.org/officeDocument/2006/relationships/endnotes" Target="endnotes.xml"/><Relationship Id="rId39" Type="http://schemas.openxmlformats.org/officeDocument/2006/relationships/oleObject" Target="embeddings/oleObject3.bin"/><Relationship Id="rId38" Type="http://schemas.openxmlformats.org/officeDocument/2006/relationships/image" Target="media/image22.wmf"/><Relationship Id="rId37" Type="http://schemas.openxmlformats.org/officeDocument/2006/relationships/oleObject" Target="embeddings/oleObject2.bin"/><Relationship Id="rId36" Type="http://schemas.openxmlformats.org/officeDocument/2006/relationships/image" Target="media/image21.png"/><Relationship Id="rId35" Type="http://schemas.openxmlformats.org/officeDocument/2006/relationships/image" Target="media/image20.wmf"/><Relationship Id="rId34" Type="http://schemas.openxmlformats.org/officeDocument/2006/relationships/oleObject" Target="embeddings/oleObject1.bin"/><Relationship Id="rId33" Type="http://schemas.openxmlformats.org/officeDocument/2006/relationships/image" Target="media/image19.png"/><Relationship Id="rId32" Type="http://schemas.openxmlformats.org/officeDocument/2006/relationships/image" Target="media/image18.png"/><Relationship Id="rId31" Type="http://schemas.openxmlformats.org/officeDocument/2006/relationships/image" Target="media/image17.png"/><Relationship Id="rId30" Type="http://schemas.openxmlformats.org/officeDocument/2006/relationships/image" Target="media/image16.png"/><Relationship Id="rId3" Type="http://schemas.openxmlformats.org/officeDocument/2006/relationships/footnotes" Target="footnotes.xml"/><Relationship Id="rId29" Type="http://schemas.openxmlformats.org/officeDocument/2006/relationships/image" Target="media/image15.png"/><Relationship Id="rId28" Type="http://schemas.openxmlformats.org/officeDocument/2006/relationships/image" Target="media/image14.png"/><Relationship Id="rId27" Type="http://schemas.openxmlformats.org/officeDocument/2006/relationships/image" Target="media/image13.png"/><Relationship Id="rId26" Type="http://schemas.openxmlformats.org/officeDocument/2006/relationships/image" Target="media/image12.png"/><Relationship Id="rId25" Type="http://schemas.openxmlformats.org/officeDocument/2006/relationships/image" Target="media/image11.png"/><Relationship Id="rId24" Type="http://schemas.openxmlformats.org/officeDocument/2006/relationships/image" Target="media/image10.png"/><Relationship Id="rId23" Type="http://schemas.openxmlformats.org/officeDocument/2006/relationships/image" Target="media/image9.png"/><Relationship Id="rId22" Type="http://schemas.openxmlformats.org/officeDocument/2006/relationships/image" Target="media/image8.jpeg"/><Relationship Id="rId21" Type="http://schemas.openxmlformats.org/officeDocument/2006/relationships/image" Target="media/image7.jpeg"/><Relationship Id="rId20" Type="http://schemas.openxmlformats.org/officeDocument/2006/relationships/image" Target="media/image6.jpeg"/><Relationship Id="rId2" Type="http://schemas.openxmlformats.org/officeDocument/2006/relationships/settings" Target="settings.xml"/><Relationship Id="rId19" Type="http://schemas.openxmlformats.org/officeDocument/2006/relationships/image" Target="media/image5.jpeg"/><Relationship Id="rId18" Type="http://schemas.openxmlformats.org/officeDocument/2006/relationships/image" Target="media/image4.png"/><Relationship Id="rId17" Type="http://schemas.openxmlformats.org/officeDocument/2006/relationships/image" Target="media/image3.jpeg"/><Relationship Id="rId16" Type="http://schemas.openxmlformats.org/officeDocument/2006/relationships/image" Target="media/image2.jpeg"/><Relationship Id="rId15" Type="http://schemas.openxmlformats.org/officeDocument/2006/relationships/image" Target="media/image1.jpeg"/><Relationship Id="rId14" Type="http://schemas.openxmlformats.org/officeDocument/2006/relationships/theme" Target="theme/theme1.xml"/><Relationship Id="rId13" Type="http://schemas.openxmlformats.org/officeDocument/2006/relationships/footer" Target="footer6.xml"/><Relationship Id="rId12" Type="http://schemas.openxmlformats.org/officeDocument/2006/relationships/footer" Target="footer5.xml"/><Relationship Id="rId11" Type="http://schemas.openxmlformats.org/officeDocument/2006/relationships/footer" Target="footer4.xml"/><Relationship Id="rId10" Type="http://schemas.openxmlformats.org/officeDocument/2006/relationships/footer" Target="footer3.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noFill/>
        <a:ln w="19050">
          <a:solidFill>
            <a:schemeClr val="tx1"/>
          </a:solidFill>
        </a:ln>
      </a:spPr>
      <a:bodyPr rtlCol="0" anchor="ctr"/>
      <a:lstStyle/>
      <a:style>
        <a:lnRef idx="2">
          <a:schemeClr val="accent1">
            <a:shade val="50000"/>
          </a:schemeClr>
        </a:lnRef>
        <a:fillRef idx="1">
          <a:schemeClr val="accent1"/>
        </a:fillRef>
        <a:effectRef idx="0">
          <a:schemeClr val="accent1"/>
        </a:effectRef>
        <a:fontRef idx="minor">
          <a:schemeClr val="lt1"/>
        </a:fontRef>
      </a:style>
    </a:spDef>
    <a:lnDef>
      <a:spPr>
        <a:ln>
          <a:prstDash val="dash"/>
          <a:tailEnd type="triangle"/>
        </a:ln>
      </a:spPr>
      <a:bodyPr/>
      <a:lstStyle/>
      <a:style>
        <a:lnRef idx="1">
          <a:schemeClr val="dk1"/>
        </a:lnRef>
        <a:fillRef idx="0">
          <a:schemeClr val="dk1"/>
        </a:fillRef>
        <a:effectRef idx="0">
          <a:schemeClr val="dk1"/>
        </a:effectRef>
        <a:fontRef idx="minor">
          <a:schemeClr val="tx1"/>
        </a:fontRef>
      </a:style>
    </a:lnDef>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A3A6DAAD-6A36-4DF8-A7BF-0FE3A8F7363C}">
  <ds:schemaRefs/>
</ds:datastoreItem>
</file>

<file path=docProps/app.xml><?xml version="1.0" encoding="utf-8"?>
<Properties xmlns="http://schemas.openxmlformats.org/officeDocument/2006/extended-properties" xmlns:vt="http://schemas.openxmlformats.org/officeDocument/2006/docPropsVTypes">
  <Template>Normal.dotm</Template>
  <Pages>80</Pages>
  <Words>15465</Words>
  <Characters>16760</Characters>
  <Lines>499</Lines>
  <Paragraphs>140</Paragraphs>
  <TotalTime>209</TotalTime>
  <ScaleCrop>false</ScaleCrop>
  <LinksUpToDate>false</LinksUpToDate>
  <CharactersWithSpaces>16895</CharactersWithSpaces>
  <Application>WPS Office_12.1.0.21541_F1E327BC-269C-435d-A152-05C5408002CA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2025-06-26T06:18:00Z</dcterms:created>
  <dc:creator>Administrator</dc:creator>
  <cp:lastModifiedBy>AAZY.</cp:lastModifiedBy>
  <cp:lastPrinted>2021-05-01T03:57:00Z</cp:lastPrinted>
  <dcterms:modified xsi:type="dcterms:W3CDTF">2025-07-03T07:53:16Z</dcterms:modified>
  <cp:revision>51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2052-12.1.0.21541</vt:lpwstr>
  </property>
  <property fmtid="{D5CDD505-2E9C-101B-9397-08002B2CF9AE}" pid="3" name="ICV">
    <vt:lpwstr>B69BD7F34D9E4A6486CFDDEABC554921_13</vt:lpwstr>
  </property>
  <property fmtid="{D5CDD505-2E9C-101B-9397-08002B2CF9AE}" pid="4" name="KSOTemplateDocerSaveRecord">
    <vt:lpwstr>eyJoZGlkIjoiMzBiMTBlYThiYjA5ODM0ZTQ4MDBlOWE5ZDMyNTE1MmUiLCJ1c2VySWQiOiI5MjAzMTc0MDUifQ==</vt:lpwstr>
  </property>
</Properties>
</file>