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9B4282">
      <w:pPr>
        <w:rPr>
          <w:rFonts w:hint="default" w:ascii="Times New Roman" w:hAnsi="Times New Roman" w:eastAsia="仿宋_GB2312" w:cs="Times New Roman"/>
          <w:color w:val="auto"/>
          <w:sz w:val="36"/>
          <w:szCs w:val="36"/>
        </w:rPr>
      </w:pPr>
    </w:p>
    <w:p w14:paraId="008B91B2">
      <w:pPr>
        <w:rPr>
          <w:rFonts w:hint="default" w:ascii="Times New Roman" w:hAnsi="Times New Roman" w:eastAsia="仿宋_GB2312" w:cs="Times New Roman"/>
          <w:color w:val="auto"/>
          <w:sz w:val="36"/>
          <w:szCs w:val="36"/>
        </w:rPr>
      </w:pPr>
    </w:p>
    <w:p w14:paraId="3351F86C">
      <w:pPr>
        <w:adjustRightInd w:val="0"/>
        <w:snapToGrid w:val="0"/>
        <w:jc w:val="center"/>
        <w:outlineLvl w:val="0"/>
        <w:rPr>
          <w:rFonts w:hint="default" w:ascii="Times New Roman" w:hAnsi="Times New Roman" w:eastAsia="方正小标宋_GBK" w:cs="Times New Roman"/>
          <w:bCs/>
          <w:color w:val="auto"/>
          <w:sz w:val="72"/>
          <w:szCs w:val="72"/>
        </w:rPr>
      </w:pPr>
      <w:r>
        <w:rPr>
          <w:rFonts w:hint="default" w:ascii="Times New Roman" w:hAnsi="Times New Roman" w:eastAsia="方正小标宋_GBK" w:cs="Times New Roman"/>
          <w:bCs/>
          <w:color w:val="auto"/>
          <w:sz w:val="72"/>
          <w:szCs w:val="72"/>
        </w:rPr>
        <w:t>建设项目环境影响报告表</w:t>
      </w:r>
    </w:p>
    <w:p w14:paraId="078BB2F1">
      <w:pPr>
        <w:adjustRightInd w:val="0"/>
        <w:snapToGrid w:val="0"/>
        <w:spacing w:before="192" w:beforeLines="80"/>
        <w:jc w:val="center"/>
        <w:rPr>
          <w:rFonts w:hint="default" w:ascii="Times New Roman" w:hAnsi="Times New Roman" w:eastAsia="楷体_GB2312" w:cs="Times New Roman"/>
          <w:bCs/>
          <w:color w:val="auto"/>
          <w:sz w:val="48"/>
          <w:szCs w:val="48"/>
        </w:rPr>
      </w:pPr>
      <w:r>
        <w:rPr>
          <w:rFonts w:hint="default" w:ascii="Times New Roman" w:hAnsi="Times New Roman" w:eastAsia="楷体_GB2312" w:cs="Times New Roman"/>
          <w:bCs/>
          <w:color w:val="auto"/>
          <w:sz w:val="48"/>
          <w:szCs w:val="48"/>
        </w:rPr>
        <w:t>（污染影响类）</w:t>
      </w:r>
    </w:p>
    <w:p w14:paraId="6226D250">
      <w:pPr>
        <w:adjustRightInd w:val="0"/>
        <w:snapToGrid w:val="0"/>
        <w:spacing w:line="288" w:lineRule="auto"/>
        <w:jc w:val="center"/>
        <w:rPr>
          <w:rFonts w:hint="default" w:ascii="Times New Roman" w:hAnsi="Times New Roman" w:eastAsia="华文仿宋" w:cs="Times New Roman"/>
          <w:color w:val="auto"/>
          <w:kern w:val="44"/>
          <w:sz w:val="44"/>
          <w:szCs w:val="44"/>
        </w:rPr>
      </w:pPr>
    </w:p>
    <w:p w14:paraId="212BDB3D">
      <w:pPr>
        <w:adjustRightInd w:val="0"/>
        <w:snapToGrid w:val="0"/>
        <w:spacing w:line="288" w:lineRule="auto"/>
        <w:rPr>
          <w:rFonts w:hint="default" w:ascii="Times New Roman" w:hAnsi="Times New Roman" w:eastAsia="华文仿宋" w:cs="Times New Roman"/>
          <w:color w:val="auto"/>
          <w:kern w:val="44"/>
          <w:sz w:val="44"/>
          <w:szCs w:val="44"/>
        </w:rPr>
      </w:pPr>
    </w:p>
    <w:p w14:paraId="0D3606B1">
      <w:pPr>
        <w:adjustRightInd w:val="0"/>
        <w:snapToGrid w:val="0"/>
        <w:spacing w:line="288" w:lineRule="auto"/>
        <w:rPr>
          <w:rFonts w:hint="default" w:ascii="Times New Roman" w:hAnsi="Times New Roman" w:eastAsia="华文仿宋" w:cs="Times New Roman"/>
          <w:color w:val="auto"/>
          <w:kern w:val="44"/>
          <w:sz w:val="44"/>
          <w:szCs w:val="44"/>
        </w:rPr>
      </w:pPr>
    </w:p>
    <w:p w14:paraId="256CB72E">
      <w:pPr>
        <w:adjustRightInd w:val="0"/>
        <w:snapToGrid w:val="0"/>
        <w:spacing w:line="288" w:lineRule="auto"/>
        <w:rPr>
          <w:rFonts w:hint="default" w:ascii="Times New Roman" w:hAnsi="Times New Roman" w:eastAsia="仿宋_GB2312" w:cs="Times New Roman"/>
          <w:color w:val="auto"/>
          <w:sz w:val="36"/>
          <w:szCs w:val="36"/>
          <w:u w:val="single"/>
          <w:lang w:eastAsia="zh-CN"/>
        </w:rPr>
      </w:pPr>
      <w:r>
        <w:rPr>
          <w:rFonts w:hint="default" w:ascii="Times New Roman" w:hAnsi="Times New Roman" w:eastAsia="仿宋_GB2312" w:cs="Times New Roman"/>
          <w:color w:val="auto"/>
          <w:sz w:val="36"/>
          <w:szCs w:val="36"/>
        </w:rPr>
        <w:t xml:space="preserve">项目名称： </w:t>
      </w:r>
      <w:r>
        <w:rPr>
          <w:rFonts w:hint="default" w:ascii="Times New Roman" w:hAnsi="Times New Roman" w:eastAsia="仿宋_GB2312" w:cs="Times New Roman"/>
          <w:color w:val="auto"/>
          <w:sz w:val="36"/>
          <w:szCs w:val="36"/>
          <w:u w:val="single"/>
          <w:lang w:eastAsia="zh-CN"/>
        </w:rPr>
        <w:t>惠州市澎宇电子制品有限公司建设项目</w:t>
      </w:r>
    </w:p>
    <w:p w14:paraId="6B46BEAB">
      <w:pPr>
        <w:adjustRightInd w:val="0"/>
        <w:snapToGrid w:val="0"/>
        <w:spacing w:line="288" w:lineRule="auto"/>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建设单位（盖章）：</w:t>
      </w:r>
      <w:r>
        <w:rPr>
          <w:rFonts w:hint="default" w:ascii="Times New Roman" w:hAnsi="Times New Roman" w:eastAsia="仿宋_GB2312" w:cs="Times New Roman"/>
          <w:color w:val="auto"/>
          <w:sz w:val="36"/>
          <w:szCs w:val="36"/>
          <w:u w:val="single"/>
          <w:lang w:eastAsia="zh-CN"/>
        </w:rPr>
        <w:t>惠州市澎宇电子制品有限公司</w:t>
      </w:r>
      <w:r>
        <w:rPr>
          <w:rFonts w:hint="default" w:ascii="Times New Roman" w:hAnsi="Times New Roman" w:eastAsia="仿宋_GB2312" w:cs="Times New Roman"/>
          <w:color w:val="auto"/>
          <w:sz w:val="36"/>
          <w:szCs w:val="36"/>
          <w:u w:val="single"/>
        </w:rPr>
        <w:t xml:space="preserve"> </w:t>
      </w:r>
    </w:p>
    <w:p w14:paraId="6829E2F0">
      <w:pPr>
        <w:adjustRightInd w:val="0"/>
        <w:snapToGrid w:val="0"/>
        <w:spacing w:line="288" w:lineRule="auto"/>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编制日期：</w:t>
      </w:r>
      <w:r>
        <w:rPr>
          <w:rFonts w:hint="default" w:ascii="Times New Roman" w:hAnsi="Times New Roman" w:eastAsia="仿宋_GB2312" w:cs="Times New Roman"/>
          <w:color w:val="auto"/>
          <w:sz w:val="36"/>
          <w:szCs w:val="36"/>
          <w:u w:val="single"/>
        </w:rPr>
        <w:t xml:space="preserve">              202</w:t>
      </w:r>
      <w:r>
        <w:rPr>
          <w:rFonts w:hint="default" w:ascii="Times New Roman" w:hAnsi="Times New Roman" w:eastAsia="仿宋_GB2312" w:cs="Times New Roman"/>
          <w:color w:val="auto"/>
          <w:sz w:val="36"/>
          <w:szCs w:val="36"/>
          <w:u w:val="single"/>
          <w:lang w:val="en-US" w:eastAsia="zh-CN"/>
        </w:rPr>
        <w:t>5</w:t>
      </w:r>
      <w:r>
        <w:rPr>
          <w:rFonts w:hint="default" w:ascii="Times New Roman" w:hAnsi="Times New Roman" w:eastAsia="仿宋_GB2312" w:cs="Times New Roman"/>
          <w:color w:val="auto"/>
          <w:sz w:val="36"/>
          <w:szCs w:val="36"/>
          <w:u w:val="single"/>
        </w:rPr>
        <w:t>年</w:t>
      </w:r>
      <w:r>
        <w:rPr>
          <w:rFonts w:hint="default" w:ascii="Times New Roman" w:hAnsi="Times New Roman" w:eastAsia="仿宋_GB2312" w:cs="Times New Roman"/>
          <w:color w:val="auto"/>
          <w:sz w:val="36"/>
          <w:szCs w:val="36"/>
          <w:u w:val="single"/>
          <w:lang w:val="en-US" w:eastAsia="zh-CN"/>
        </w:rPr>
        <w:t>7</w:t>
      </w:r>
      <w:r>
        <w:rPr>
          <w:rFonts w:hint="default" w:ascii="Times New Roman" w:hAnsi="Times New Roman" w:eastAsia="仿宋_GB2312" w:cs="Times New Roman"/>
          <w:color w:val="auto"/>
          <w:sz w:val="36"/>
          <w:szCs w:val="36"/>
          <w:u w:val="single"/>
        </w:rPr>
        <w:t xml:space="preserve">月             </w:t>
      </w:r>
    </w:p>
    <w:p w14:paraId="71C0407B">
      <w:pPr>
        <w:adjustRightInd w:val="0"/>
        <w:snapToGrid w:val="0"/>
        <w:spacing w:line="288" w:lineRule="auto"/>
        <w:ind w:firstLine="1040"/>
        <w:rPr>
          <w:rFonts w:hint="default" w:ascii="Times New Roman" w:hAnsi="Times New Roman" w:eastAsia="仿宋_GB2312" w:cs="Times New Roman"/>
          <w:color w:val="auto"/>
          <w:sz w:val="36"/>
          <w:szCs w:val="36"/>
          <w:u w:val="single"/>
        </w:rPr>
      </w:pPr>
      <w:bookmarkStart w:id="0" w:name="_Hlk57884087"/>
    </w:p>
    <w:p w14:paraId="0BA2FC77">
      <w:pPr>
        <w:adjustRightInd w:val="0"/>
        <w:snapToGrid w:val="0"/>
        <w:spacing w:line="288" w:lineRule="auto"/>
        <w:ind w:firstLine="1040"/>
        <w:rPr>
          <w:rFonts w:hint="default" w:ascii="Times New Roman" w:hAnsi="Times New Roman" w:eastAsia="仿宋_GB2312" w:cs="Times New Roman"/>
          <w:color w:val="auto"/>
          <w:sz w:val="36"/>
          <w:szCs w:val="36"/>
          <w:u w:val="single"/>
        </w:rPr>
      </w:pPr>
    </w:p>
    <w:p w14:paraId="5BC472C1">
      <w:pPr>
        <w:adjustRightInd w:val="0"/>
        <w:snapToGrid w:val="0"/>
        <w:spacing w:line="288" w:lineRule="auto"/>
        <w:ind w:firstLine="1040"/>
        <w:rPr>
          <w:rFonts w:hint="default" w:ascii="Times New Roman" w:hAnsi="Times New Roman" w:eastAsia="仿宋_GB2312" w:cs="Times New Roman"/>
          <w:color w:val="auto"/>
          <w:sz w:val="36"/>
          <w:szCs w:val="36"/>
          <w:u w:val="single"/>
        </w:rPr>
      </w:pPr>
    </w:p>
    <w:p w14:paraId="40152BDD">
      <w:pPr>
        <w:adjustRightInd w:val="0"/>
        <w:snapToGrid w:val="0"/>
        <w:spacing w:line="288" w:lineRule="auto"/>
        <w:ind w:firstLine="1040"/>
        <w:rPr>
          <w:rFonts w:hint="default" w:ascii="Times New Roman" w:hAnsi="Times New Roman" w:eastAsia="仿宋_GB2312" w:cs="Times New Roman"/>
          <w:color w:val="auto"/>
          <w:sz w:val="36"/>
          <w:szCs w:val="36"/>
          <w:u w:val="single"/>
        </w:rPr>
      </w:pPr>
    </w:p>
    <w:p w14:paraId="30C9E6D5">
      <w:pPr>
        <w:adjustRightInd w:val="0"/>
        <w:snapToGrid w:val="0"/>
        <w:spacing w:line="288" w:lineRule="auto"/>
        <w:rPr>
          <w:rFonts w:hint="default" w:ascii="Times New Roman" w:hAnsi="Times New Roman" w:eastAsia="仿宋_GB2312" w:cs="Times New Roman"/>
          <w:color w:val="auto"/>
          <w:sz w:val="36"/>
          <w:szCs w:val="36"/>
          <w:u w:val="single"/>
        </w:rPr>
      </w:pPr>
    </w:p>
    <w:bookmarkEnd w:id="0"/>
    <w:p w14:paraId="4C80106A">
      <w:pPr>
        <w:adjustRightInd w:val="0"/>
        <w:snapToGrid w:val="0"/>
        <w:spacing w:line="288" w:lineRule="auto"/>
        <w:jc w:val="center"/>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中华人民共和国生态环境部制</w:t>
      </w:r>
    </w:p>
    <w:p w14:paraId="6144AF69">
      <w:pPr>
        <w:adjustRightInd w:val="0"/>
        <w:snapToGrid w:val="0"/>
        <w:spacing w:line="288" w:lineRule="auto"/>
        <w:ind w:firstLine="1040"/>
        <w:rPr>
          <w:rFonts w:hint="default" w:ascii="Times New Roman" w:hAnsi="Times New Roman" w:eastAsia="仿宋_GB2312" w:cs="Times New Roman"/>
          <w:color w:val="auto"/>
          <w:sz w:val="36"/>
          <w:szCs w:val="36"/>
        </w:rPr>
        <w:sectPr>
          <w:footerReference r:id="rId7" w:type="first"/>
          <w:footerReference r:id="rId5" w:type="default"/>
          <w:footerReference r:id="rId6" w:type="even"/>
          <w:pgSz w:w="11906" w:h="16838"/>
          <w:pgMar w:top="1701" w:right="1531" w:bottom="1701" w:left="1531" w:header="851" w:footer="1077" w:gutter="0"/>
          <w:pgNumType w:start="3"/>
          <w:cols w:space="720" w:num="1"/>
          <w:docGrid w:linePitch="312" w:charSpace="0"/>
        </w:sectPr>
      </w:pPr>
    </w:p>
    <w:p w14:paraId="58E85789">
      <w:pPr>
        <w:pStyle w:val="18"/>
        <w:spacing w:before="0" w:beforeAutospacing="0" w:after="0" w:afterAutospacing="0"/>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一、建设项目基本情况</w:t>
      </w:r>
    </w:p>
    <w:tbl>
      <w:tblPr>
        <w:tblStyle w:val="22"/>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40"/>
        <w:gridCol w:w="1493"/>
        <w:gridCol w:w="2496"/>
        <w:gridCol w:w="2103"/>
        <w:gridCol w:w="3007"/>
      </w:tblGrid>
      <w:tr w14:paraId="1A5F33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1D33067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建设项目名称</w:t>
            </w:r>
          </w:p>
        </w:tc>
        <w:tc>
          <w:tcPr>
            <w:tcW w:w="7606" w:type="dxa"/>
            <w:gridSpan w:val="3"/>
            <w:vAlign w:val="center"/>
          </w:tcPr>
          <w:p w14:paraId="6EE40B5C">
            <w:pPr>
              <w:adjustRightInd w:val="0"/>
              <w:snapToGrid w:val="0"/>
              <w:spacing w:line="240" w:lineRule="auto"/>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惠州市澎宇电子制品有限公司建设项目</w:t>
            </w:r>
          </w:p>
        </w:tc>
      </w:tr>
      <w:tr w14:paraId="6705FB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73CC90B6">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项目代码</w:t>
            </w:r>
          </w:p>
        </w:tc>
        <w:tc>
          <w:tcPr>
            <w:tcW w:w="7606" w:type="dxa"/>
            <w:gridSpan w:val="3"/>
            <w:vAlign w:val="center"/>
          </w:tcPr>
          <w:p w14:paraId="4A5E63A5">
            <w:pPr>
              <w:adjustRightInd w:val="0"/>
              <w:snapToGrid w:val="0"/>
              <w:spacing w:line="24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2507-441322-04-01-849934</w:t>
            </w:r>
          </w:p>
        </w:tc>
      </w:tr>
      <w:tr w14:paraId="765CFC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2FABEFB6">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建设单位联系人</w:t>
            </w:r>
          </w:p>
        </w:tc>
        <w:tc>
          <w:tcPr>
            <w:tcW w:w="2496" w:type="dxa"/>
            <w:vAlign w:val="center"/>
          </w:tcPr>
          <w:p w14:paraId="53C1051A">
            <w:pPr>
              <w:adjustRightInd w:val="0"/>
              <w:snapToGrid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廖</w:t>
            </w:r>
            <w:r>
              <w:rPr>
                <w:rFonts w:hint="eastAsia" w:cs="Times New Roman"/>
                <w:color w:val="auto"/>
                <w:lang w:val="en-US" w:eastAsia="zh-CN"/>
              </w:rPr>
              <w:t>**</w:t>
            </w:r>
          </w:p>
        </w:tc>
        <w:tc>
          <w:tcPr>
            <w:tcW w:w="2103" w:type="dxa"/>
            <w:vAlign w:val="center"/>
          </w:tcPr>
          <w:p w14:paraId="7707F61F">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联系方式</w:t>
            </w:r>
          </w:p>
        </w:tc>
        <w:tc>
          <w:tcPr>
            <w:tcW w:w="3007" w:type="dxa"/>
            <w:vAlign w:val="center"/>
          </w:tcPr>
          <w:p w14:paraId="3BAD5CD6">
            <w:pPr>
              <w:adjustRightInd w:val="0"/>
              <w:snapToGrid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eastAsia="zh-CN"/>
              </w:rPr>
              <w:t>158</w:t>
            </w:r>
            <w:r>
              <w:rPr>
                <w:rFonts w:hint="eastAsia" w:cs="Times New Roman"/>
                <w:color w:val="auto"/>
                <w:lang w:val="en-US" w:eastAsia="zh-CN"/>
              </w:rPr>
              <w:t>********</w:t>
            </w:r>
            <w:bookmarkStart w:id="36" w:name="_GoBack"/>
            <w:bookmarkEnd w:id="36"/>
          </w:p>
        </w:tc>
      </w:tr>
      <w:tr w14:paraId="54E0B1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1D839A82">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建设地点</w:t>
            </w:r>
          </w:p>
        </w:tc>
        <w:tc>
          <w:tcPr>
            <w:tcW w:w="7606" w:type="dxa"/>
            <w:gridSpan w:val="3"/>
            <w:vAlign w:val="center"/>
          </w:tcPr>
          <w:p w14:paraId="3952EB33">
            <w:pPr>
              <w:adjustRightInd w:val="0"/>
              <w:snapToGrid w:val="0"/>
              <w:spacing w:line="240" w:lineRule="auto"/>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博罗县园洲镇博罗智能装备产业园园洲片区绿化北路3号(4-a/4-b号厂房601/701楼)</w:t>
            </w:r>
          </w:p>
        </w:tc>
      </w:tr>
      <w:tr w14:paraId="7372C1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43A0D03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地理坐标</w:t>
            </w:r>
          </w:p>
        </w:tc>
        <w:tc>
          <w:tcPr>
            <w:tcW w:w="7606" w:type="dxa"/>
            <w:gridSpan w:val="3"/>
            <w:vAlign w:val="center"/>
          </w:tcPr>
          <w:p w14:paraId="0B9F5D19">
            <w:pPr>
              <w:spacing w:line="240" w:lineRule="auto"/>
              <w:jc w:val="center"/>
              <w:rPr>
                <w:rFonts w:hint="default" w:ascii="Times New Roman" w:hAnsi="Times New Roman" w:cs="Times New Roman"/>
                <w:color w:val="auto"/>
              </w:rPr>
            </w:pPr>
            <w:r>
              <w:rPr>
                <w:rFonts w:hint="default" w:ascii="Times New Roman" w:hAnsi="Times New Roman" w:cs="Times New Roman"/>
                <w:color w:val="auto"/>
              </w:rPr>
              <w:t>（东经</w:t>
            </w:r>
            <w:r>
              <w:rPr>
                <w:rFonts w:hint="default" w:ascii="Times New Roman" w:hAnsi="Times New Roman" w:cs="Times New Roman"/>
                <w:color w:val="auto"/>
                <w:u w:val="single"/>
              </w:rPr>
              <w:t xml:space="preserve"> 114 </w:t>
            </w:r>
            <w:r>
              <w:rPr>
                <w:rFonts w:hint="default" w:ascii="Times New Roman" w:hAnsi="Times New Roman" w:cs="Times New Roman"/>
                <w:color w:val="auto"/>
              </w:rPr>
              <w:t>度</w:t>
            </w:r>
            <w:r>
              <w:rPr>
                <w:rFonts w:hint="default" w:ascii="Times New Roman" w:hAnsi="Times New Roman" w:cs="Times New Roman"/>
                <w:color w:val="auto"/>
                <w:u w:val="single"/>
              </w:rPr>
              <w:t xml:space="preserve"> </w:t>
            </w:r>
            <w:r>
              <w:rPr>
                <w:rFonts w:hint="default" w:ascii="Times New Roman" w:hAnsi="Times New Roman" w:cs="Times New Roman"/>
                <w:color w:val="auto"/>
                <w:u w:val="single"/>
                <w:lang w:val="en-US" w:eastAsia="zh-CN"/>
              </w:rPr>
              <w:t>56</w:t>
            </w:r>
            <w:r>
              <w:rPr>
                <w:rFonts w:hint="default" w:ascii="Times New Roman" w:hAnsi="Times New Roman" w:cs="Times New Roman"/>
                <w:color w:val="auto"/>
                <w:u w:val="single"/>
              </w:rPr>
              <w:t xml:space="preserve"> </w:t>
            </w:r>
            <w:r>
              <w:rPr>
                <w:rFonts w:hint="default" w:ascii="Times New Roman" w:hAnsi="Times New Roman" w:cs="Times New Roman"/>
                <w:color w:val="auto"/>
              </w:rPr>
              <w:t>分</w:t>
            </w:r>
            <w:r>
              <w:rPr>
                <w:rFonts w:hint="default" w:ascii="Times New Roman" w:hAnsi="Times New Roman" w:cs="Times New Roman"/>
                <w:color w:val="auto"/>
                <w:u w:val="single"/>
              </w:rPr>
              <w:t xml:space="preserve"> </w:t>
            </w:r>
            <w:r>
              <w:rPr>
                <w:rFonts w:hint="default" w:ascii="Times New Roman" w:hAnsi="Times New Roman" w:cs="Times New Roman"/>
                <w:color w:val="auto"/>
                <w:u w:val="single"/>
                <w:lang w:val="en-US" w:eastAsia="zh-CN"/>
              </w:rPr>
              <w:t>39.019</w:t>
            </w:r>
            <w:r>
              <w:rPr>
                <w:rFonts w:hint="default" w:ascii="Times New Roman" w:hAnsi="Times New Roman" w:cs="Times New Roman"/>
                <w:color w:val="auto"/>
                <w:u w:val="single"/>
              </w:rPr>
              <w:t xml:space="preserve"> </w:t>
            </w:r>
            <w:r>
              <w:rPr>
                <w:rFonts w:hint="default" w:ascii="Times New Roman" w:hAnsi="Times New Roman" w:cs="Times New Roman"/>
                <w:color w:val="auto"/>
              </w:rPr>
              <w:t>秒，北纬</w:t>
            </w:r>
            <w:r>
              <w:rPr>
                <w:rFonts w:hint="default" w:ascii="Times New Roman" w:hAnsi="Times New Roman" w:cs="Times New Roman"/>
                <w:color w:val="auto"/>
                <w:u w:val="single"/>
              </w:rPr>
              <w:t xml:space="preserve"> 2</w:t>
            </w:r>
            <w:r>
              <w:rPr>
                <w:rFonts w:hint="default" w:ascii="Times New Roman" w:hAnsi="Times New Roman" w:cs="Times New Roman"/>
                <w:color w:val="auto"/>
                <w:u w:val="single"/>
                <w:lang w:val="en-US" w:eastAsia="zh-CN"/>
              </w:rPr>
              <w:t>2</w:t>
            </w:r>
            <w:r>
              <w:rPr>
                <w:rFonts w:hint="default" w:ascii="Times New Roman" w:hAnsi="Times New Roman" w:cs="Times New Roman"/>
                <w:color w:val="auto"/>
                <w:u w:val="single"/>
              </w:rPr>
              <w:t xml:space="preserve"> </w:t>
            </w:r>
            <w:r>
              <w:rPr>
                <w:rFonts w:hint="default" w:ascii="Times New Roman" w:hAnsi="Times New Roman" w:cs="Times New Roman"/>
                <w:color w:val="auto"/>
              </w:rPr>
              <w:t>度</w:t>
            </w:r>
            <w:r>
              <w:rPr>
                <w:rFonts w:hint="default" w:ascii="Times New Roman" w:hAnsi="Times New Roman" w:cs="Times New Roman"/>
                <w:color w:val="auto"/>
                <w:u w:val="single"/>
              </w:rPr>
              <w:t xml:space="preserve"> </w:t>
            </w:r>
            <w:r>
              <w:rPr>
                <w:rFonts w:hint="default" w:ascii="Times New Roman" w:hAnsi="Times New Roman" w:cs="Times New Roman"/>
                <w:color w:val="auto"/>
                <w:u w:val="single"/>
                <w:lang w:val="en-US" w:eastAsia="zh-CN"/>
              </w:rPr>
              <w:t>45</w:t>
            </w:r>
            <w:r>
              <w:rPr>
                <w:rFonts w:hint="default" w:ascii="Times New Roman" w:hAnsi="Times New Roman" w:cs="Times New Roman"/>
                <w:color w:val="auto"/>
                <w:u w:val="single"/>
              </w:rPr>
              <w:t xml:space="preserve"> </w:t>
            </w:r>
            <w:r>
              <w:rPr>
                <w:rFonts w:hint="default" w:ascii="Times New Roman" w:hAnsi="Times New Roman" w:cs="Times New Roman"/>
                <w:color w:val="auto"/>
              </w:rPr>
              <w:t>分</w:t>
            </w:r>
            <w:r>
              <w:rPr>
                <w:rFonts w:hint="default" w:ascii="Times New Roman" w:hAnsi="Times New Roman" w:cs="Times New Roman"/>
                <w:color w:val="auto"/>
                <w:u w:val="single"/>
              </w:rPr>
              <w:t xml:space="preserve"> </w:t>
            </w:r>
            <w:r>
              <w:rPr>
                <w:rFonts w:hint="default" w:ascii="Times New Roman" w:hAnsi="Times New Roman" w:cs="Times New Roman"/>
                <w:color w:val="auto"/>
                <w:u w:val="single"/>
                <w:lang w:val="en-US" w:eastAsia="zh-CN"/>
              </w:rPr>
              <w:t>28.796</w:t>
            </w:r>
            <w:r>
              <w:rPr>
                <w:rFonts w:hint="default" w:ascii="Times New Roman" w:hAnsi="Times New Roman" w:cs="Times New Roman"/>
                <w:color w:val="auto"/>
                <w:u w:val="single"/>
              </w:rPr>
              <w:t xml:space="preserve"> </w:t>
            </w:r>
            <w:r>
              <w:rPr>
                <w:rFonts w:hint="default" w:ascii="Times New Roman" w:hAnsi="Times New Roman" w:cs="Times New Roman"/>
                <w:color w:val="auto"/>
              </w:rPr>
              <w:t>秒）</w:t>
            </w:r>
          </w:p>
        </w:tc>
      </w:tr>
      <w:tr w14:paraId="59E175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4512B0FF">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国民经济</w:t>
            </w:r>
          </w:p>
          <w:p w14:paraId="1687090E">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行业类别</w:t>
            </w:r>
          </w:p>
        </w:tc>
        <w:tc>
          <w:tcPr>
            <w:tcW w:w="2496" w:type="dxa"/>
            <w:vAlign w:val="center"/>
          </w:tcPr>
          <w:p w14:paraId="45A2A99A">
            <w:pPr>
              <w:adjustRightInd w:val="0"/>
              <w:snapToGrid w:val="0"/>
              <w:spacing w:line="240" w:lineRule="auto"/>
              <w:jc w:val="both"/>
              <w:rPr>
                <w:rFonts w:hint="default" w:ascii="Times New Roman" w:hAnsi="Times New Roman" w:cs="Times New Roman"/>
                <w:color w:val="auto"/>
              </w:rPr>
            </w:pPr>
            <w:r>
              <w:rPr>
                <w:rFonts w:hint="default" w:ascii="Times New Roman" w:hAnsi="Times New Roman" w:cs="Times New Roman"/>
                <w:color w:val="auto"/>
                <w:sz w:val="24"/>
                <w:lang w:val="en-US" w:eastAsia="zh-CN"/>
              </w:rPr>
              <w:t>C2919其他橡胶制品制造</w:t>
            </w:r>
          </w:p>
          <w:p w14:paraId="1B5C7D6C">
            <w:pPr>
              <w:adjustRightInd w:val="0"/>
              <w:snapToGrid w:val="0"/>
              <w:spacing w:line="240" w:lineRule="auto"/>
              <w:rPr>
                <w:rFonts w:hint="default" w:ascii="Times New Roman" w:hAnsi="Times New Roman" w:cs="Times New Roman"/>
                <w:color w:val="auto"/>
                <w:szCs w:val="22"/>
              </w:rPr>
            </w:pPr>
            <w:r>
              <w:rPr>
                <w:rFonts w:hint="default" w:ascii="Times New Roman" w:hAnsi="Times New Roman" w:cs="Times New Roman"/>
                <w:color w:val="auto"/>
                <w:lang w:val="en-US" w:eastAsia="zh-CN"/>
              </w:rPr>
              <w:t>C3525模具制造</w:t>
            </w:r>
          </w:p>
        </w:tc>
        <w:tc>
          <w:tcPr>
            <w:tcW w:w="2103" w:type="dxa"/>
            <w:vAlign w:val="center"/>
          </w:tcPr>
          <w:p w14:paraId="184CDD80">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建设项目</w:t>
            </w:r>
          </w:p>
          <w:p w14:paraId="789BD156">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行业类别</w:t>
            </w:r>
          </w:p>
        </w:tc>
        <w:tc>
          <w:tcPr>
            <w:tcW w:w="3007" w:type="dxa"/>
            <w:vAlign w:val="center"/>
          </w:tcPr>
          <w:p w14:paraId="0C4ED90B">
            <w:pPr>
              <w:adjustRightInd w:val="0"/>
              <w:snapToGrid w:val="0"/>
              <w:spacing w:line="240" w:lineRule="auto"/>
              <w:rPr>
                <w:rFonts w:hint="default" w:ascii="Times New Roman" w:hAnsi="Times New Roman" w:cs="Times New Roman"/>
                <w:color w:val="auto"/>
                <w:sz w:val="24"/>
                <w:szCs w:val="24"/>
                <w:lang w:val="en-US" w:eastAsia="zh-CN"/>
              </w:rPr>
            </w:pPr>
            <w:r>
              <w:rPr>
                <w:rFonts w:hint="default" w:ascii="Times New Roman" w:hAnsi="Times New Roman" w:eastAsia="宋体" w:cs="Times New Roman"/>
                <w:b w:val="0"/>
                <w:bCs w:val="0"/>
                <w:color w:val="auto"/>
                <w:highlight w:val="none"/>
                <w:lang w:val="en-US" w:eastAsia="zh-CN"/>
              </w:rPr>
              <w:t>二十六、橡胶和塑胶制品业29</w:t>
            </w:r>
            <w:r>
              <w:rPr>
                <w:rFonts w:hint="default" w:ascii="Times New Roman" w:hAnsi="Times New Roman" w:cs="Times New Roman"/>
                <w:b w:val="0"/>
                <w:bCs w:val="0"/>
                <w:color w:val="auto"/>
                <w:highlight w:val="none"/>
                <w:lang w:val="en-US" w:eastAsia="zh-CN"/>
              </w:rPr>
              <w:t>，52橡胶制品业291</w:t>
            </w:r>
          </w:p>
          <w:p w14:paraId="221E8C71">
            <w:pPr>
              <w:widowControl/>
              <w:spacing w:line="240" w:lineRule="auto"/>
              <w:rPr>
                <w:rFonts w:hint="default" w:ascii="Times New Roman" w:hAnsi="Times New Roman" w:cs="Times New Roman"/>
                <w:color w:val="auto"/>
                <w:lang w:val="en-US"/>
              </w:rPr>
            </w:pPr>
            <w:r>
              <w:rPr>
                <w:rFonts w:hint="default" w:ascii="Times New Roman" w:hAnsi="Times New Roman" w:cs="Times New Roman"/>
                <w:color w:val="auto"/>
                <w:sz w:val="24"/>
                <w:szCs w:val="24"/>
                <w:lang w:val="en-US" w:eastAsia="zh-CN"/>
              </w:rPr>
              <w:t>三十二、专用设备制造业35，化工、木材、非金属加工专用设备制造352</w:t>
            </w:r>
          </w:p>
        </w:tc>
      </w:tr>
      <w:tr w14:paraId="478853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1FB1DE4C">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建设性质</w:t>
            </w:r>
          </w:p>
        </w:tc>
        <w:tc>
          <w:tcPr>
            <w:tcW w:w="2496" w:type="dxa"/>
            <w:vAlign w:val="center"/>
          </w:tcPr>
          <w:p w14:paraId="3AFFCE8E">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sym w:font="Wingdings 2" w:char="0052"/>
            </w:r>
            <w:r>
              <w:rPr>
                <w:rFonts w:hint="default" w:ascii="Times New Roman" w:hAnsi="Times New Roman" w:cs="Times New Roman"/>
                <w:color w:val="auto"/>
              </w:rPr>
              <w:t>新建（迁建）</w:t>
            </w:r>
          </w:p>
          <w:p w14:paraId="01319F5A">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t>□改建</w:t>
            </w:r>
          </w:p>
          <w:p w14:paraId="5CD3DB5F">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t>□扩建</w:t>
            </w:r>
          </w:p>
          <w:p w14:paraId="75532E1A">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t>□技术改造</w:t>
            </w:r>
          </w:p>
        </w:tc>
        <w:tc>
          <w:tcPr>
            <w:tcW w:w="2103" w:type="dxa"/>
            <w:vAlign w:val="center"/>
          </w:tcPr>
          <w:p w14:paraId="2B2CA3AA">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建设项目</w:t>
            </w:r>
          </w:p>
          <w:p w14:paraId="6FBE6A08">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申报情形</w:t>
            </w:r>
          </w:p>
        </w:tc>
        <w:tc>
          <w:tcPr>
            <w:tcW w:w="3007" w:type="dxa"/>
            <w:vAlign w:val="center"/>
          </w:tcPr>
          <w:p w14:paraId="002F9BFA">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sym w:font="Wingdings 2" w:char="0052"/>
            </w:r>
            <w:r>
              <w:rPr>
                <w:rFonts w:hint="default" w:ascii="Times New Roman" w:hAnsi="Times New Roman" w:cs="Times New Roman"/>
                <w:color w:val="auto"/>
              </w:rPr>
              <w:t>首次申报项目</w:t>
            </w:r>
          </w:p>
          <w:p w14:paraId="6A429C7B">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sym w:font="Wingdings 2" w:char="00A3"/>
            </w:r>
            <w:r>
              <w:rPr>
                <w:rFonts w:hint="default" w:ascii="Times New Roman" w:hAnsi="Times New Roman" w:cs="Times New Roman"/>
                <w:color w:val="auto"/>
              </w:rPr>
              <w:t>不予批准后再次申报项目</w:t>
            </w:r>
          </w:p>
          <w:p w14:paraId="5DF633AB">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sym w:font="Wingdings 2" w:char="00A3"/>
            </w:r>
            <w:r>
              <w:rPr>
                <w:rFonts w:hint="default" w:ascii="Times New Roman" w:hAnsi="Times New Roman" w:cs="Times New Roman"/>
                <w:color w:val="auto"/>
              </w:rPr>
              <w:t>超五年重新审核项目</w:t>
            </w:r>
          </w:p>
          <w:p w14:paraId="34CBB660">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sym w:font="Wingdings 2" w:char="00A3"/>
            </w:r>
            <w:r>
              <w:rPr>
                <w:rFonts w:hint="default" w:ascii="Times New Roman" w:hAnsi="Times New Roman" w:cs="Times New Roman"/>
                <w:color w:val="auto"/>
              </w:rPr>
              <w:t>重大变动重新报批项目</w:t>
            </w:r>
          </w:p>
        </w:tc>
      </w:tr>
      <w:tr w14:paraId="4B806E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6738CF4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项目审批（核准/</w:t>
            </w:r>
          </w:p>
          <w:p w14:paraId="66DBFFFE">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备案）部门（选填）</w:t>
            </w:r>
          </w:p>
        </w:tc>
        <w:tc>
          <w:tcPr>
            <w:tcW w:w="2496" w:type="dxa"/>
            <w:vAlign w:val="center"/>
          </w:tcPr>
          <w:p w14:paraId="13B50B6F">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w:t>
            </w:r>
          </w:p>
        </w:tc>
        <w:tc>
          <w:tcPr>
            <w:tcW w:w="2103" w:type="dxa"/>
            <w:vAlign w:val="center"/>
          </w:tcPr>
          <w:p w14:paraId="0EF91B5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项目审批（核准/</w:t>
            </w:r>
          </w:p>
          <w:p w14:paraId="1F7A2218">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备案）文号（选填）</w:t>
            </w:r>
          </w:p>
        </w:tc>
        <w:tc>
          <w:tcPr>
            <w:tcW w:w="3007" w:type="dxa"/>
            <w:vAlign w:val="center"/>
          </w:tcPr>
          <w:p w14:paraId="448FF800">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w:t>
            </w:r>
          </w:p>
        </w:tc>
      </w:tr>
      <w:tr w14:paraId="38EA93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586E75D0">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总投资（万元）</w:t>
            </w:r>
          </w:p>
        </w:tc>
        <w:tc>
          <w:tcPr>
            <w:tcW w:w="2496" w:type="dxa"/>
            <w:vAlign w:val="center"/>
          </w:tcPr>
          <w:p w14:paraId="48836C90">
            <w:pPr>
              <w:adjustRightInd w:val="0"/>
              <w:snapToGrid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300</w:t>
            </w:r>
          </w:p>
        </w:tc>
        <w:tc>
          <w:tcPr>
            <w:tcW w:w="2103" w:type="dxa"/>
            <w:tcMar>
              <w:top w:w="16" w:type="dxa"/>
              <w:left w:w="16" w:type="dxa"/>
              <w:right w:w="16" w:type="dxa"/>
            </w:tcMar>
            <w:vAlign w:val="center"/>
          </w:tcPr>
          <w:p w14:paraId="026B2BE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环保投资（万元）</w:t>
            </w:r>
          </w:p>
        </w:tc>
        <w:tc>
          <w:tcPr>
            <w:tcW w:w="3007" w:type="dxa"/>
            <w:vAlign w:val="center"/>
          </w:tcPr>
          <w:p w14:paraId="7A8CED9C">
            <w:pPr>
              <w:adjustRightInd w:val="0"/>
              <w:snapToGrid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30</w:t>
            </w:r>
          </w:p>
        </w:tc>
      </w:tr>
      <w:tr w14:paraId="704821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40841D3E">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环保投资占比（%）</w:t>
            </w:r>
          </w:p>
        </w:tc>
        <w:tc>
          <w:tcPr>
            <w:tcW w:w="2496" w:type="dxa"/>
            <w:vAlign w:val="center"/>
          </w:tcPr>
          <w:p w14:paraId="2CEADFB1">
            <w:pPr>
              <w:adjustRightInd w:val="0"/>
              <w:snapToGrid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w:t>
            </w:r>
          </w:p>
        </w:tc>
        <w:tc>
          <w:tcPr>
            <w:tcW w:w="2103" w:type="dxa"/>
            <w:tcMar>
              <w:top w:w="16" w:type="dxa"/>
              <w:left w:w="16" w:type="dxa"/>
              <w:right w:w="16" w:type="dxa"/>
            </w:tcMar>
            <w:vAlign w:val="center"/>
          </w:tcPr>
          <w:p w14:paraId="08DF5A7B">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施工工期</w:t>
            </w:r>
          </w:p>
        </w:tc>
        <w:tc>
          <w:tcPr>
            <w:tcW w:w="3007" w:type="dxa"/>
            <w:vAlign w:val="center"/>
          </w:tcPr>
          <w:p w14:paraId="0A68B01A">
            <w:pPr>
              <w:adjustRightInd w:val="0"/>
              <w:snapToGrid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1个月</w:t>
            </w:r>
          </w:p>
        </w:tc>
      </w:tr>
      <w:tr w14:paraId="760A29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5B372E9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是否开工建设</w:t>
            </w:r>
          </w:p>
        </w:tc>
        <w:tc>
          <w:tcPr>
            <w:tcW w:w="2496" w:type="dxa"/>
            <w:vAlign w:val="center"/>
          </w:tcPr>
          <w:p w14:paraId="4403DBBA">
            <w:pPr>
              <w:adjustRightInd w:val="0"/>
              <w:snapToGrid w:val="0"/>
              <w:spacing w:line="240" w:lineRule="auto"/>
              <w:rPr>
                <w:rFonts w:hint="default" w:ascii="Times New Roman" w:hAnsi="Times New Roman" w:cs="Times New Roman"/>
                <w:color w:val="auto"/>
              </w:rPr>
            </w:pPr>
            <w:r>
              <w:rPr>
                <w:rFonts w:hint="default" w:ascii="Times New Roman" w:hAnsi="Times New Roman" w:cs="Times New Roman"/>
                <w:color w:val="auto"/>
              </w:rPr>
              <w:sym w:font="Wingdings 2" w:char="0052"/>
            </w:r>
            <w:r>
              <w:rPr>
                <w:rFonts w:hint="default" w:ascii="Times New Roman" w:hAnsi="Times New Roman" w:cs="Times New Roman"/>
                <w:color w:val="auto"/>
              </w:rPr>
              <w:t>否</w:t>
            </w:r>
          </w:p>
          <w:p w14:paraId="4B1C458C">
            <w:pPr>
              <w:adjustRightInd w:val="0"/>
              <w:snapToGrid w:val="0"/>
              <w:spacing w:line="240" w:lineRule="auto"/>
              <w:rPr>
                <w:rFonts w:hint="default" w:ascii="Times New Roman" w:hAnsi="Times New Roman" w:cs="Times New Roman"/>
                <w:color w:val="auto"/>
              </w:rPr>
            </w:pPr>
            <w:r>
              <w:rPr>
                <w:rFonts w:hint="default" w:ascii="Times New Roman" w:hAnsi="Times New Roman" w:cs="Times New Roman"/>
                <w:color w:val="auto"/>
              </w:rPr>
              <w:sym w:font="Wingdings 2" w:char="00A3"/>
            </w:r>
            <w:r>
              <w:rPr>
                <w:rFonts w:hint="default" w:ascii="Times New Roman" w:hAnsi="Times New Roman" w:cs="Times New Roman"/>
                <w:color w:val="auto"/>
              </w:rPr>
              <w:t>是：</w:t>
            </w:r>
            <w:r>
              <w:rPr>
                <w:rFonts w:hint="default" w:ascii="Times New Roman" w:hAnsi="Times New Roman" w:cs="Times New Roman"/>
                <w:color w:val="auto"/>
                <w:u w:val="single"/>
              </w:rPr>
              <w:t xml:space="preserve">             </w:t>
            </w:r>
          </w:p>
        </w:tc>
        <w:tc>
          <w:tcPr>
            <w:tcW w:w="2103" w:type="dxa"/>
            <w:tcMar>
              <w:top w:w="16" w:type="dxa"/>
              <w:left w:w="16" w:type="dxa"/>
              <w:right w:w="16" w:type="dxa"/>
            </w:tcMar>
            <w:vAlign w:val="center"/>
          </w:tcPr>
          <w:p w14:paraId="004D8895">
            <w:pPr>
              <w:adjustRightInd w:val="0"/>
              <w:snapToGrid w:val="0"/>
              <w:spacing w:line="240" w:lineRule="auto"/>
              <w:jc w:val="center"/>
              <w:rPr>
                <w:rFonts w:hint="default" w:ascii="Times New Roman" w:hAnsi="Times New Roman" w:cs="Times New Roman"/>
                <w:color w:val="auto"/>
                <w:spacing w:val="-6"/>
              </w:rPr>
            </w:pPr>
            <w:r>
              <w:rPr>
                <w:rFonts w:hint="default" w:ascii="Times New Roman" w:hAnsi="Times New Roman" w:cs="Times New Roman"/>
                <w:color w:val="auto"/>
                <w:spacing w:val="-6"/>
              </w:rPr>
              <w:t>用地（用海）</w:t>
            </w:r>
          </w:p>
          <w:p w14:paraId="1AF7F6F9">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spacing w:val="-6"/>
              </w:rPr>
              <w:t>面积（m</w:t>
            </w:r>
            <w:r>
              <w:rPr>
                <w:rFonts w:hint="default" w:ascii="Times New Roman" w:hAnsi="Times New Roman" w:cs="Times New Roman"/>
                <w:color w:val="auto"/>
                <w:spacing w:val="-6"/>
                <w:vertAlign w:val="superscript"/>
              </w:rPr>
              <w:t>2</w:t>
            </w:r>
            <w:r>
              <w:rPr>
                <w:rFonts w:hint="default" w:ascii="Times New Roman" w:hAnsi="Times New Roman" w:cs="Times New Roman"/>
                <w:color w:val="auto"/>
                <w:spacing w:val="-6"/>
              </w:rPr>
              <w:t>）</w:t>
            </w:r>
          </w:p>
        </w:tc>
        <w:tc>
          <w:tcPr>
            <w:tcW w:w="3007" w:type="dxa"/>
            <w:vAlign w:val="center"/>
          </w:tcPr>
          <w:p w14:paraId="44E3228E">
            <w:pPr>
              <w:adjustRightInd w:val="0"/>
              <w:snapToGrid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2097.36</w:t>
            </w:r>
          </w:p>
        </w:tc>
      </w:tr>
      <w:tr w14:paraId="78F5BA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3" w:type="dxa"/>
            <w:gridSpan w:val="2"/>
            <w:vAlign w:val="center"/>
          </w:tcPr>
          <w:p w14:paraId="6FA506DB">
            <w:pPr>
              <w:autoSpaceDE w:val="0"/>
              <w:autoSpaceDN w:val="0"/>
              <w:adjustRightInd w:val="0"/>
              <w:snapToGrid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kern w:val="0"/>
              </w:rPr>
              <w:t>专项评价设置情况</w:t>
            </w:r>
          </w:p>
        </w:tc>
        <w:tc>
          <w:tcPr>
            <w:tcW w:w="7606" w:type="dxa"/>
            <w:gridSpan w:val="3"/>
            <w:vAlign w:val="center"/>
          </w:tcPr>
          <w:p w14:paraId="2FFEBB80">
            <w:pPr>
              <w:wordWrap/>
              <w:ind w:firstLine="480" w:firstLineChars="200"/>
              <w:rPr>
                <w:rFonts w:hint="default" w:ascii="Times New Roman" w:hAnsi="Times New Roman" w:cs="Times New Roman"/>
                <w:color w:val="auto"/>
              </w:rPr>
            </w:pPr>
            <w:r>
              <w:rPr>
                <w:rFonts w:hint="default" w:ascii="Times New Roman" w:hAnsi="Times New Roman" w:cs="Times New Roman"/>
                <w:color w:val="auto"/>
              </w:rPr>
              <w:t>项目专项评价设置情况见下表。</w:t>
            </w:r>
          </w:p>
          <w:p w14:paraId="4C05F0AC">
            <w:pPr>
              <w:wordWrap/>
              <w:adjustRightInd w:val="0"/>
              <w:spacing w:line="240" w:lineRule="auto"/>
              <w:ind w:firstLine="482" w:firstLineChars="200"/>
              <w:jc w:val="center"/>
              <w:rPr>
                <w:rFonts w:hint="default" w:ascii="Times New Roman" w:hAnsi="Times New Roman" w:cs="Times New Roman"/>
                <w:b/>
                <w:color w:val="auto"/>
                <w:kern w:val="0"/>
                <w:lang w:bidi="ar"/>
              </w:rPr>
            </w:pPr>
            <w:r>
              <w:rPr>
                <w:rFonts w:hint="default" w:ascii="Times New Roman" w:hAnsi="Times New Roman" w:cs="Times New Roman"/>
                <w:b/>
                <w:snapToGrid w:val="0"/>
                <w:color w:val="auto"/>
                <w:kern w:val="0"/>
                <w:lang w:bidi="ar"/>
              </w:rPr>
              <w:t>表1</w:t>
            </w:r>
            <w:r>
              <w:rPr>
                <w:rFonts w:hint="default" w:ascii="Times New Roman" w:hAnsi="Times New Roman" w:cs="Times New Roman"/>
                <w:b/>
                <w:snapToGrid w:val="0"/>
                <w:color w:val="auto"/>
                <w:kern w:val="0"/>
                <w:lang w:val="en-US" w:eastAsia="zh-CN" w:bidi="ar"/>
              </w:rPr>
              <w:t>-1</w:t>
            </w:r>
            <w:r>
              <w:rPr>
                <w:rFonts w:hint="default" w:ascii="Times New Roman" w:hAnsi="Times New Roman" w:cs="Times New Roman"/>
                <w:b/>
                <w:color w:val="auto"/>
                <w:kern w:val="0"/>
                <w:lang w:bidi="ar"/>
              </w:rPr>
              <w:t xml:space="preserve">  专项评价设置情况一览表</w:t>
            </w:r>
          </w:p>
          <w:tbl>
            <w:tblPr>
              <w:tblStyle w:val="23"/>
              <w:tblW w:w="73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5"/>
              <w:gridCol w:w="2818"/>
              <w:gridCol w:w="2570"/>
              <w:gridCol w:w="989"/>
            </w:tblGrid>
            <w:tr w14:paraId="713B3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4C3C74AE">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专项评价的类别</w:t>
                  </w:r>
                </w:p>
              </w:tc>
              <w:tc>
                <w:tcPr>
                  <w:tcW w:w="1908" w:type="pct"/>
                  <w:vAlign w:val="center"/>
                </w:tcPr>
                <w:p w14:paraId="5B707BE3">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设置原则</w:t>
                  </w:r>
                </w:p>
              </w:tc>
              <w:tc>
                <w:tcPr>
                  <w:tcW w:w="1740" w:type="pct"/>
                  <w:vAlign w:val="center"/>
                </w:tcPr>
                <w:p w14:paraId="554ED6FF">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项目情况</w:t>
                  </w:r>
                </w:p>
              </w:tc>
              <w:tc>
                <w:tcPr>
                  <w:tcW w:w="670" w:type="pct"/>
                  <w:vAlign w:val="center"/>
                </w:tcPr>
                <w:p w14:paraId="288493E9">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是否需设置专项</w:t>
                  </w:r>
                </w:p>
              </w:tc>
            </w:tr>
            <w:tr w14:paraId="0104E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3DBE2EF7">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w:t>
                  </w:r>
                </w:p>
              </w:tc>
              <w:tc>
                <w:tcPr>
                  <w:tcW w:w="1908" w:type="pct"/>
                  <w:vAlign w:val="center"/>
                </w:tcPr>
                <w:p w14:paraId="5D4DF1E3">
                  <w:pPr>
                    <w:widowControl/>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排放废气含有毒有害污染物</w:t>
                  </w:r>
                  <w:r>
                    <w:rPr>
                      <w:rFonts w:hint="default" w:ascii="Times New Roman" w:hAnsi="Times New Roman" w:cs="Times New Roman"/>
                      <w:color w:val="auto"/>
                      <w:kern w:val="0"/>
                      <w:sz w:val="21"/>
                      <w:szCs w:val="21"/>
                      <w:vertAlign w:val="superscript"/>
                      <w:lang w:bidi="ar"/>
                    </w:rPr>
                    <w:t>1</w:t>
                  </w:r>
                  <w:r>
                    <w:rPr>
                      <w:rFonts w:hint="default" w:ascii="Times New Roman" w:hAnsi="Times New Roman" w:cs="Times New Roman"/>
                      <w:color w:val="auto"/>
                      <w:kern w:val="0"/>
                      <w:sz w:val="21"/>
                      <w:szCs w:val="21"/>
                      <w:lang w:bidi="ar"/>
                    </w:rPr>
                    <w:t>、二噁英、苯并[</w:t>
                  </w:r>
                  <w:r>
                    <w:rPr>
                      <w:rFonts w:hint="default" w:ascii="Times New Roman" w:hAnsi="Times New Roman" w:cs="Times New Roman"/>
                      <w:i/>
                      <w:iCs/>
                      <w:color w:val="auto"/>
                      <w:kern w:val="0"/>
                      <w:sz w:val="21"/>
                      <w:szCs w:val="21"/>
                      <w:lang w:bidi="ar"/>
                    </w:rPr>
                    <w:t>a</w:t>
                  </w:r>
                  <w:r>
                    <w:rPr>
                      <w:rFonts w:hint="default" w:ascii="Times New Roman" w:hAnsi="Times New Roman" w:cs="Times New Roman"/>
                      <w:color w:val="auto"/>
                      <w:kern w:val="0"/>
                      <w:sz w:val="21"/>
                      <w:szCs w:val="21"/>
                      <w:lang w:bidi="ar"/>
                    </w:rPr>
                    <w:t>]芘、氰化物、氯气且厂界外 500 米范围内有环境空气保护目标</w:t>
                  </w:r>
                  <w:r>
                    <w:rPr>
                      <w:rFonts w:hint="default" w:ascii="Times New Roman" w:hAnsi="Times New Roman" w:cs="Times New Roman"/>
                      <w:color w:val="auto"/>
                      <w:kern w:val="0"/>
                      <w:sz w:val="21"/>
                      <w:szCs w:val="21"/>
                      <w:vertAlign w:val="superscript"/>
                      <w:lang w:bidi="ar"/>
                    </w:rPr>
                    <w:t>2</w:t>
                  </w:r>
                  <w:r>
                    <w:rPr>
                      <w:rFonts w:hint="default" w:ascii="Times New Roman" w:hAnsi="Times New Roman" w:cs="Times New Roman"/>
                      <w:color w:val="auto"/>
                      <w:kern w:val="0"/>
                      <w:sz w:val="21"/>
                      <w:szCs w:val="21"/>
                      <w:lang w:bidi="ar"/>
                    </w:rPr>
                    <w:t>的建设项目</w:t>
                  </w:r>
                </w:p>
              </w:tc>
              <w:tc>
                <w:tcPr>
                  <w:tcW w:w="1740" w:type="pct"/>
                  <w:vAlign w:val="center"/>
                </w:tcPr>
                <w:p w14:paraId="50407EB4">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项目排放的废气为颗粒物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非甲烷总烃、臭气</w:t>
                  </w:r>
                  <w:r>
                    <w:rPr>
                      <w:rFonts w:hint="default" w:ascii="Times New Roman" w:hAnsi="Times New Roman" w:cs="Times New Roman"/>
                      <w:color w:val="auto"/>
                      <w:sz w:val="21"/>
                      <w:szCs w:val="21"/>
                    </w:rPr>
                    <w:t>和VOCs，不属于</w:t>
                  </w:r>
                  <w:r>
                    <w:rPr>
                      <w:rFonts w:hint="default" w:ascii="Times New Roman" w:hAnsi="Times New Roman" w:cs="Times New Roman"/>
                      <w:color w:val="auto"/>
                      <w:kern w:val="0"/>
                      <w:sz w:val="21"/>
                      <w:szCs w:val="21"/>
                      <w:lang w:bidi="ar"/>
                    </w:rPr>
                    <w:t>纳入《有毒有害大气污染物名录》的污染物。</w:t>
                  </w:r>
                </w:p>
              </w:tc>
              <w:tc>
                <w:tcPr>
                  <w:tcW w:w="670" w:type="pct"/>
                  <w:vAlign w:val="center"/>
                </w:tcPr>
                <w:p w14:paraId="1320B606">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r>
            <w:tr w14:paraId="6C29E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60685B46">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地表水</w:t>
                  </w:r>
                </w:p>
              </w:tc>
              <w:tc>
                <w:tcPr>
                  <w:tcW w:w="1908" w:type="pct"/>
                  <w:vAlign w:val="center"/>
                </w:tcPr>
                <w:p w14:paraId="01A63E56">
                  <w:pPr>
                    <w:widowControl/>
                    <w:spacing w:line="240" w:lineRule="auto"/>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新增工业废水直排建设项目（槽罐车外送污水处理厂的除外）；</w:t>
                  </w:r>
                </w:p>
                <w:p w14:paraId="306AB57E">
                  <w:pPr>
                    <w:widowControl/>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新增废水直排的污水集中处理厂</w:t>
                  </w:r>
                </w:p>
              </w:tc>
              <w:tc>
                <w:tcPr>
                  <w:tcW w:w="1740" w:type="pct"/>
                  <w:vAlign w:val="center"/>
                </w:tcPr>
                <w:p w14:paraId="13D13844">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w:t>
                  </w:r>
                  <w:r>
                    <w:rPr>
                      <w:rFonts w:hint="default" w:ascii="Times New Roman" w:hAnsi="Times New Roman" w:cs="Times New Roman"/>
                      <w:color w:val="auto"/>
                      <w:sz w:val="21"/>
                      <w:szCs w:val="21"/>
                      <w:lang w:eastAsia="zh-CN"/>
                    </w:rPr>
                    <w:t>间接冷却废水循环使用不外排</w:t>
                  </w:r>
                  <w:r>
                    <w:rPr>
                      <w:rFonts w:hint="default" w:ascii="Times New Roman" w:hAnsi="Times New Roman" w:cs="Times New Roman"/>
                      <w:color w:val="auto"/>
                      <w:sz w:val="21"/>
                      <w:szCs w:val="21"/>
                    </w:rPr>
                    <w:t>，喷淋废水</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水帘柜废水</w:t>
                  </w:r>
                  <w:r>
                    <w:rPr>
                      <w:rFonts w:hint="default" w:ascii="Times New Roman" w:hAnsi="Times New Roman" w:cs="Times New Roman"/>
                      <w:color w:val="auto"/>
                      <w:sz w:val="21"/>
                      <w:szCs w:val="21"/>
                      <w:lang w:val="en-US" w:eastAsia="zh-CN"/>
                    </w:rPr>
                    <w:t>和喷枪清洗废水</w:t>
                  </w:r>
                  <w:r>
                    <w:rPr>
                      <w:rFonts w:hint="default" w:ascii="Times New Roman" w:hAnsi="Times New Roman" w:cs="Times New Roman"/>
                      <w:color w:val="auto"/>
                      <w:sz w:val="21"/>
                      <w:szCs w:val="21"/>
                    </w:rPr>
                    <w:t>收集后交由有资质的单位处置，生活污水经三级化粪池预处理后纳入市政管网进入</w:t>
                  </w:r>
                  <w:r>
                    <w:rPr>
                      <w:rFonts w:hint="default" w:ascii="Times New Roman" w:hAnsi="Times New Roman" w:cs="Times New Roman"/>
                      <w:color w:val="auto"/>
                      <w:sz w:val="21"/>
                      <w:szCs w:val="21"/>
                      <w:lang w:eastAsia="zh-CN"/>
                    </w:rPr>
                    <w:t>园洲镇第五污水处理厂</w:t>
                  </w:r>
                  <w:r>
                    <w:rPr>
                      <w:rFonts w:hint="default" w:ascii="Times New Roman" w:hAnsi="Times New Roman" w:cs="Times New Roman"/>
                      <w:color w:val="auto"/>
                      <w:sz w:val="21"/>
                      <w:szCs w:val="21"/>
                    </w:rPr>
                    <w:t>处理。</w:t>
                  </w:r>
                </w:p>
              </w:tc>
              <w:tc>
                <w:tcPr>
                  <w:tcW w:w="670" w:type="pct"/>
                  <w:vAlign w:val="center"/>
                </w:tcPr>
                <w:p w14:paraId="743F1244">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r>
            <w:tr w14:paraId="2A962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53D39F63">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环境风险</w:t>
                  </w:r>
                </w:p>
              </w:tc>
              <w:tc>
                <w:tcPr>
                  <w:tcW w:w="1908" w:type="pct"/>
                  <w:vAlign w:val="center"/>
                </w:tcPr>
                <w:p w14:paraId="01246D01">
                  <w:pPr>
                    <w:widowControl/>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有毒有害和易燃易爆危险物质存储量超过临界量</w:t>
                  </w:r>
                  <w:r>
                    <w:rPr>
                      <w:rFonts w:hint="default" w:ascii="Times New Roman" w:hAnsi="Times New Roman" w:cs="Times New Roman"/>
                      <w:color w:val="auto"/>
                      <w:kern w:val="0"/>
                      <w:sz w:val="21"/>
                      <w:szCs w:val="21"/>
                      <w:vertAlign w:val="superscript"/>
                      <w:lang w:bidi="ar"/>
                    </w:rPr>
                    <w:t>3</w:t>
                  </w:r>
                  <w:r>
                    <w:rPr>
                      <w:rFonts w:hint="default" w:ascii="Times New Roman" w:hAnsi="Times New Roman" w:cs="Times New Roman"/>
                      <w:color w:val="auto"/>
                      <w:kern w:val="0"/>
                      <w:sz w:val="21"/>
                      <w:szCs w:val="21"/>
                      <w:lang w:bidi="ar"/>
                    </w:rPr>
                    <w:t>的建设项目</w:t>
                  </w:r>
                </w:p>
              </w:tc>
              <w:tc>
                <w:tcPr>
                  <w:tcW w:w="1740" w:type="pct"/>
                  <w:vAlign w:val="center"/>
                </w:tcPr>
                <w:p w14:paraId="3839CEED">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项目风险物质Q=</w:t>
                  </w:r>
                  <w:r>
                    <w:rPr>
                      <w:rFonts w:hint="default" w:ascii="Times New Roman" w:hAnsi="Times New Roman" w:cs="Times New Roman"/>
                      <w:color w:val="auto"/>
                      <w:sz w:val="21"/>
                      <w:szCs w:val="21"/>
                      <w:lang w:val="en-US" w:eastAsia="zh-CN"/>
                    </w:rPr>
                    <w:t>0.044134</w:t>
                  </w:r>
                  <w:r>
                    <w:rPr>
                      <w:rFonts w:hint="default" w:ascii="Times New Roman" w:hAnsi="Times New Roman" w:cs="Times New Roman"/>
                      <w:color w:val="auto"/>
                      <w:sz w:val="21"/>
                      <w:szCs w:val="21"/>
                    </w:rPr>
                    <w:t>&lt;1。</w:t>
                  </w:r>
                </w:p>
              </w:tc>
              <w:tc>
                <w:tcPr>
                  <w:tcW w:w="670" w:type="pct"/>
                  <w:vAlign w:val="center"/>
                </w:tcPr>
                <w:p w14:paraId="1CF5353A">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r>
            <w:tr w14:paraId="5807C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6C617A25">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w:t>
                  </w:r>
                </w:p>
              </w:tc>
              <w:tc>
                <w:tcPr>
                  <w:tcW w:w="1908" w:type="pct"/>
                  <w:vAlign w:val="center"/>
                </w:tcPr>
                <w:p w14:paraId="07F3AA09">
                  <w:pPr>
                    <w:widowControl/>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取水口下游500米范围内有重要水生生物的自然产卵场、索饵场、越冬场和洄游通道的新增河道取水的污染类建设项目</w:t>
                  </w:r>
                </w:p>
              </w:tc>
              <w:tc>
                <w:tcPr>
                  <w:tcW w:w="1740" w:type="pct"/>
                  <w:vAlign w:val="center"/>
                </w:tcPr>
                <w:p w14:paraId="050AEDE6">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项目位于</w:t>
                  </w:r>
                  <w:r>
                    <w:rPr>
                      <w:rFonts w:hint="default" w:ascii="Times New Roman" w:hAnsi="Times New Roman" w:cs="Times New Roman"/>
                      <w:color w:val="auto"/>
                      <w:sz w:val="21"/>
                      <w:szCs w:val="21"/>
                      <w:lang w:eastAsia="zh-CN"/>
                    </w:rPr>
                    <w:t>博罗县园洲镇博罗智能装备产业园园洲片区绿化北路3号(4-a/4-b号厂房601/701楼)</w:t>
                  </w:r>
                  <w:r>
                    <w:rPr>
                      <w:rFonts w:hint="default" w:ascii="Times New Roman" w:hAnsi="Times New Roman" w:cs="Times New Roman"/>
                      <w:color w:val="auto"/>
                      <w:sz w:val="21"/>
                      <w:szCs w:val="21"/>
                    </w:rPr>
                    <w:t>，不属于河道取水的污染类建设项目。</w:t>
                  </w:r>
                </w:p>
              </w:tc>
              <w:tc>
                <w:tcPr>
                  <w:tcW w:w="670" w:type="pct"/>
                  <w:vAlign w:val="center"/>
                </w:tcPr>
                <w:p w14:paraId="29630ADF">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r>
            <w:tr w14:paraId="3E7EB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0275D699">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海洋</w:t>
                  </w:r>
                </w:p>
              </w:tc>
              <w:tc>
                <w:tcPr>
                  <w:tcW w:w="1908" w:type="pct"/>
                  <w:vAlign w:val="center"/>
                </w:tcPr>
                <w:p w14:paraId="4A38C928">
                  <w:pPr>
                    <w:widowControl/>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直接向海排放污染物的海洋工程建设项目</w:t>
                  </w:r>
                </w:p>
              </w:tc>
              <w:tc>
                <w:tcPr>
                  <w:tcW w:w="1740" w:type="pct"/>
                  <w:vAlign w:val="center"/>
                </w:tcPr>
                <w:p w14:paraId="5965EFBD">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项目不属于海洋工程建设项目。</w:t>
                  </w:r>
                </w:p>
              </w:tc>
              <w:tc>
                <w:tcPr>
                  <w:tcW w:w="670" w:type="pct"/>
                  <w:vAlign w:val="center"/>
                </w:tcPr>
                <w:p w14:paraId="045BC98D">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r>
          </w:tbl>
          <w:p w14:paraId="3C5DE302">
            <w:pPr>
              <w:widowControl/>
              <w:wordWrap/>
              <w:spacing w:line="240" w:lineRule="auto"/>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0"/>
                <w:szCs w:val="20"/>
                <w:lang w:bidi="ar"/>
              </w:rPr>
              <w:t>注：</w:t>
            </w:r>
            <w:r>
              <w:rPr>
                <w:rFonts w:hint="default" w:ascii="Times New Roman" w:hAnsi="Times New Roman" w:cs="Times New Roman"/>
                <w:color w:val="auto"/>
                <w:kern w:val="0"/>
                <w:sz w:val="21"/>
                <w:szCs w:val="21"/>
                <w:lang w:bidi="ar"/>
              </w:rPr>
              <w:t>1.废气中有毒有害污染物指纳入《有毒有害大气污染物名录》的污染物（不包括无排放标准的污染物）。</w:t>
            </w:r>
          </w:p>
          <w:p w14:paraId="769E0491">
            <w:pPr>
              <w:widowControl/>
              <w:wordWrap/>
              <w:spacing w:line="240" w:lineRule="auto"/>
              <w:ind w:firstLine="420" w:firstLineChars="200"/>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2.环境空气保护目标指自然保护区、风景名胜区、居住区、文化区和农村地区中人群较集中的区域。</w:t>
            </w:r>
          </w:p>
          <w:p w14:paraId="30FB3293">
            <w:pPr>
              <w:spacing w:line="240" w:lineRule="auto"/>
              <w:ind w:firstLine="420" w:firstLineChars="200"/>
              <w:jc w:val="left"/>
              <w:rPr>
                <w:rFonts w:hint="default" w:ascii="Times New Roman" w:hAnsi="Times New Roman" w:cs="Times New Roman"/>
                <w:color w:val="auto"/>
                <w:kern w:val="0"/>
              </w:rPr>
            </w:pPr>
            <w:r>
              <w:rPr>
                <w:rFonts w:hint="default" w:ascii="Times New Roman" w:hAnsi="Times New Roman" w:cs="Times New Roman"/>
                <w:color w:val="auto"/>
                <w:kern w:val="0"/>
                <w:sz w:val="21"/>
                <w:szCs w:val="21"/>
                <w:lang w:bidi="ar"/>
              </w:rPr>
              <w:t>3.临界量及其计算方法可参考《建设项目环境风险评价技术导则》（HJ 169）附录 B、附录 C。</w:t>
            </w:r>
          </w:p>
        </w:tc>
      </w:tr>
      <w:tr w14:paraId="5F6E09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3" w:type="dxa"/>
            <w:gridSpan w:val="2"/>
            <w:vAlign w:val="center"/>
          </w:tcPr>
          <w:p w14:paraId="7ED0EDA3">
            <w:pPr>
              <w:autoSpaceDE w:val="0"/>
              <w:autoSpaceDN w:val="0"/>
              <w:adjustRightInd w:val="0"/>
              <w:snapToGrid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rPr>
              <w:t>规划情况</w:t>
            </w:r>
          </w:p>
        </w:tc>
        <w:tc>
          <w:tcPr>
            <w:tcW w:w="7606" w:type="dxa"/>
            <w:gridSpan w:val="3"/>
            <w:vAlign w:val="center"/>
          </w:tcPr>
          <w:p w14:paraId="051C1808">
            <w:pPr>
              <w:autoSpaceDE w:val="0"/>
              <w:autoSpaceDN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kern w:val="0"/>
                <w:lang w:val="en-US" w:eastAsia="zh-CN"/>
              </w:rPr>
              <w:t>规划名称：</w:t>
            </w:r>
            <w:r>
              <w:rPr>
                <w:rFonts w:hint="default" w:ascii="Times New Roman" w:hAnsi="Times New Roman" w:cs="Times New Roman"/>
                <w:color w:val="auto"/>
                <w:kern w:val="0"/>
              </w:rPr>
              <w:t>《博罗智能装备产业园园洲片区（起步区）控制性详细规划》</w:t>
            </w:r>
          </w:p>
          <w:p w14:paraId="0F722A5B">
            <w:pPr>
              <w:autoSpaceDE w:val="0"/>
              <w:autoSpaceDN w:val="0"/>
              <w:spacing w:line="240" w:lineRule="auto"/>
              <w:jc w:val="both"/>
              <w:rPr>
                <w:rFonts w:hint="default" w:ascii="Times New Roman" w:hAnsi="Times New Roman" w:cs="Times New Roman"/>
                <w:color w:val="auto"/>
                <w:kern w:val="0"/>
              </w:rPr>
            </w:pPr>
            <w:r>
              <w:rPr>
                <w:rFonts w:hint="default" w:ascii="Times New Roman" w:hAnsi="Times New Roman" w:cs="Times New Roman"/>
                <w:color w:val="auto"/>
                <w:kern w:val="0"/>
              </w:rPr>
              <w:t>审批机关：博罗县自然资源局</w:t>
            </w:r>
          </w:p>
          <w:p w14:paraId="69823EC2">
            <w:pPr>
              <w:autoSpaceDE w:val="0"/>
              <w:autoSpaceDN w:val="0"/>
              <w:spacing w:line="240" w:lineRule="auto"/>
              <w:jc w:val="both"/>
              <w:rPr>
                <w:rFonts w:hint="default" w:ascii="Times New Roman" w:hAnsi="Times New Roman" w:cs="Times New Roman"/>
                <w:color w:val="auto"/>
                <w:kern w:val="0"/>
              </w:rPr>
            </w:pPr>
            <w:r>
              <w:rPr>
                <w:rFonts w:hint="default" w:ascii="Times New Roman" w:hAnsi="Times New Roman" w:cs="Times New Roman"/>
                <w:color w:val="auto"/>
                <w:kern w:val="0"/>
              </w:rPr>
              <w:t>审批文件名称及文号：《关于&lt;博罗智能装备产业园园洲片区（起步区）控制性详细规划&gt;项目的批后公告》</w:t>
            </w:r>
          </w:p>
        </w:tc>
      </w:tr>
      <w:tr w14:paraId="0574DE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3" w:type="dxa"/>
            <w:gridSpan w:val="2"/>
            <w:vAlign w:val="center"/>
          </w:tcPr>
          <w:p w14:paraId="6C35AC9E">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规划环境影响</w:t>
            </w:r>
          </w:p>
          <w:p w14:paraId="1FFB99AE">
            <w:pPr>
              <w:adjustRightInd w:val="0"/>
              <w:snapToGrid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rPr>
              <w:t>评价情况</w:t>
            </w:r>
          </w:p>
        </w:tc>
        <w:tc>
          <w:tcPr>
            <w:tcW w:w="7606" w:type="dxa"/>
            <w:gridSpan w:val="3"/>
            <w:vAlign w:val="center"/>
          </w:tcPr>
          <w:p w14:paraId="4A5778D1">
            <w:pPr>
              <w:autoSpaceDE w:val="0"/>
              <w:autoSpaceDN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kern w:val="0"/>
              </w:rPr>
              <w:t>无</w:t>
            </w:r>
          </w:p>
        </w:tc>
      </w:tr>
      <w:tr w14:paraId="1E14F5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3" w:type="dxa"/>
            <w:gridSpan w:val="2"/>
            <w:vAlign w:val="center"/>
          </w:tcPr>
          <w:p w14:paraId="1A2C37F0">
            <w:pPr>
              <w:autoSpaceDE w:val="0"/>
              <w:autoSpaceDN w:val="0"/>
              <w:adjustRightInd w:val="0"/>
              <w:snapToGrid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kern w:val="0"/>
              </w:rPr>
              <w:t>规划及规划环境</w:t>
            </w:r>
          </w:p>
          <w:p w14:paraId="03D7ED96">
            <w:pPr>
              <w:autoSpaceDE w:val="0"/>
              <w:autoSpaceDN w:val="0"/>
              <w:adjustRightInd w:val="0"/>
              <w:snapToGrid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kern w:val="0"/>
              </w:rPr>
              <w:t>影响评价符合性分析</w:t>
            </w:r>
          </w:p>
        </w:tc>
        <w:tc>
          <w:tcPr>
            <w:tcW w:w="7606" w:type="dxa"/>
            <w:gridSpan w:val="3"/>
            <w:vAlign w:val="center"/>
          </w:tcPr>
          <w:p w14:paraId="1B1D2121">
            <w:pPr>
              <w:autoSpaceDE w:val="0"/>
              <w:autoSpaceDN w:val="0"/>
              <w:spacing w:line="240" w:lineRule="auto"/>
              <w:jc w:val="both"/>
              <w:rPr>
                <w:rFonts w:hint="default" w:ascii="Times New Roman" w:hAnsi="Times New Roman" w:cs="Times New Roman"/>
                <w:color w:val="auto"/>
                <w:kern w:val="0"/>
              </w:rPr>
            </w:pPr>
            <w:r>
              <w:rPr>
                <w:rFonts w:hint="default" w:ascii="Times New Roman" w:hAnsi="Times New Roman" w:cs="Times New Roman"/>
                <w:color w:val="auto"/>
                <w:kern w:val="0"/>
              </w:rPr>
              <w:t>根据《博罗智能装备产业园园洲片区(起步区)控制性详细规划》(博罗县自然资源局，2024年03月18日)，项目所在地块为工业用地，项目主要从事塑料零件及其他塑料制品制造的生产，符合规划园区规划要求。</w:t>
            </w:r>
          </w:p>
        </w:tc>
      </w:tr>
      <w:tr w14:paraId="306B26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0" w:type="dxa"/>
            <w:vAlign w:val="center"/>
          </w:tcPr>
          <w:p w14:paraId="5DAF48A1">
            <w:pPr>
              <w:autoSpaceDE w:val="0"/>
              <w:autoSpaceDN w:val="0"/>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t>其他符合性分析</w:t>
            </w:r>
          </w:p>
        </w:tc>
        <w:tc>
          <w:tcPr>
            <w:tcW w:w="9099" w:type="dxa"/>
            <w:gridSpan w:val="4"/>
            <w:shd w:val="clear" w:color="auto" w:fill="auto"/>
            <w:vAlign w:val="center"/>
          </w:tcPr>
          <w:p w14:paraId="0C7CF6C6">
            <w:pPr>
              <w:pStyle w:val="62"/>
              <w:spacing w:line="360" w:lineRule="auto"/>
              <w:jc w:val="both"/>
              <w:textAlignment w:val="baseline"/>
              <w:rPr>
                <w:rFonts w:hint="default" w:ascii="Times New Roman" w:hAnsi="Times New Roman" w:cs="Times New Roman"/>
                <w:color w:val="auto"/>
              </w:rPr>
            </w:pPr>
            <w:r>
              <w:rPr>
                <w:rFonts w:hint="default" w:ascii="Times New Roman" w:hAnsi="Times New Roman" w:cs="Times New Roman"/>
                <w:color w:val="auto"/>
                <w:sz w:val="24"/>
              </w:rPr>
              <w:t>1、产业政策符合性</w:t>
            </w:r>
          </w:p>
          <w:p w14:paraId="313ACD83">
            <w:pPr>
              <w:keepNext w:val="0"/>
              <w:keepLines w:val="0"/>
              <w:suppressLineNumbers w:val="0"/>
              <w:spacing w:before="0" w:beforeAutospacing="0" w:after="0" w:afterAutospacing="0"/>
              <w:ind w:left="0" w:right="0" w:firstLine="480" w:firstLineChars="200"/>
              <w:rPr>
                <w:rFonts w:hint="default" w:ascii="Times New Roman" w:hAnsi="Times New Roman" w:cs="Times New Roman"/>
                <w:bCs/>
                <w:color w:val="auto"/>
              </w:rPr>
            </w:pPr>
            <w:r>
              <w:rPr>
                <w:rFonts w:hint="default" w:ascii="Times New Roman" w:hAnsi="Times New Roman" w:cs="Times New Roman"/>
                <w:color w:val="auto"/>
                <w:szCs w:val="22"/>
              </w:rPr>
              <w:t>项目从事</w:t>
            </w:r>
            <w:r>
              <w:rPr>
                <w:rFonts w:hint="default" w:ascii="Times New Roman" w:hAnsi="Times New Roman" w:cs="Times New Roman"/>
                <w:color w:val="auto"/>
                <w:lang w:val="en-US" w:eastAsia="zh-CN"/>
              </w:rPr>
              <w:t>硅胶制品和模具</w:t>
            </w:r>
            <w:r>
              <w:rPr>
                <w:rFonts w:hint="default" w:ascii="Times New Roman" w:hAnsi="Times New Roman" w:cs="Times New Roman"/>
                <w:color w:val="auto"/>
              </w:rPr>
              <w:t>的生产</w:t>
            </w:r>
            <w:r>
              <w:rPr>
                <w:rFonts w:hint="default" w:ascii="Times New Roman" w:hAnsi="Times New Roman" w:cs="Times New Roman"/>
                <w:color w:val="auto"/>
                <w:szCs w:val="22"/>
              </w:rPr>
              <w:t>，根据</w:t>
            </w:r>
            <w:r>
              <w:rPr>
                <w:rFonts w:hint="default" w:ascii="Times New Roman" w:hAnsi="Times New Roman" w:cs="Times New Roman"/>
                <w:bCs/>
                <w:color w:val="auto"/>
              </w:rPr>
              <w:t>《国民经济行业分类》（GB/T4754-2017）及其国家标准第1 号修改单，项目属于</w:t>
            </w:r>
            <w:r>
              <w:rPr>
                <w:rFonts w:hint="default" w:ascii="Times New Roman" w:hAnsi="Times New Roman" w:cs="Times New Roman"/>
                <w:color w:val="auto"/>
                <w:sz w:val="24"/>
                <w:lang w:val="en-US" w:eastAsia="zh-CN"/>
              </w:rPr>
              <w:t>C2919其他橡胶制品制造和C3525模具制造</w:t>
            </w:r>
            <w:r>
              <w:rPr>
                <w:rFonts w:hint="default" w:ascii="Times New Roman" w:hAnsi="Times New Roman" w:cs="Times New Roman"/>
                <w:bCs/>
                <w:color w:val="auto"/>
              </w:rPr>
              <w:t>，不属于</w:t>
            </w:r>
            <w:r>
              <w:rPr>
                <w:rFonts w:hint="default" w:ascii="Times New Roman" w:hAnsi="Times New Roman" w:cs="Times New Roman"/>
                <w:bCs/>
                <w:color w:val="auto"/>
                <w:sz w:val="24"/>
                <w:szCs w:val="24"/>
              </w:rPr>
              <w:t>《产业结构调整指导目录（20</w:t>
            </w:r>
            <w:r>
              <w:rPr>
                <w:rFonts w:hint="default" w:ascii="Times New Roman" w:hAnsi="Times New Roman" w:cs="Times New Roman"/>
                <w:bCs/>
                <w:color w:val="auto"/>
                <w:sz w:val="24"/>
                <w:szCs w:val="24"/>
                <w:lang w:val="en-US" w:eastAsia="zh-CN"/>
              </w:rPr>
              <w:t>24</w:t>
            </w:r>
            <w:r>
              <w:rPr>
                <w:rFonts w:hint="default" w:ascii="Times New Roman" w:hAnsi="Times New Roman" w:cs="Times New Roman"/>
                <w:bCs/>
                <w:color w:val="auto"/>
                <w:sz w:val="24"/>
                <w:szCs w:val="24"/>
              </w:rPr>
              <w:t>本）》（中华人民共和国国家发展和改革委员会令第7号）</w:t>
            </w:r>
            <w:r>
              <w:rPr>
                <w:rFonts w:hint="default" w:ascii="Times New Roman" w:hAnsi="Times New Roman" w:cs="Times New Roman"/>
                <w:bCs/>
                <w:color w:val="auto"/>
              </w:rPr>
              <w:t>中限制类、淘汰类项目，也不属于《市场准入负面清单（202</w:t>
            </w:r>
            <w:r>
              <w:rPr>
                <w:rFonts w:hint="default" w:ascii="Times New Roman" w:hAnsi="Times New Roman" w:cs="Times New Roman"/>
                <w:bCs/>
                <w:color w:val="auto"/>
                <w:lang w:val="en-US" w:eastAsia="zh-CN"/>
              </w:rPr>
              <w:t>5</w:t>
            </w:r>
            <w:r>
              <w:rPr>
                <w:rFonts w:hint="default" w:ascii="Times New Roman" w:hAnsi="Times New Roman" w:cs="Times New Roman"/>
                <w:bCs/>
                <w:color w:val="auto"/>
              </w:rPr>
              <w:t>年版）》中禁止类项目，可视为允许类项目，符合产业政策要求。</w:t>
            </w:r>
          </w:p>
          <w:p w14:paraId="4BDF893C">
            <w:pPr>
              <w:autoSpaceDE w:val="0"/>
              <w:autoSpaceDN w:val="0"/>
              <w:adjustRightInd w:val="0"/>
              <w:snapToGrid w:val="0"/>
              <w:spacing w:line="360" w:lineRule="auto"/>
              <w:rPr>
                <w:rFonts w:hint="default" w:ascii="Times New Roman" w:hAnsi="Times New Roman" w:eastAsia="宋体" w:cs="Times New Roman"/>
                <w:b/>
                <w:bCs/>
                <w:color w:val="auto"/>
                <w:kern w:val="0"/>
                <w:sz w:val="24"/>
                <w:szCs w:val="24"/>
              </w:rPr>
            </w:pPr>
            <w:r>
              <w:rPr>
                <w:rFonts w:hint="default" w:ascii="Times New Roman" w:hAnsi="Times New Roman" w:cs="Times New Roman"/>
                <w:b/>
                <w:bCs/>
                <w:color w:val="auto"/>
                <w:kern w:val="0"/>
                <w:sz w:val="24"/>
                <w:szCs w:val="24"/>
              </w:rPr>
              <w:t>2、</w:t>
            </w:r>
            <w:r>
              <w:rPr>
                <w:rFonts w:hint="default" w:ascii="Times New Roman" w:hAnsi="Times New Roman" w:eastAsia="宋体" w:cs="Times New Roman"/>
                <w:b/>
                <w:bCs/>
                <w:color w:val="auto"/>
                <w:kern w:val="0"/>
                <w:sz w:val="24"/>
                <w:szCs w:val="24"/>
              </w:rPr>
              <w:t>与</w:t>
            </w:r>
            <w:r>
              <w:rPr>
                <w:rFonts w:hint="default" w:ascii="Times New Roman" w:hAnsi="Times New Roman" w:eastAsia="宋体" w:cs="Times New Roman"/>
                <w:b/>
                <w:color w:val="auto"/>
                <w:sz w:val="24"/>
                <w:szCs w:val="24"/>
              </w:rPr>
              <w:t>《</w:t>
            </w:r>
            <w:r>
              <w:rPr>
                <w:rFonts w:hint="default" w:ascii="Times New Roman" w:hAnsi="Times New Roman" w:cs="Times New Roman"/>
                <w:b/>
                <w:color w:val="auto"/>
                <w:sz w:val="24"/>
                <w:szCs w:val="24"/>
                <w:lang w:eastAsia="zh-CN"/>
              </w:rPr>
              <w:t>博罗县</w:t>
            </w:r>
            <w:r>
              <w:rPr>
                <w:rFonts w:hint="default" w:ascii="Times New Roman" w:hAnsi="Times New Roman" w:eastAsia="宋体" w:cs="Times New Roman"/>
                <w:b/>
                <w:color w:val="auto"/>
                <w:sz w:val="24"/>
                <w:szCs w:val="24"/>
              </w:rPr>
              <w:t>“三线一单”生态环境分区管控方案的通知》</w:t>
            </w:r>
            <w:r>
              <w:rPr>
                <w:rFonts w:hint="default" w:ascii="Times New Roman" w:hAnsi="Times New Roman" w:eastAsia="宋体" w:cs="Times New Roman"/>
                <w:b/>
                <w:bCs/>
                <w:color w:val="auto"/>
                <w:kern w:val="0"/>
                <w:sz w:val="24"/>
                <w:szCs w:val="24"/>
              </w:rPr>
              <w:t>相符性分析</w:t>
            </w:r>
          </w:p>
          <w:p w14:paraId="2718B117">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val="0"/>
                <w:bCs w:val="0"/>
                <w:color w:val="auto"/>
                <w:position w:val="-6"/>
                <w:sz w:val="24"/>
                <w:szCs w:val="24"/>
                <w:lang w:val="en-US" w:eastAsia="zh-CN"/>
              </w:rPr>
              <w:t>根据《博罗县生态保护红线、环境质量底线、资源利用上线和环境准入清单研究报告》，以下简称《报告》，“三线一单”即生态保护红线及一般生态空间、环境质量底线、资源利用上线、生态环境准入清单。项目“三线一单”管理要求的符合性分析见下表：</w:t>
            </w:r>
          </w:p>
          <w:p w14:paraId="64568C2B">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kern w:val="2"/>
                <w:sz w:val="24"/>
                <w:szCs w:val="24"/>
                <w:lang w:val="en-US" w:eastAsia="zh-CN" w:bidi="ar-SA"/>
              </w:rPr>
              <w:t>表1-</w:t>
            </w:r>
            <w:r>
              <w:rPr>
                <w:rFonts w:hint="default" w:ascii="Times New Roman" w:hAnsi="Times New Roman" w:cs="Times New Roman"/>
                <w:b/>
                <w:bCs/>
                <w:color w:val="auto"/>
                <w:kern w:val="2"/>
                <w:sz w:val="24"/>
                <w:szCs w:val="24"/>
                <w:lang w:val="en-US" w:eastAsia="zh-CN" w:bidi="ar-SA"/>
              </w:rPr>
              <w:t>2</w:t>
            </w:r>
            <w:r>
              <w:rPr>
                <w:rFonts w:hint="default" w:ascii="Times New Roman" w:hAnsi="Times New Roman" w:eastAsia="宋体" w:cs="Times New Roman"/>
                <w:b/>
                <w:bCs/>
                <w:color w:val="auto"/>
                <w:kern w:val="2"/>
                <w:sz w:val="24"/>
                <w:szCs w:val="24"/>
                <w:lang w:val="en-US" w:eastAsia="zh-CN" w:bidi="ar-SA"/>
              </w:rPr>
              <w:t xml:space="preserve"> </w:t>
            </w:r>
            <w:r>
              <w:rPr>
                <w:rFonts w:hint="default" w:ascii="Times New Roman" w:hAnsi="Times New Roman" w:eastAsia="宋体" w:cs="Times New Roman"/>
                <w:b/>
                <w:bCs/>
                <w:color w:val="auto"/>
                <w:sz w:val="24"/>
                <w:szCs w:val="24"/>
              </w:rPr>
              <w:t>博罗县“三线一单”符合性对照分析情况</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747"/>
              <w:gridCol w:w="4017"/>
              <w:gridCol w:w="2930"/>
              <w:gridCol w:w="469"/>
            </w:tblGrid>
            <w:tr w14:paraId="543C4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182" w:type="dxa"/>
                  <w:gridSpan w:val="2"/>
                  <w:noWrap w:val="0"/>
                  <w:vAlign w:val="center"/>
                </w:tcPr>
                <w:p w14:paraId="2E7088E4">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
                    </w:rPr>
                    <w:t>“三线一单内容”</w:t>
                  </w:r>
                </w:p>
              </w:tc>
              <w:tc>
                <w:tcPr>
                  <w:tcW w:w="4017" w:type="dxa"/>
                  <w:noWrap w:val="0"/>
                  <w:vAlign w:val="center"/>
                </w:tcPr>
                <w:p w14:paraId="10599588">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cs="Times New Roman"/>
                      <w:b/>
                      <w:bCs/>
                      <w:color w:val="auto"/>
                      <w:kern w:val="2"/>
                      <w:sz w:val="21"/>
                      <w:szCs w:val="21"/>
                      <w:lang w:val="en-US" w:eastAsia="zh-CN" w:bidi="ar"/>
                    </w:rPr>
                    <w:t>清单要求</w:t>
                  </w:r>
                </w:p>
              </w:tc>
              <w:tc>
                <w:tcPr>
                  <w:tcW w:w="2930" w:type="dxa"/>
                  <w:noWrap w:val="0"/>
                  <w:vAlign w:val="center"/>
                </w:tcPr>
                <w:p w14:paraId="0495A84C">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对照分析</w:t>
                  </w:r>
                </w:p>
              </w:tc>
              <w:tc>
                <w:tcPr>
                  <w:tcW w:w="469" w:type="dxa"/>
                  <w:noWrap w:val="0"/>
                  <w:vAlign w:val="center"/>
                </w:tcPr>
                <w:p w14:paraId="19EBD633">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符合性</w:t>
                  </w:r>
                </w:p>
              </w:tc>
            </w:tr>
            <w:tr w14:paraId="4BC81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0" w:hRule="atLeast"/>
                <w:jc w:val="center"/>
              </w:trPr>
              <w:tc>
                <w:tcPr>
                  <w:tcW w:w="1182" w:type="dxa"/>
                  <w:gridSpan w:val="2"/>
                  <w:noWrap w:val="0"/>
                  <w:vAlign w:val="center"/>
                </w:tcPr>
                <w:p w14:paraId="4004CAA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SA"/>
                    </w:rPr>
                    <w:t>生态保护红线和一般生态空间</w:t>
                  </w:r>
                </w:p>
              </w:tc>
              <w:tc>
                <w:tcPr>
                  <w:tcW w:w="4017" w:type="dxa"/>
                  <w:noWrap w:val="0"/>
                  <w:vAlign w:val="center"/>
                </w:tcPr>
                <w:p w14:paraId="7629550A">
                  <w:pPr>
                    <w:kinsoku w:val="0"/>
                    <w:wordWrap/>
                    <w:autoSpaceDE w:val="0"/>
                    <w:autoSpaceDN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0"/>
                    </w:rPr>
                  </w:pPr>
                  <w:r>
                    <w:rPr>
                      <w:rFonts w:hint="default" w:ascii="Times New Roman" w:hAnsi="Times New Roman" w:eastAsia="宋体" w:cs="Times New Roman"/>
                      <w:b/>
                      <w:bCs/>
                      <w:snapToGrid w:val="0"/>
                      <w:color w:val="auto"/>
                      <w:kern w:val="0"/>
                      <w:sz w:val="21"/>
                      <w:szCs w:val="20"/>
                    </w:rPr>
                    <w:t>表1-</w:t>
                  </w:r>
                  <w:r>
                    <w:rPr>
                      <w:rFonts w:hint="default" w:ascii="Times New Roman" w:hAnsi="Times New Roman" w:cs="Times New Roman"/>
                      <w:b/>
                      <w:bCs/>
                      <w:snapToGrid w:val="0"/>
                      <w:color w:val="auto"/>
                      <w:kern w:val="0"/>
                      <w:sz w:val="21"/>
                      <w:szCs w:val="20"/>
                      <w:lang w:val="en-US" w:eastAsia="zh-CN"/>
                    </w:rPr>
                    <w:t>3</w:t>
                  </w:r>
                  <w:r>
                    <w:rPr>
                      <w:rFonts w:hint="default" w:ascii="Times New Roman" w:hAnsi="Times New Roman" w:eastAsia="宋体" w:cs="Times New Roman"/>
                      <w:b/>
                      <w:bCs/>
                      <w:snapToGrid w:val="0"/>
                      <w:color w:val="auto"/>
                      <w:kern w:val="0"/>
                      <w:sz w:val="21"/>
                      <w:szCs w:val="20"/>
                    </w:rPr>
                    <w:t xml:space="preserve"> 园洲镇生态空间管控分区面积</w:t>
                  </w:r>
                </w:p>
                <w:p w14:paraId="60CF46F6">
                  <w:pPr>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b/>
                      <w:bCs/>
                      <w:snapToGrid w:val="0"/>
                      <w:color w:val="auto"/>
                      <w:kern w:val="0"/>
                      <w:sz w:val="21"/>
                      <w:szCs w:val="20"/>
                    </w:rPr>
                    <w:t>（平方公</w:t>
                  </w:r>
                  <w:r>
                    <w:rPr>
                      <w:rFonts w:hint="default" w:ascii="Times New Roman" w:hAnsi="Times New Roman" w:eastAsia="宋体" w:cs="Times New Roman"/>
                      <w:b/>
                      <w:bCs/>
                      <w:snapToGrid w:val="0"/>
                      <w:color w:val="auto"/>
                      <w:spacing w:val="-3"/>
                      <w:kern w:val="0"/>
                      <w:sz w:val="21"/>
                      <w:szCs w:val="20"/>
                    </w:rPr>
                    <w:t>里）</w:t>
                  </w:r>
                </w:p>
                <w:tbl>
                  <w:tblPr>
                    <w:tblStyle w:val="83"/>
                    <w:tblW w:w="3659" w:type="dxa"/>
                    <w:tblInd w:w="10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12"/>
                    <w:gridCol w:w="1647"/>
                  </w:tblGrid>
                  <w:tr w14:paraId="493F16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2012" w:type="dxa"/>
                        <w:vAlign w:val="center"/>
                      </w:tcPr>
                      <w:p w14:paraId="62AA6006">
                        <w:pPr>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lang w:eastAsia="en-US"/>
                          </w:rPr>
                        </w:pPr>
                        <w:r>
                          <w:rPr>
                            <w:rFonts w:hint="default" w:ascii="Times New Roman" w:hAnsi="Times New Roman" w:eastAsia="宋体" w:cs="Times New Roman"/>
                            <w:snapToGrid w:val="0"/>
                            <w:color w:val="auto"/>
                            <w:spacing w:val="7"/>
                            <w:kern w:val="0"/>
                            <w:sz w:val="21"/>
                            <w:szCs w:val="20"/>
                            <w:lang w:eastAsia="en-US"/>
                          </w:rPr>
                          <w:t>生态保护红线</w:t>
                        </w:r>
                      </w:p>
                    </w:tc>
                    <w:tc>
                      <w:tcPr>
                        <w:tcW w:w="1647" w:type="dxa"/>
                        <w:vAlign w:val="center"/>
                      </w:tcPr>
                      <w:p w14:paraId="1F02D497">
                        <w:pPr>
                          <w:widowControl/>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lang w:eastAsia="en-US"/>
                          </w:rPr>
                        </w:pPr>
                        <w:r>
                          <w:rPr>
                            <w:rFonts w:hint="default" w:ascii="Times New Roman" w:hAnsi="Times New Roman" w:eastAsia="宋体" w:cs="Times New Roman"/>
                            <w:snapToGrid w:val="0"/>
                            <w:color w:val="auto"/>
                            <w:kern w:val="0"/>
                            <w:sz w:val="21"/>
                            <w:szCs w:val="20"/>
                            <w:lang w:eastAsia="en-US"/>
                          </w:rPr>
                          <w:t>0</w:t>
                        </w:r>
                      </w:p>
                    </w:tc>
                  </w:tr>
                  <w:tr w14:paraId="6FBEF3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2012" w:type="dxa"/>
                        <w:vAlign w:val="center"/>
                      </w:tcPr>
                      <w:p w14:paraId="7BD9B339">
                        <w:pPr>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lang w:eastAsia="en-US"/>
                          </w:rPr>
                        </w:pPr>
                        <w:r>
                          <w:rPr>
                            <w:rFonts w:hint="default" w:ascii="Times New Roman" w:hAnsi="Times New Roman" w:eastAsia="宋体" w:cs="Times New Roman"/>
                            <w:snapToGrid w:val="0"/>
                            <w:color w:val="auto"/>
                            <w:spacing w:val="7"/>
                            <w:kern w:val="0"/>
                            <w:sz w:val="21"/>
                            <w:szCs w:val="20"/>
                            <w:lang w:eastAsia="en-US"/>
                          </w:rPr>
                          <w:t>一般生态空间</w:t>
                        </w:r>
                      </w:p>
                    </w:tc>
                    <w:tc>
                      <w:tcPr>
                        <w:tcW w:w="1647" w:type="dxa"/>
                        <w:vAlign w:val="center"/>
                      </w:tcPr>
                      <w:p w14:paraId="06056D27">
                        <w:pPr>
                          <w:widowControl/>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lang w:eastAsia="en-US"/>
                          </w:rPr>
                        </w:pPr>
                        <w:r>
                          <w:rPr>
                            <w:rFonts w:hint="default" w:ascii="Times New Roman" w:hAnsi="Times New Roman" w:eastAsia="宋体" w:cs="Times New Roman"/>
                            <w:snapToGrid w:val="0"/>
                            <w:color w:val="auto"/>
                            <w:spacing w:val="3"/>
                            <w:kern w:val="0"/>
                            <w:sz w:val="21"/>
                            <w:szCs w:val="20"/>
                            <w:lang w:eastAsia="en-US"/>
                          </w:rPr>
                          <w:t>3.086</w:t>
                        </w:r>
                      </w:p>
                    </w:tc>
                  </w:tr>
                  <w:tr w14:paraId="792A5F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trPr>
                    <w:tc>
                      <w:tcPr>
                        <w:tcW w:w="2012" w:type="dxa"/>
                        <w:vAlign w:val="center"/>
                      </w:tcPr>
                      <w:p w14:paraId="33F953DA">
                        <w:pPr>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lang w:eastAsia="en-US"/>
                          </w:rPr>
                        </w:pPr>
                        <w:r>
                          <w:rPr>
                            <w:rFonts w:hint="default" w:ascii="Times New Roman" w:hAnsi="Times New Roman" w:eastAsia="宋体" w:cs="Times New Roman"/>
                            <w:snapToGrid w:val="0"/>
                            <w:color w:val="auto"/>
                            <w:spacing w:val="8"/>
                            <w:kern w:val="0"/>
                            <w:sz w:val="21"/>
                            <w:szCs w:val="20"/>
                            <w:lang w:eastAsia="en-US"/>
                          </w:rPr>
                          <w:t>生态空间一般管控区</w:t>
                        </w:r>
                      </w:p>
                    </w:tc>
                    <w:tc>
                      <w:tcPr>
                        <w:tcW w:w="1647" w:type="dxa"/>
                        <w:vAlign w:val="center"/>
                      </w:tcPr>
                      <w:p w14:paraId="72D7D804">
                        <w:pPr>
                          <w:widowControl/>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lang w:eastAsia="en-US"/>
                          </w:rPr>
                        </w:pPr>
                        <w:r>
                          <w:rPr>
                            <w:rFonts w:hint="default" w:ascii="Times New Roman" w:hAnsi="Times New Roman" w:eastAsia="宋体" w:cs="Times New Roman"/>
                            <w:snapToGrid w:val="0"/>
                            <w:color w:val="auto"/>
                            <w:spacing w:val="1"/>
                            <w:kern w:val="0"/>
                            <w:sz w:val="21"/>
                            <w:szCs w:val="20"/>
                            <w:lang w:eastAsia="en-US"/>
                          </w:rPr>
                          <w:t>107.630</w:t>
                        </w:r>
                      </w:p>
                    </w:tc>
                  </w:tr>
                </w:tbl>
                <w:p w14:paraId="550D2CE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2930" w:type="dxa"/>
                  <w:noWrap w:val="0"/>
                  <w:vAlign w:val="center"/>
                </w:tcPr>
                <w:p w14:paraId="59ACD809">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kern w:val="2"/>
                      <w:sz w:val="21"/>
                      <w:szCs w:val="21"/>
                      <w:lang w:val="en-US" w:eastAsia="zh-CN" w:bidi="ar"/>
                    </w:rPr>
                    <w:t>项目选址位于博罗县园洲镇博罗智能装备产业园园洲片区绿化北路3号(4-a/4-b号厂房601/701楼)，根据《博罗县“三线一单”生态环境分区管控图集》（以下简称《图集》）生态空间最终划定情况（见附图10），项目所在地属于生态空间一般管控区。</w:t>
                  </w:r>
                </w:p>
              </w:tc>
              <w:tc>
                <w:tcPr>
                  <w:tcW w:w="469" w:type="dxa"/>
                  <w:noWrap w:val="0"/>
                  <w:vAlign w:val="center"/>
                </w:tcPr>
                <w:p w14:paraId="01CCE43B">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符合</w:t>
                  </w:r>
                </w:p>
              </w:tc>
            </w:tr>
            <w:tr w14:paraId="20B48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4" w:hRule="atLeast"/>
                <w:jc w:val="center"/>
              </w:trPr>
              <w:tc>
                <w:tcPr>
                  <w:tcW w:w="435" w:type="dxa"/>
                  <w:vMerge w:val="restart"/>
                  <w:noWrap w:val="0"/>
                  <w:vAlign w:val="center"/>
                </w:tcPr>
                <w:p w14:paraId="5C0438A6">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SA"/>
                    </w:rPr>
                    <w:t>环境质量底线</w:t>
                  </w:r>
                </w:p>
              </w:tc>
              <w:tc>
                <w:tcPr>
                  <w:tcW w:w="747" w:type="dxa"/>
                  <w:noWrap w:val="0"/>
                  <w:vAlign w:val="center"/>
                </w:tcPr>
                <w:p w14:paraId="1DB70466">
                  <w:pPr>
                    <w:keepNext w:val="0"/>
                    <w:keepLines w:val="0"/>
                    <w:pageBreakBefore w:val="0"/>
                    <w:widowControl w:val="0"/>
                    <w:kinsoku/>
                    <w:wordWrap w:val="0"/>
                    <w:overflowPunct/>
                    <w:topLinePunct w:val="0"/>
                    <w:autoSpaceDE/>
                    <w:autoSpaceDN/>
                    <w:bidi w:val="0"/>
                    <w:adjustRightInd/>
                    <w:snapToGrid/>
                    <w:spacing w:before="0" w:line="240" w:lineRule="auto"/>
                    <w:ind w:lef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大气环境质量底线及管控分区</w:t>
                  </w:r>
                </w:p>
              </w:tc>
              <w:tc>
                <w:tcPr>
                  <w:tcW w:w="4017" w:type="dxa"/>
                  <w:noWrap w:val="0"/>
                  <w:vAlign w:val="center"/>
                </w:tcPr>
                <w:p w14:paraId="32D75413">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1"/>
                    </w:rPr>
                  </w:pPr>
                  <w:r>
                    <w:rPr>
                      <w:rFonts w:hint="default" w:ascii="Times New Roman" w:hAnsi="Times New Roman" w:cs="Times New Roman"/>
                      <w:b/>
                      <w:bCs/>
                      <w:snapToGrid w:val="0"/>
                      <w:color w:val="auto"/>
                      <w:spacing w:val="-2"/>
                      <w:kern w:val="0"/>
                      <w:sz w:val="21"/>
                      <w:szCs w:val="20"/>
                    </w:rPr>
                    <w:t>表1-</w:t>
                  </w:r>
                  <w:r>
                    <w:rPr>
                      <w:rFonts w:hint="default" w:ascii="Times New Roman" w:hAnsi="Times New Roman" w:cs="Times New Roman"/>
                      <w:b/>
                      <w:bCs/>
                      <w:snapToGrid w:val="0"/>
                      <w:color w:val="auto"/>
                      <w:spacing w:val="-2"/>
                      <w:kern w:val="0"/>
                      <w:sz w:val="21"/>
                      <w:szCs w:val="20"/>
                      <w:lang w:val="en-US" w:eastAsia="zh-CN"/>
                    </w:rPr>
                    <w:t>4</w:t>
                  </w:r>
                  <w:r>
                    <w:rPr>
                      <w:rFonts w:hint="default" w:ascii="Times New Roman" w:hAnsi="Times New Roman" w:cs="Times New Roman"/>
                      <w:b/>
                      <w:bCs/>
                      <w:snapToGrid w:val="0"/>
                      <w:color w:val="auto"/>
                      <w:spacing w:val="-2"/>
                      <w:kern w:val="0"/>
                      <w:sz w:val="21"/>
                      <w:szCs w:val="20"/>
                    </w:rPr>
                    <w:t xml:space="preserve"> 园洲镇大气环境质量底线统计表（面积：</w:t>
                  </w:r>
                  <w:r>
                    <w:rPr>
                      <w:rFonts w:hint="default" w:ascii="Times New Roman" w:hAnsi="Times New Roman" w:cs="Times New Roman"/>
                      <w:b/>
                      <w:bCs/>
                      <w:snapToGrid w:val="0"/>
                      <w:color w:val="auto"/>
                      <w:kern w:val="0"/>
                      <w:sz w:val="21"/>
                      <w:szCs w:val="20"/>
                    </w:rPr>
                    <w:t>km</w:t>
                  </w:r>
                  <w:r>
                    <w:rPr>
                      <w:rFonts w:hint="default" w:ascii="Times New Roman" w:hAnsi="Times New Roman" w:cs="Times New Roman"/>
                      <w:b/>
                      <w:bCs/>
                      <w:snapToGrid w:val="0"/>
                      <w:color w:val="auto"/>
                      <w:kern w:val="0"/>
                      <w:sz w:val="21"/>
                      <w:szCs w:val="20"/>
                      <w:vertAlign w:val="superscript"/>
                    </w:rPr>
                    <w:t>2</w:t>
                  </w:r>
                  <w:r>
                    <w:rPr>
                      <w:rFonts w:hint="default" w:ascii="Times New Roman" w:hAnsi="Times New Roman" w:cs="Times New Roman"/>
                      <w:b/>
                      <w:bCs/>
                      <w:snapToGrid w:val="0"/>
                      <w:color w:val="auto"/>
                      <w:spacing w:val="4"/>
                      <w:kern w:val="0"/>
                      <w:sz w:val="21"/>
                      <w:szCs w:val="20"/>
                    </w:rPr>
                    <w:t>）</w:t>
                  </w:r>
                </w:p>
                <w:tbl>
                  <w:tblPr>
                    <w:tblStyle w:val="83"/>
                    <w:tblW w:w="3679" w:type="dxa"/>
                    <w:tblInd w:w="10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26"/>
                    <w:gridCol w:w="853"/>
                  </w:tblGrid>
                  <w:tr w14:paraId="32CFC6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2826" w:type="dxa"/>
                        <w:vAlign w:val="center"/>
                      </w:tcPr>
                      <w:p w14:paraId="0177D7D9">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8"/>
                            <w:kern w:val="0"/>
                            <w:sz w:val="21"/>
                            <w:szCs w:val="20"/>
                          </w:rPr>
                          <w:t>大气环境优先保护区面积</w:t>
                        </w:r>
                      </w:p>
                    </w:tc>
                    <w:tc>
                      <w:tcPr>
                        <w:tcW w:w="853" w:type="dxa"/>
                        <w:vAlign w:val="center"/>
                      </w:tcPr>
                      <w:p w14:paraId="10766F95">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kern w:val="0"/>
                            <w:sz w:val="21"/>
                            <w:szCs w:val="20"/>
                            <w:lang w:eastAsia="en-US"/>
                          </w:rPr>
                          <w:t>0</w:t>
                        </w:r>
                      </w:p>
                    </w:tc>
                  </w:tr>
                  <w:tr w14:paraId="1DCF5F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2826" w:type="dxa"/>
                        <w:vAlign w:val="center"/>
                      </w:tcPr>
                      <w:p w14:paraId="502319ED">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9"/>
                            <w:kern w:val="0"/>
                            <w:sz w:val="21"/>
                            <w:szCs w:val="20"/>
                          </w:rPr>
                          <w:t>大气环境布局敏感重点管控区面</w:t>
                        </w:r>
                        <w:r>
                          <w:rPr>
                            <w:rFonts w:hint="default" w:ascii="Times New Roman" w:hAnsi="Times New Roman" w:cs="Times New Roman"/>
                            <w:snapToGrid w:val="0"/>
                            <w:color w:val="auto"/>
                            <w:kern w:val="0"/>
                            <w:sz w:val="21"/>
                            <w:szCs w:val="20"/>
                          </w:rPr>
                          <w:t>积</w:t>
                        </w:r>
                      </w:p>
                    </w:tc>
                    <w:tc>
                      <w:tcPr>
                        <w:tcW w:w="853" w:type="dxa"/>
                        <w:vAlign w:val="center"/>
                      </w:tcPr>
                      <w:p w14:paraId="20A303D0">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kern w:val="0"/>
                            <w:sz w:val="21"/>
                            <w:szCs w:val="20"/>
                            <w:lang w:eastAsia="en-US"/>
                          </w:rPr>
                          <w:t>0</w:t>
                        </w:r>
                      </w:p>
                    </w:tc>
                  </w:tr>
                  <w:tr w14:paraId="3CD9D8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2826" w:type="dxa"/>
                        <w:vAlign w:val="center"/>
                      </w:tcPr>
                      <w:p w14:paraId="625BA822">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9"/>
                            <w:kern w:val="0"/>
                            <w:sz w:val="21"/>
                            <w:szCs w:val="20"/>
                          </w:rPr>
                          <w:t>大气环境高排放重点管控区面积</w:t>
                        </w:r>
                      </w:p>
                    </w:tc>
                    <w:tc>
                      <w:tcPr>
                        <w:tcW w:w="853" w:type="dxa"/>
                        <w:vAlign w:val="center"/>
                      </w:tcPr>
                      <w:p w14:paraId="4DD62922">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kern w:val="0"/>
                            <w:sz w:val="21"/>
                            <w:szCs w:val="20"/>
                            <w:lang w:eastAsia="en-US"/>
                          </w:rPr>
                          <w:t>110.716</w:t>
                        </w:r>
                      </w:p>
                    </w:tc>
                  </w:tr>
                  <w:tr w14:paraId="1728C6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2826" w:type="dxa"/>
                        <w:vAlign w:val="center"/>
                      </w:tcPr>
                      <w:p w14:paraId="0D80E97C">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9"/>
                            <w:kern w:val="0"/>
                            <w:sz w:val="21"/>
                            <w:szCs w:val="20"/>
                          </w:rPr>
                          <w:t>大气环境弱扩散重点管控区面积</w:t>
                        </w:r>
                      </w:p>
                    </w:tc>
                    <w:tc>
                      <w:tcPr>
                        <w:tcW w:w="853" w:type="dxa"/>
                        <w:vAlign w:val="center"/>
                      </w:tcPr>
                      <w:p w14:paraId="5BCF77CF">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kern w:val="0"/>
                            <w:sz w:val="21"/>
                            <w:szCs w:val="20"/>
                            <w:lang w:eastAsia="en-US"/>
                          </w:rPr>
                          <w:t>0</w:t>
                        </w:r>
                      </w:p>
                    </w:tc>
                  </w:tr>
                  <w:tr w14:paraId="71EC4A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2826" w:type="dxa"/>
                        <w:vAlign w:val="center"/>
                      </w:tcPr>
                      <w:p w14:paraId="4ECCCE25">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8"/>
                            <w:kern w:val="0"/>
                            <w:sz w:val="21"/>
                            <w:szCs w:val="20"/>
                          </w:rPr>
                          <w:t>大气环境一般管控区面积</w:t>
                        </w:r>
                      </w:p>
                    </w:tc>
                    <w:tc>
                      <w:tcPr>
                        <w:tcW w:w="853" w:type="dxa"/>
                        <w:vAlign w:val="center"/>
                      </w:tcPr>
                      <w:p w14:paraId="5708552D">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kern w:val="0"/>
                            <w:sz w:val="21"/>
                            <w:szCs w:val="20"/>
                            <w:lang w:eastAsia="en-US"/>
                          </w:rPr>
                          <w:t>0</w:t>
                        </w:r>
                      </w:p>
                    </w:tc>
                  </w:tr>
                </w:tbl>
                <w:p w14:paraId="248C48E2">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21"/>
                      <w:szCs w:val="21"/>
                      <w:lang w:val="en-US" w:eastAsia="zh-CN"/>
                    </w:rPr>
                  </w:pPr>
                </w:p>
              </w:tc>
              <w:tc>
                <w:tcPr>
                  <w:tcW w:w="2930" w:type="dxa"/>
                  <w:noWrap w:val="0"/>
                  <w:vAlign w:val="center"/>
                </w:tcPr>
                <w:p w14:paraId="7A3604DA">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b w:val="0"/>
                      <w:bCs w:val="0"/>
                      <w:color w:val="auto"/>
                      <w:sz w:val="21"/>
                      <w:szCs w:val="21"/>
                      <w:highlight w:val="none"/>
                    </w:rPr>
                    <w:t>本项目</w:t>
                  </w:r>
                  <w:r>
                    <w:rPr>
                      <w:rFonts w:hint="default" w:ascii="Times New Roman" w:hAnsi="Times New Roman" w:eastAsia="宋体" w:cs="Times New Roman"/>
                      <w:b w:val="0"/>
                      <w:bCs w:val="0"/>
                      <w:color w:val="auto"/>
                      <w:sz w:val="21"/>
                      <w:szCs w:val="21"/>
                      <w:highlight w:val="none"/>
                      <w:lang w:val="en-US" w:eastAsia="zh-CN"/>
                    </w:rPr>
                    <w:t>位于</w:t>
                  </w:r>
                  <w:r>
                    <w:rPr>
                      <w:rFonts w:hint="default" w:ascii="Times New Roman" w:hAnsi="Times New Roman" w:cs="Times New Roman"/>
                      <w:b w:val="0"/>
                      <w:bCs w:val="0"/>
                      <w:color w:val="auto"/>
                      <w:sz w:val="21"/>
                      <w:szCs w:val="21"/>
                      <w:highlight w:val="none"/>
                      <w:lang w:val="en-US" w:eastAsia="zh-CN"/>
                    </w:rPr>
                    <w:t>博罗县园洲镇博罗智能装备产业园园洲片区绿化北路3号(4-a/4-b号厂房601/701楼)</w:t>
                  </w:r>
                  <w:r>
                    <w:rPr>
                      <w:rFonts w:hint="default" w:ascii="Times New Roman" w:hAnsi="Times New Roman" w:eastAsia="宋体" w:cs="Times New Roman"/>
                      <w:b w:val="0"/>
                      <w:bCs w:val="0"/>
                      <w:color w:val="auto"/>
                      <w:spacing w:val="-9"/>
                      <w:sz w:val="21"/>
                      <w:szCs w:val="21"/>
                    </w:rPr>
                    <w:t>，</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根据《博罗县“三线一单”生态环境分区管控图集》（以下简称《图集》）（见附图1</w:t>
                  </w:r>
                  <w:r>
                    <w:rPr>
                      <w:rFonts w:hint="default" w:ascii="Times New Roman" w:hAnsi="Times New Roman"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lang w:val="en-US" w:eastAsia="zh-CN"/>
                    </w:rPr>
                    <w:t>），项目所在地属于大气环境高排放重点管控区。</w:t>
                  </w:r>
                </w:p>
              </w:tc>
              <w:tc>
                <w:tcPr>
                  <w:tcW w:w="469" w:type="dxa"/>
                  <w:vMerge w:val="restart"/>
                  <w:noWrap w:val="0"/>
                  <w:vAlign w:val="center"/>
                </w:tcPr>
                <w:p w14:paraId="428BC684">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符合</w:t>
                  </w:r>
                </w:p>
              </w:tc>
            </w:tr>
            <w:tr w14:paraId="1D562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0" w:hRule="atLeast"/>
                <w:jc w:val="center"/>
              </w:trPr>
              <w:tc>
                <w:tcPr>
                  <w:tcW w:w="435" w:type="dxa"/>
                  <w:vMerge w:val="continue"/>
                  <w:noWrap w:val="0"/>
                  <w:vAlign w:val="center"/>
                </w:tcPr>
                <w:p w14:paraId="1A6F5365">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747" w:type="dxa"/>
                  <w:noWrap w:val="0"/>
                  <w:vAlign w:val="center"/>
                </w:tcPr>
                <w:p w14:paraId="691E3D16">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地表水环境质量底线及管控分区</w:t>
                  </w:r>
                </w:p>
              </w:tc>
              <w:tc>
                <w:tcPr>
                  <w:tcW w:w="4017" w:type="dxa"/>
                  <w:noWrap w:val="0"/>
                  <w:vAlign w:val="center"/>
                </w:tcPr>
                <w:p w14:paraId="14D0F8BC">
                  <w:pPr>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b/>
                      <w:bCs/>
                      <w:snapToGrid w:val="0"/>
                      <w:color w:val="auto"/>
                      <w:spacing w:val="3"/>
                      <w:kern w:val="0"/>
                      <w:sz w:val="21"/>
                      <w:szCs w:val="20"/>
                    </w:rPr>
                    <w:t>表1-</w:t>
                  </w:r>
                  <w:r>
                    <w:rPr>
                      <w:rFonts w:hint="default" w:ascii="Times New Roman" w:hAnsi="Times New Roman" w:cs="Times New Roman"/>
                      <w:b/>
                      <w:bCs/>
                      <w:snapToGrid w:val="0"/>
                      <w:color w:val="auto"/>
                      <w:spacing w:val="3"/>
                      <w:kern w:val="0"/>
                      <w:sz w:val="21"/>
                      <w:szCs w:val="20"/>
                      <w:lang w:val="en-US" w:eastAsia="zh-CN"/>
                    </w:rPr>
                    <w:t>5</w:t>
                  </w:r>
                  <w:r>
                    <w:rPr>
                      <w:rFonts w:hint="default" w:ascii="Times New Roman" w:hAnsi="Times New Roman" w:eastAsia="宋体" w:cs="Times New Roman"/>
                      <w:b/>
                      <w:bCs/>
                      <w:snapToGrid w:val="0"/>
                      <w:color w:val="auto"/>
                      <w:spacing w:val="3"/>
                      <w:kern w:val="0"/>
                      <w:sz w:val="21"/>
                      <w:szCs w:val="20"/>
                    </w:rPr>
                    <w:t xml:space="preserve"> 园洲镇水环境质量底线统计表（面积：</w:t>
                  </w:r>
                  <w:r>
                    <w:rPr>
                      <w:rFonts w:hint="default" w:ascii="Times New Roman" w:hAnsi="Times New Roman" w:eastAsia="宋体" w:cs="Times New Roman"/>
                      <w:b/>
                      <w:bCs/>
                      <w:snapToGrid w:val="0"/>
                      <w:color w:val="auto"/>
                      <w:kern w:val="0"/>
                      <w:sz w:val="21"/>
                      <w:szCs w:val="20"/>
                    </w:rPr>
                    <w:t>km</w:t>
                  </w:r>
                  <w:r>
                    <w:rPr>
                      <w:rFonts w:hint="default" w:ascii="Times New Roman" w:hAnsi="Times New Roman" w:eastAsia="宋体" w:cs="Times New Roman"/>
                      <w:b/>
                      <w:bCs/>
                      <w:snapToGrid w:val="0"/>
                      <w:color w:val="auto"/>
                      <w:kern w:val="0"/>
                      <w:sz w:val="21"/>
                      <w:szCs w:val="20"/>
                      <w:vertAlign w:val="superscript"/>
                    </w:rPr>
                    <w:t>2</w:t>
                  </w:r>
                  <w:r>
                    <w:rPr>
                      <w:rFonts w:hint="default" w:ascii="Times New Roman" w:hAnsi="Times New Roman" w:eastAsia="宋体" w:cs="Times New Roman"/>
                      <w:b/>
                      <w:bCs/>
                      <w:snapToGrid w:val="0"/>
                      <w:color w:val="auto"/>
                      <w:spacing w:val="4"/>
                      <w:kern w:val="0"/>
                      <w:sz w:val="21"/>
                      <w:szCs w:val="20"/>
                    </w:rPr>
                    <w:t>）</w:t>
                  </w:r>
                </w:p>
                <w:tbl>
                  <w:tblPr>
                    <w:tblStyle w:val="83"/>
                    <w:tblW w:w="3619" w:type="dxa"/>
                    <w:tblInd w:w="10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91"/>
                    <w:gridCol w:w="828"/>
                  </w:tblGrid>
                  <w:tr w14:paraId="204238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2791" w:type="dxa"/>
                        <w:vAlign w:val="center"/>
                      </w:tcPr>
                      <w:p w14:paraId="568BFAE5">
                        <w:pPr>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rPr>
                        </w:pPr>
                        <w:r>
                          <w:rPr>
                            <w:rFonts w:hint="default" w:ascii="Times New Roman" w:hAnsi="Times New Roman" w:eastAsia="宋体" w:cs="Times New Roman"/>
                            <w:snapToGrid w:val="0"/>
                            <w:color w:val="auto"/>
                            <w:spacing w:val="8"/>
                            <w:kern w:val="0"/>
                            <w:sz w:val="21"/>
                            <w:szCs w:val="20"/>
                          </w:rPr>
                          <w:t>水环境优先保护区面积</w:t>
                        </w:r>
                      </w:p>
                    </w:tc>
                    <w:tc>
                      <w:tcPr>
                        <w:tcW w:w="828" w:type="dxa"/>
                        <w:vAlign w:val="center"/>
                      </w:tcPr>
                      <w:p w14:paraId="466F3584">
                        <w:pPr>
                          <w:widowControl/>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lang w:eastAsia="en-US"/>
                          </w:rPr>
                        </w:pPr>
                        <w:r>
                          <w:rPr>
                            <w:rFonts w:hint="default" w:ascii="Times New Roman" w:hAnsi="Times New Roman" w:eastAsia="宋体" w:cs="Times New Roman"/>
                            <w:snapToGrid w:val="0"/>
                            <w:color w:val="auto"/>
                            <w:kern w:val="0"/>
                            <w:sz w:val="21"/>
                            <w:szCs w:val="20"/>
                            <w:lang w:eastAsia="en-US"/>
                          </w:rPr>
                          <w:t>0</w:t>
                        </w:r>
                      </w:p>
                    </w:tc>
                  </w:tr>
                  <w:tr w14:paraId="0B6F04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2791" w:type="dxa"/>
                        <w:vAlign w:val="center"/>
                      </w:tcPr>
                      <w:p w14:paraId="4439EA4E">
                        <w:pPr>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rPr>
                        </w:pPr>
                        <w:r>
                          <w:rPr>
                            <w:rFonts w:hint="default" w:ascii="Times New Roman" w:hAnsi="Times New Roman" w:eastAsia="宋体" w:cs="Times New Roman"/>
                            <w:snapToGrid w:val="0"/>
                            <w:color w:val="auto"/>
                            <w:spacing w:val="9"/>
                            <w:kern w:val="0"/>
                            <w:sz w:val="21"/>
                            <w:szCs w:val="20"/>
                          </w:rPr>
                          <w:t>水环境生活污染重点管控区面积</w:t>
                        </w:r>
                      </w:p>
                    </w:tc>
                    <w:tc>
                      <w:tcPr>
                        <w:tcW w:w="828" w:type="dxa"/>
                        <w:vAlign w:val="center"/>
                      </w:tcPr>
                      <w:p w14:paraId="14E8319F">
                        <w:pPr>
                          <w:widowControl/>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lang w:eastAsia="en-US"/>
                          </w:rPr>
                        </w:pPr>
                        <w:r>
                          <w:rPr>
                            <w:rFonts w:hint="default" w:ascii="Times New Roman" w:hAnsi="Times New Roman" w:eastAsia="宋体" w:cs="Times New Roman"/>
                            <w:snapToGrid w:val="0"/>
                            <w:color w:val="auto"/>
                            <w:spacing w:val="3"/>
                            <w:kern w:val="0"/>
                            <w:sz w:val="21"/>
                            <w:szCs w:val="20"/>
                            <w:lang w:eastAsia="en-US"/>
                          </w:rPr>
                          <w:t>45.964</w:t>
                        </w:r>
                      </w:p>
                    </w:tc>
                  </w:tr>
                  <w:tr w14:paraId="68A0B4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2791" w:type="dxa"/>
                        <w:vAlign w:val="center"/>
                      </w:tcPr>
                      <w:p w14:paraId="61AB65B6">
                        <w:pPr>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rPr>
                        </w:pPr>
                        <w:r>
                          <w:rPr>
                            <w:rFonts w:hint="default" w:ascii="Times New Roman" w:hAnsi="Times New Roman" w:eastAsia="宋体" w:cs="Times New Roman"/>
                            <w:snapToGrid w:val="0"/>
                            <w:color w:val="auto"/>
                            <w:spacing w:val="9"/>
                            <w:kern w:val="0"/>
                            <w:sz w:val="21"/>
                            <w:szCs w:val="20"/>
                          </w:rPr>
                          <w:t>水环境工业污染重点管控区面积</w:t>
                        </w:r>
                      </w:p>
                    </w:tc>
                    <w:tc>
                      <w:tcPr>
                        <w:tcW w:w="828" w:type="dxa"/>
                        <w:vAlign w:val="center"/>
                      </w:tcPr>
                      <w:p w14:paraId="1DFA20D4">
                        <w:pPr>
                          <w:widowControl/>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lang w:eastAsia="en-US"/>
                          </w:rPr>
                        </w:pPr>
                        <w:r>
                          <w:rPr>
                            <w:rFonts w:hint="default" w:ascii="Times New Roman" w:hAnsi="Times New Roman" w:eastAsia="宋体" w:cs="Times New Roman"/>
                            <w:snapToGrid w:val="0"/>
                            <w:color w:val="auto"/>
                            <w:spacing w:val="3"/>
                            <w:kern w:val="0"/>
                            <w:sz w:val="21"/>
                            <w:szCs w:val="20"/>
                            <w:lang w:eastAsia="en-US"/>
                          </w:rPr>
                          <w:t>28.062</w:t>
                        </w:r>
                      </w:p>
                    </w:tc>
                  </w:tr>
                  <w:tr w14:paraId="4F41B7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2791" w:type="dxa"/>
                        <w:vAlign w:val="center"/>
                      </w:tcPr>
                      <w:p w14:paraId="1EEA0893">
                        <w:pPr>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rPr>
                        </w:pPr>
                        <w:r>
                          <w:rPr>
                            <w:rFonts w:hint="default" w:ascii="Times New Roman" w:hAnsi="Times New Roman" w:eastAsia="宋体" w:cs="Times New Roman"/>
                            <w:snapToGrid w:val="0"/>
                            <w:color w:val="auto"/>
                            <w:spacing w:val="8"/>
                            <w:kern w:val="0"/>
                            <w:sz w:val="21"/>
                            <w:szCs w:val="20"/>
                          </w:rPr>
                          <w:t>水环境一般管控区面积</w:t>
                        </w:r>
                      </w:p>
                    </w:tc>
                    <w:tc>
                      <w:tcPr>
                        <w:tcW w:w="828" w:type="dxa"/>
                        <w:vAlign w:val="center"/>
                      </w:tcPr>
                      <w:p w14:paraId="0B910DB6">
                        <w:pPr>
                          <w:widowControl/>
                          <w:kinsoku w:val="0"/>
                          <w:wordWrap/>
                          <w:autoSpaceDE w:val="0"/>
                          <w:autoSpaceDN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0"/>
                            <w:lang w:eastAsia="en-US"/>
                          </w:rPr>
                        </w:pPr>
                        <w:r>
                          <w:rPr>
                            <w:rFonts w:hint="default" w:ascii="Times New Roman" w:hAnsi="Times New Roman" w:eastAsia="宋体" w:cs="Times New Roman"/>
                            <w:snapToGrid w:val="0"/>
                            <w:color w:val="auto"/>
                            <w:spacing w:val="3"/>
                            <w:kern w:val="0"/>
                            <w:sz w:val="21"/>
                            <w:szCs w:val="20"/>
                            <w:lang w:eastAsia="en-US"/>
                          </w:rPr>
                          <w:t>36.690</w:t>
                        </w:r>
                      </w:p>
                    </w:tc>
                  </w:tr>
                </w:tbl>
                <w:p w14:paraId="32D9372D">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cs="Times New Roman"/>
                      <w:color w:val="auto"/>
                      <w:sz w:val="21"/>
                      <w:szCs w:val="21"/>
                      <w:lang w:val="en-US" w:eastAsia="zh-CN"/>
                    </w:rPr>
                  </w:pPr>
                </w:p>
              </w:tc>
              <w:tc>
                <w:tcPr>
                  <w:tcW w:w="2930" w:type="dxa"/>
                  <w:noWrap w:val="0"/>
                  <w:vAlign w:val="center"/>
                </w:tcPr>
                <w:p w14:paraId="6D23F293">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本项目</w:t>
                  </w:r>
                  <w:r>
                    <w:rPr>
                      <w:rFonts w:hint="default" w:ascii="Times New Roman" w:hAnsi="Times New Roman" w:eastAsia="宋体" w:cs="Times New Roman"/>
                      <w:b w:val="0"/>
                      <w:bCs w:val="0"/>
                      <w:color w:val="auto"/>
                      <w:sz w:val="21"/>
                      <w:szCs w:val="21"/>
                      <w:highlight w:val="none"/>
                      <w:lang w:val="en-US" w:eastAsia="zh-CN"/>
                    </w:rPr>
                    <w:t>位于</w:t>
                  </w:r>
                  <w:r>
                    <w:rPr>
                      <w:rFonts w:hint="default" w:ascii="Times New Roman" w:hAnsi="Times New Roman" w:cs="Times New Roman"/>
                      <w:b w:val="0"/>
                      <w:bCs w:val="0"/>
                      <w:color w:val="auto"/>
                      <w:sz w:val="21"/>
                      <w:szCs w:val="21"/>
                      <w:highlight w:val="none"/>
                      <w:lang w:val="en-US" w:eastAsia="zh-CN"/>
                    </w:rPr>
                    <w:t>博罗县园洲镇博罗智能装备产业园园洲片区绿化北路3号(4-a/4-b号厂房601/701楼)</w:t>
                  </w:r>
                  <w:r>
                    <w:rPr>
                      <w:rFonts w:hint="default" w:ascii="Times New Roman" w:hAnsi="Times New Roman" w:eastAsia="宋体" w:cs="Times New Roman"/>
                      <w:b w:val="0"/>
                      <w:bCs w:val="0"/>
                      <w:color w:val="auto"/>
                      <w:spacing w:val="-9"/>
                      <w:sz w:val="21"/>
                      <w:szCs w:val="21"/>
                    </w:rPr>
                    <w:t>，</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根据《博罗县“三线一单”生态环境分区管控图集》（以下简称《图集》）（见附图1</w:t>
                  </w:r>
                  <w:r>
                    <w:rPr>
                      <w:rFonts w:hint="default" w:ascii="Times New Roman" w:hAnsi="Times New Roman"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lang w:val="en-US" w:eastAsia="zh-CN"/>
                    </w:rPr>
                    <w:t>），项目所在地属于水环境</w:t>
                  </w:r>
                  <w:r>
                    <w:rPr>
                      <w:rFonts w:hint="default" w:ascii="Times New Roman" w:hAnsi="Times New Roman" w:cs="Times New Roman"/>
                      <w:b w:val="0"/>
                      <w:bCs w:val="0"/>
                      <w:color w:val="auto"/>
                      <w:sz w:val="21"/>
                      <w:szCs w:val="21"/>
                      <w:lang w:val="en-US" w:eastAsia="zh-CN"/>
                    </w:rPr>
                    <w:t>重点</w:t>
                  </w:r>
                  <w:r>
                    <w:rPr>
                      <w:rFonts w:hint="default" w:ascii="Times New Roman" w:hAnsi="Times New Roman" w:eastAsia="宋体" w:cs="Times New Roman"/>
                      <w:b w:val="0"/>
                      <w:bCs w:val="0"/>
                      <w:color w:val="auto"/>
                      <w:sz w:val="21"/>
                      <w:szCs w:val="21"/>
                      <w:lang w:val="en-US" w:eastAsia="zh-CN"/>
                    </w:rPr>
                    <w:t>管控区。</w:t>
                  </w:r>
                </w:p>
              </w:tc>
              <w:tc>
                <w:tcPr>
                  <w:tcW w:w="469" w:type="dxa"/>
                  <w:vMerge w:val="continue"/>
                  <w:noWrap w:val="0"/>
                  <w:vAlign w:val="center"/>
                </w:tcPr>
                <w:p w14:paraId="1EC03674">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p>
              </w:tc>
            </w:tr>
            <w:tr w14:paraId="6E94B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2" w:hRule="atLeast"/>
                <w:jc w:val="center"/>
              </w:trPr>
              <w:tc>
                <w:tcPr>
                  <w:tcW w:w="435" w:type="dxa"/>
                  <w:vMerge w:val="continue"/>
                  <w:noWrap w:val="0"/>
                  <w:vAlign w:val="center"/>
                </w:tcPr>
                <w:p w14:paraId="51705A88">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747" w:type="dxa"/>
                  <w:noWrap w:val="0"/>
                  <w:vAlign w:val="center"/>
                </w:tcPr>
                <w:p w14:paraId="35B3C377">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土壤环境安全利用底线</w:t>
                  </w:r>
                </w:p>
              </w:tc>
              <w:tc>
                <w:tcPr>
                  <w:tcW w:w="4017" w:type="dxa"/>
                  <w:noWrap w:val="0"/>
                  <w:vAlign w:val="center"/>
                </w:tcPr>
                <w:p w14:paraId="7660C152">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b/>
                      <w:bCs/>
                      <w:snapToGrid w:val="0"/>
                      <w:color w:val="auto"/>
                      <w:spacing w:val="6"/>
                      <w:kern w:val="0"/>
                      <w:sz w:val="21"/>
                      <w:szCs w:val="20"/>
                    </w:rPr>
                    <w:t>表1-</w:t>
                  </w:r>
                  <w:r>
                    <w:rPr>
                      <w:rFonts w:hint="default" w:ascii="Times New Roman" w:hAnsi="Times New Roman" w:cs="Times New Roman"/>
                      <w:b/>
                      <w:bCs/>
                      <w:snapToGrid w:val="0"/>
                      <w:color w:val="auto"/>
                      <w:spacing w:val="6"/>
                      <w:kern w:val="0"/>
                      <w:sz w:val="21"/>
                      <w:szCs w:val="20"/>
                      <w:lang w:val="en-US" w:eastAsia="zh-CN"/>
                    </w:rPr>
                    <w:t>6</w:t>
                  </w:r>
                  <w:r>
                    <w:rPr>
                      <w:rFonts w:hint="default" w:ascii="Times New Roman" w:hAnsi="Times New Roman" w:cs="Times New Roman"/>
                      <w:b/>
                      <w:bCs/>
                      <w:snapToGrid w:val="0"/>
                      <w:color w:val="auto"/>
                      <w:spacing w:val="6"/>
                      <w:kern w:val="0"/>
                      <w:sz w:val="21"/>
                      <w:szCs w:val="20"/>
                    </w:rPr>
                    <w:t xml:space="preserve"> 土壤环境管控区统计表（面积：</w:t>
                  </w:r>
                  <w:r>
                    <w:rPr>
                      <w:rFonts w:hint="default" w:ascii="Times New Roman" w:hAnsi="Times New Roman" w:cs="Times New Roman"/>
                      <w:b/>
                      <w:bCs/>
                      <w:snapToGrid w:val="0"/>
                      <w:color w:val="auto"/>
                      <w:kern w:val="0"/>
                      <w:sz w:val="21"/>
                      <w:szCs w:val="20"/>
                    </w:rPr>
                    <w:t>km</w:t>
                  </w:r>
                  <w:r>
                    <w:rPr>
                      <w:rFonts w:hint="default" w:ascii="Times New Roman" w:hAnsi="Times New Roman" w:cs="Times New Roman"/>
                      <w:b/>
                      <w:bCs/>
                      <w:snapToGrid w:val="0"/>
                      <w:color w:val="auto"/>
                      <w:kern w:val="0"/>
                      <w:sz w:val="21"/>
                      <w:szCs w:val="20"/>
                      <w:vertAlign w:val="superscript"/>
                    </w:rPr>
                    <w:t>2</w:t>
                  </w:r>
                  <w:r>
                    <w:rPr>
                      <w:rFonts w:hint="default" w:ascii="Times New Roman" w:hAnsi="Times New Roman" w:cs="Times New Roman"/>
                      <w:b/>
                      <w:bCs/>
                      <w:snapToGrid w:val="0"/>
                      <w:color w:val="auto"/>
                      <w:spacing w:val="6"/>
                      <w:kern w:val="0"/>
                      <w:sz w:val="21"/>
                      <w:szCs w:val="20"/>
                    </w:rPr>
                    <w:t>）</w:t>
                  </w:r>
                </w:p>
                <w:tbl>
                  <w:tblPr>
                    <w:tblStyle w:val="83"/>
                    <w:tblW w:w="3599" w:type="dxa"/>
                    <w:tblInd w:w="10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57"/>
                    <w:gridCol w:w="1142"/>
                  </w:tblGrid>
                  <w:tr w14:paraId="12B108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84" w:hRule="atLeast"/>
                    </w:trPr>
                    <w:tc>
                      <w:tcPr>
                        <w:tcW w:w="2457" w:type="dxa"/>
                        <w:vAlign w:val="center"/>
                      </w:tcPr>
                      <w:p w14:paraId="24079926">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9"/>
                            <w:kern w:val="0"/>
                            <w:sz w:val="21"/>
                            <w:szCs w:val="20"/>
                          </w:rPr>
                          <w:t>博罗县建设用地土壤污染风</w:t>
                        </w:r>
                        <w:r>
                          <w:rPr>
                            <w:rFonts w:hint="default" w:ascii="Times New Roman" w:hAnsi="Times New Roman" w:cs="Times New Roman"/>
                            <w:snapToGrid w:val="0"/>
                            <w:color w:val="auto"/>
                            <w:spacing w:val="7"/>
                            <w:kern w:val="0"/>
                            <w:sz w:val="21"/>
                            <w:szCs w:val="20"/>
                          </w:rPr>
                          <w:t>险重点管控区面积</w:t>
                        </w:r>
                      </w:p>
                    </w:tc>
                    <w:tc>
                      <w:tcPr>
                        <w:tcW w:w="1142" w:type="dxa"/>
                        <w:vAlign w:val="center"/>
                      </w:tcPr>
                      <w:p w14:paraId="700AAACB">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spacing w:val="4"/>
                            <w:kern w:val="0"/>
                            <w:sz w:val="21"/>
                            <w:szCs w:val="20"/>
                            <w:lang w:eastAsia="en-US"/>
                          </w:rPr>
                          <w:t>3.408688125</w:t>
                        </w:r>
                      </w:p>
                    </w:tc>
                  </w:tr>
                  <w:tr w14:paraId="6CBFC5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2457" w:type="dxa"/>
                        <w:vAlign w:val="center"/>
                      </w:tcPr>
                      <w:p w14:paraId="723D6D14">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7"/>
                            <w:kern w:val="0"/>
                            <w:sz w:val="21"/>
                            <w:szCs w:val="20"/>
                          </w:rPr>
                          <w:t>园洲镇建设用地一般管控区</w:t>
                        </w:r>
                        <w:r>
                          <w:rPr>
                            <w:rFonts w:hint="default" w:ascii="Times New Roman" w:hAnsi="Times New Roman" w:cs="Times New Roman"/>
                            <w:snapToGrid w:val="0"/>
                            <w:color w:val="auto"/>
                            <w:spacing w:val="4"/>
                            <w:kern w:val="0"/>
                            <w:sz w:val="21"/>
                            <w:szCs w:val="20"/>
                          </w:rPr>
                          <w:t>面积</w:t>
                        </w:r>
                      </w:p>
                    </w:tc>
                    <w:tc>
                      <w:tcPr>
                        <w:tcW w:w="1142" w:type="dxa"/>
                        <w:vAlign w:val="center"/>
                      </w:tcPr>
                      <w:p w14:paraId="7970A08E">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spacing w:val="3"/>
                            <w:kern w:val="0"/>
                            <w:sz w:val="21"/>
                            <w:szCs w:val="20"/>
                            <w:lang w:eastAsia="en-US"/>
                          </w:rPr>
                          <w:t>29.889</w:t>
                        </w:r>
                      </w:p>
                    </w:tc>
                  </w:tr>
                  <w:tr w14:paraId="60B064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2457" w:type="dxa"/>
                        <w:vAlign w:val="center"/>
                      </w:tcPr>
                      <w:p w14:paraId="1BC136A7">
                        <w:pPr>
                          <w:pStyle w:val="87"/>
                          <w:spacing w:line="240" w:lineRule="auto"/>
                          <w:ind w:firstLine="0" w:firstLineChars="0"/>
                          <w:jc w:val="center"/>
                          <w:rPr>
                            <w:rFonts w:hint="default" w:ascii="Times New Roman" w:hAnsi="Times New Roman" w:cs="Times New Roman"/>
                            <w:snapToGrid w:val="0"/>
                            <w:color w:val="auto"/>
                            <w:spacing w:val="7"/>
                            <w:kern w:val="0"/>
                            <w:sz w:val="21"/>
                            <w:szCs w:val="20"/>
                            <w:lang w:eastAsia="zh-CN"/>
                          </w:rPr>
                        </w:pPr>
                        <w:r>
                          <w:rPr>
                            <w:rFonts w:hint="default" w:ascii="Times New Roman" w:hAnsi="Times New Roman" w:cs="Times New Roman"/>
                            <w:color w:val="auto"/>
                            <w:spacing w:val="7"/>
                            <w:sz w:val="21"/>
                            <w:lang w:eastAsia="zh-CN"/>
                          </w:rPr>
                          <w:t>园洲镇未利用地一般管控区</w:t>
                        </w:r>
                        <w:r>
                          <w:rPr>
                            <w:rFonts w:hint="default" w:ascii="Times New Roman" w:hAnsi="Times New Roman" w:cs="Times New Roman"/>
                            <w:color w:val="auto"/>
                            <w:spacing w:val="4"/>
                            <w:sz w:val="21"/>
                            <w:lang w:eastAsia="zh-CN"/>
                          </w:rPr>
                          <w:t>面积</w:t>
                        </w:r>
                      </w:p>
                    </w:tc>
                    <w:tc>
                      <w:tcPr>
                        <w:tcW w:w="1142" w:type="dxa"/>
                        <w:vAlign w:val="center"/>
                      </w:tcPr>
                      <w:p w14:paraId="72B98EF5">
                        <w:pPr>
                          <w:spacing w:line="240" w:lineRule="auto"/>
                          <w:ind w:firstLine="0" w:firstLineChars="0"/>
                          <w:jc w:val="center"/>
                          <w:rPr>
                            <w:rFonts w:hint="default" w:ascii="Times New Roman" w:hAnsi="Times New Roman" w:cs="Times New Roman"/>
                            <w:snapToGrid w:val="0"/>
                            <w:color w:val="auto"/>
                            <w:spacing w:val="3"/>
                            <w:kern w:val="0"/>
                            <w:sz w:val="21"/>
                            <w:szCs w:val="20"/>
                            <w:lang w:eastAsia="en-US"/>
                          </w:rPr>
                        </w:pPr>
                        <w:r>
                          <w:rPr>
                            <w:rFonts w:hint="default" w:ascii="Times New Roman" w:hAnsi="Times New Roman" w:cs="Times New Roman"/>
                            <w:color w:val="auto"/>
                            <w:sz w:val="21"/>
                            <w:szCs w:val="20"/>
                          </w:rPr>
                          <w:t>16.493</w:t>
                        </w:r>
                      </w:p>
                    </w:tc>
                  </w:tr>
                  <w:tr w14:paraId="400E0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2457" w:type="dxa"/>
                        <w:vAlign w:val="center"/>
                      </w:tcPr>
                      <w:p w14:paraId="2FD7106A">
                        <w:pPr>
                          <w:pStyle w:val="87"/>
                          <w:spacing w:line="240" w:lineRule="auto"/>
                          <w:ind w:firstLine="0" w:firstLineChars="0"/>
                          <w:jc w:val="center"/>
                          <w:rPr>
                            <w:rFonts w:hint="default" w:ascii="Times New Roman" w:hAnsi="Times New Roman" w:cs="Times New Roman"/>
                            <w:snapToGrid w:val="0"/>
                            <w:color w:val="auto"/>
                            <w:spacing w:val="7"/>
                            <w:kern w:val="0"/>
                            <w:sz w:val="21"/>
                            <w:szCs w:val="20"/>
                            <w:lang w:eastAsia="zh-CN"/>
                          </w:rPr>
                        </w:pPr>
                        <w:r>
                          <w:rPr>
                            <w:rFonts w:hint="default" w:ascii="Times New Roman" w:hAnsi="Times New Roman" w:cs="Times New Roman"/>
                            <w:color w:val="auto"/>
                            <w:spacing w:val="9"/>
                            <w:sz w:val="21"/>
                            <w:lang w:eastAsia="zh-CN"/>
                          </w:rPr>
                          <w:t>博罗县土壤环境一般管控区</w:t>
                        </w:r>
                        <w:r>
                          <w:rPr>
                            <w:rFonts w:hint="default" w:ascii="Times New Roman" w:hAnsi="Times New Roman" w:cs="Times New Roman"/>
                            <w:color w:val="auto"/>
                            <w:spacing w:val="4"/>
                            <w:sz w:val="21"/>
                            <w:lang w:eastAsia="zh-CN"/>
                          </w:rPr>
                          <w:t>面积</w:t>
                        </w:r>
                      </w:p>
                    </w:tc>
                    <w:tc>
                      <w:tcPr>
                        <w:tcW w:w="1142" w:type="dxa"/>
                        <w:vAlign w:val="center"/>
                      </w:tcPr>
                      <w:p w14:paraId="26956C5B">
                        <w:pPr>
                          <w:spacing w:line="240" w:lineRule="auto"/>
                          <w:ind w:firstLine="0" w:firstLineChars="0"/>
                          <w:jc w:val="center"/>
                          <w:rPr>
                            <w:rFonts w:hint="default" w:ascii="Times New Roman" w:hAnsi="Times New Roman" w:cs="Times New Roman"/>
                            <w:snapToGrid w:val="0"/>
                            <w:color w:val="auto"/>
                            <w:spacing w:val="3"/>
                            <w:kern w:val="0"/>
                            <w:sz w:val="21"/>
                            <w:szCs w:val="20"/>
                            <w:lang w:eastAsia="en-US"/>
                          </w:rPr>
                        </w:pPr>
                        <w:r>
                          <w:rPr>
                            <w:rFonts w:hint="default" w:ascii="Times New Roman" w:hAnsi="Times New Roman" w:cs="Times New Roman"/>
                            <w:color w:val="auto"/>
                            <w:spacing w:val="3"/>
                            <w:sz w:val="21"/>
                            <w:szCs w:val="20"/>
                          </w:rPr>
                          <w:t>373.767</w:t>
                        </w:r>
                      </w:p>
                    </w:tc>
                  </w:tr>
                </w:tbl>
                <w:p w14:paraId="5815CEA4">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21"/>
                      <w:szCs w:val="21"/>
                      <w:lang w:val="en-US" w:eastAsia="zh-CN"/>
                    </w:rPr>
                  </w:pPr>
                </w:p>
              </w:tc>
              <w:tc>
                <w:tcPr>
                  <w:tcW w:w="2930" w:type="dxa"/>
                  <w:noWrap w:val="0"/>
                  <w:vAlign w:val="center"/>
                </w:tcPr>
                <w:p w14:paraId="0958C7C0">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本项目</w:t>
                  </w:r>
                  <w:r>
                    <w:rPr>
                      <w:rFonts w:hint="default" w:ascii="Times New Roman" w:hAnsi="Times New Roman" w:cs="Times New Roman"/>
                      <w:b w:val="0"/>
                      <w:bCs w:val="0"/>
                      <w:color w:val="auto"/>
                      <w:sz w:val="21"/>
                      <w:szCs w:val="21"/>
                      <w:highlight w:val="none"/>
                      <w:lang w:val="en-US" w:eastAsia="zh-CN"/>
                    </w:rPr>
                    <w:t>位于博罗县园洲镇博罗智能装备产业园园洲片区绿化北路3号(4-a/4-b号厂房601/701楼)</w:t>
                  </w:r>
                  <w:r>
                    <w:rPr>
                      <w:rFonts w:hint="default" w:ascii="Times New Roman" w:hAnsi="Times New Roman" w:eastAsia="宋体" w:cs="Times New Roman"/>
                      <w:b w:val="0"/>
                      <w:bCs w:val="0"/>
                      <w:color w:val="auto"/>
                      <w:spacing w:val="-9"/>
                      <w:sz w:val="21"/>
                      <w:szCs w:val="21"/>
                    </w:rPr>
                    <w:t>，</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根据《博罗县“三线一单”生态环境分区管控图集》（以下简称《图集》）（见附图1</w:t>
                  </w:r>
                  <w:r>
                    <w:rPr>
                      <w:rFonts w:hint="default" w:ascii="Times New Roman" w:hAnsi="Times New Roman" w:cs="Times New Roman"/>
                      <w:b w:val="0"/>
                      <w:bCs w:val="0"/>
                      <w:color w:val="auto"/>
                      <w:sz w:val="21"/>
                      <w:szCs w:val="21"/>
                      <w:lang w:val="en-US" w:eastAsia="zh-CN"/>
                    </w:rPr>
                    <w:t>4</w:t>
                  </w:r>
                  <w:r>
                    <w:rPr>
                      <w:rFonts w:hint="default" w:ascii="Times New Roman" w:hAnsi="Times New Roman" w:eastAsia="宋体" w:cs="Times New Roman"/>
                      <w:b w:val="0"/>
                      <w:bCs w:val="0"/>
                      <w:color w:val="auto"/>
                      <w:sz w:val="21"/>
                      <w:szCs w:val="21"/>
                      <w:lang w:val="en-US" w:eastAsia="zh-CN"/>
                    </w:rPr>
                    <w:t>），项目所在地属于博罗县土壤环境一般管控区_不含农用地。</w:t>
                  </w:r>
                </w:p>
              </w:tc>
              <w:tc>
                <w:tcPr>
                  <w:tcW w:w="469" w:type="dxa"/>
                  <w:vMerge w:val="continue"/>
                  <w:noWrap w:val="0"/>
                  <w:vAlign w:val="center"/>
                </w:tcPr>
                <w:p w14:paraId="0A99CA7C">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p>
              </w:tc>
            </w:tr>
            <w:tr w14:paraId="10607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9" w:hRule="atLeast"/>
                <w:jc w:val="center"/>
              </w:trPr>
              <w:tc>
                <w:tcPr>
                  <w:tcW w:w="1182" w:type="dxa"/>
                  <w:gridSpan w:val="2"/>
                  <w:vMerge w:val="restart"/>
                  <w:noWrap w:val="0"/>
                  <w:vAlign w:val="center"/>
                </w:tcPr>
                <w:p w14:paraId="0AD1E1E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SA"/>
                    </w:rPr>
                    <w:t>资源利用上线</w:t>
                  </w:r>
                </w:p>
              </w:tc>
              <w:tc>
                <w:tcPr>
                  <w:tcW w:w="4017" w:type="dxa"/>
                  <w:noWrap w:val="0"/>
                  <w:vAlign w:val="center"/>
                </w:tcPr>
                <w:p w14:paraId="7115BCA5">
                  <w:pPr>
                    <w:widowControl/>
                    <w:kinsoku w:val="0"/>
                    <w:autoSpaceDE w:val="0"/>
                    <w:autoSpaceDN w:val="0"/>
                    <w:spacing w:line="240" w:lineRule="auto"/>
                    <w:ind w:firstLine="0" w:firstLineChars="0"/>
                    <w:jc w:val="center"/>
                    <w:textAlignment w:val="baseline"/>
                    <w:rPr>
                      <w:rFonts w:hint="default" w:ascii="Times New Roman" w:hAnsi="Times New Roman" w:cs="Times New Roman"/>
                      <w:b/>
                      <w:bCs/>
                      <w:snapToGrid w:val="0"/>
                      <w:color w:val="auto"/>
                      <w:spacing w:val="3"/>
                      <w:kern w:val="0"/>
                      <w:sz w:val="21"/>
                      <w:szCs w:val="20"/>
                    </w:rPr>
                  </w:pPr>
                  <w:r>
                    <w:rPr>
                      <w:rFonts w:hint="default" w:ascii="Times New Roman" w:hAnsi="Times New Roman" w:cs="Times New Roman"/>
                      <w:b/>
                      <w:bCs/>
                      <w:snapToGrid w:val="0"/>
                      <w:color w:val="auto"/>
                      <w:spacing w:val="6"/>
                      <w:kern w:val="0"/>
                      <w:sz w:val="21"/>
                      <w:szCs w:val="20"/>
                    </w:rPr>
                    <w:t>表</w:t>
                  </w:r>
                  <w:r>
                    <w:rPr>
                      <w:rFonts w:hint="default" w:ascii="Times New Roman" w:hAnsi="Times New Roman" w:cs="Times New Roman"/>
                      <w:snapToGrid w:val="0"/>
                      <w:color w:val="auto"/>
                      <w:spacing w:val="-23"/>
                      <w:kern w:val="0"/>
                      <w:sz w:val="21"/>
                      <w:szCs w:val="20"/>
                    </w:rPr>
                    <w:t xml:space="preserve"> </w:t>
                  </w:r>
                  <w:r>
                    <w:rPr>
                      <w:rFonts w:hint="default" w:ascii="Times New Roman" w:hAnsi="Times New Roman" w:cs="Times New Roman"/>
                      <w:b/>
                      <w:bCs/>
                      <w:snapToGrid w:val="0"/>
                      <w:color w:val="auto"/>
                      <w:spacing w:val="6"/>
                      <w:kern w:val="0"/>
                      <w:sz w:val="21"/>
                      <w:szCs w:val="20"/>
                    </w:rPr>
                    <w:t>1-</w:t>
                  </w:r>
                  <w:r>
                    <w:rPr>
                      <w:rFonts w:hint="default" w:ascii="Times New Roman" w:hAnsi="Times New Roman" w:cs="Times New Roman"/>
                      <w:b/>
                      <w:bCs/>
                      <w:snapToGrid w:val="0"/>
                      <w:color w:val="auto"/>
                      <w:spacing w:val="6"/>
                      <w:kern w:val="0"/>
                      <w:sz w:val="21"/>
                      <w:szCs w:val="20"/>
                      <w:lang w:val="en-US" w:eastAsia="zh-CN"/>
                    </w:rPr>
                    <w:t>7</w:t>
                  </w:r>
                  <w:r>
                    <w:rPr>
                      <w:rFonts w:hint="default" w:ascii="Times New Roman" w:hAnsi="Times New Roman" w:cs="Times New Roman"/>
                      <w:b/>
                      <w:bCs/>
                      <w:snapToGrid w:val="0"/>
                      <w:color w:val="auto"/>
                      <w:spacing w:val="6"/>
                      <w:kern w:val="0"/>
                      <w:sz w:val="21"/>
                      <w:szCs w:val="20"/>
                    </w:rPr>
                    <w:t xml:space="preserve"> 博罗县土地资源优先保护区面积统计</w:t>
                  </w:r>
                  <w:r>
                    <w:rPr>
                      <w:rFonts w:hint="default" w:ascii="Times New Roman" w:hAnsi="Times New Roman" w:cs="Times New Roman"/>
                      <w:snapToGrid w:val="0"/>
                      <w:color w:val="auto"/>
                      <w:kern w:val="0"/>
                      <w:sz w:val="21"/>
                      <w:szCs w:val="20"/>
                    </w:rPr>
                    <w:t xml:space="preserve"> </w:t>
                  </w:r>
                  <w:r>
                    <w:rPr>
                      <w:rFonts w:hint="default" w:ascii="Times New Roman" w:hAnsi="Times New Roman" w:cs="Times New Roman"/>
                      <w:b/>
                      <w:bCs/>
                      <w:snapToGrid w:val="0"/>
                      <w:color w:val="auto"/>
                      <w:spacing w:val="3"/>
                      <w:kern w:val="0"/>
                      <w:sz w:val="21"/>
                      <w:szCs w:val="20"/>
                    </w:rPr>
                    <w:t>（平方公里）</w:t>
                  </w:r>
                </w:p>
                <w:tbl>
                  <w:tblPr>
                    <w:tblStyle w:val="83"/>
                    <w:tblW w:w="3639" w:type="dxa"/>
                    <w:tblInd w:w="10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03"/>
                    <w:gridCol w:w="936"/>
                  </w:tblGrid>
                  <w:tr w14:paraId="1E6D93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703" w:type="dxa"/>
                        <w:vAlign w:val="center"/>
                      </w:tcPr>
                      <w:p w14:paraId="3B69D5C5">
                        <w:pPr>
                          <w:pStyle w:val="87"/>
                          <w:spacing w:line="240" w:lineRule="auto"/>
                          <w:ind w:firstLine="0" w:firstLineChars="0"/>
                          <w:jc w:val="center"/>
                          <w:rPr>
                            <w:rFonts w:hint="default" w:ascii="Times New Roman" w:hAnsi="Times New Roman" w:cs="Times New Roman"/>
                            <w:snapToGrid w:val="0"/>
                            <w:color w:val="auto"/>
                            <w:kern w:val="0"/>
                            <w:sz w:val="21"/>
                            <w:szCs w:val="20"/>
                            <w:lang w:eastAsia="zh-CN"/>
                          </w:rPr>
                        </w:pPr>
                        <w:r>
                          <w:rPr>
                            <w:rFonts w:hint="default" w:ascii="Times New Roman" w:hAnsi="Times New Roman" w:cs="Times New Roman"/>
                            <w:color w:val="auto"/>
                            <w:spacing w:val="9"/>
                            <w:sz w:val="21"/>
                            <w:lang w:eastAsia="zh-CN"/>
                          </w:rPr>
                          <w:t>土地资源优先保护区面积</w:t>
                        </w:r>
                      </w:p>
                    </w:tc>
                    <w:tc>
                      <w:tcPr>
                        <w:tcW w:w="936" w:type="dxa"/>
                        <w:vAlign w:val="center"/>
                      </w:tcPr>
                      <w:p w14:paraId="1C0E36B5">
                        <w:pPr>
                          <w:spacing w:line="240" w:lineRule="auto"/>
                          <w:ind w:firstLine="0" w:firstLineChars="0"/>
                          <w:jc w:val="center"/>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color w:val="auto"/>
                            <w:spacing w:val="2"/>
                            <w:sz w:val="21"/>
                            <w:szCs w:val="20"/>
                          </w:rPr>
                          <w:t>834.505</w:t>
                        </w:r>
                      </w:p>
                    </w:tc>
                  </w:tr>
                  <w:tr w14:paraId="2F34B2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2703" w:type="dxa"/>
                        <w:vAlign w:val="center"/>
                      </w:tcPr>
                      <w:p w14:paraId="175FFE5A">
                        <w:pPr>
                          <w:pStyle w:val="87"/>
                          <w:spacing w:line="240" w:lineRule="auto"/>
                          <w:ind w:firstLine="0" w:firstLineChars="0"/>
                          <w:jc w:val="center"/>
                          <w:rPr>
                            <w:rFonts w:hint="default" w:ascii="Times New Roman" w:hAnsi="Times New Roman" w:cs="Times New Roman"/>
                            <w:snapToGrid w:val="0"/>
                            <w:color w:val="auto"/>
                            <w:kern w:val="0"/>
                            <w:sz w:val="21"/>
                            <w:szCs w:val="20"/>
                            <w:lang w:eastAsia="zh-CN"/>
                          </w:rPr>
                        </w:pPr>
                        <w:r>
                          <w:rPr>
                            <w:rFonts w:hint="default" w:ascii="Times New Roman" w:hAnsi="Times New Roman" w:cs="Times New Roman"/>
                            <w:color w:val="auto"/>
                            <w:spacing w:val="9"/>
                            <w:sz w:val="21"/>
                            <w:lang w:eastAsia="zh-CN"/>
                          </w:rPr>
                          <w:t>土地资源优先保护区比例</w:t>
                        </w:r>
                      </w:p>
                    </w:tc>
                    <w:tc>
                      <w:tcPr>
                        <w:tcW w:w="936" w:type="dxa"/>
                        <w:vAlign w:val="center"/>
                      </w:tcPr>
                      <w:p w14:paraId="1046BA84">
                        <w:pPr>
                          <w:spacing w:line="240" w:lineRule="auto"/>
                          <w:ind w:firstLine="0" w:firstLineChars="0"/>
                          <w:jc w:val="center"/>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color w:val="auto"/>
                            <w:spacing w:val="4"/>
                            <w:position w:val="2"/>
                            <w:sz w:val="21"/>
                            <w:szCs w:val="20"/>
                          </w:rPr>
                          <w:t>29.23%</w:t>
                        </w:r>
                      </w:p>
                    </w:tc>
                  </w:tr>
                </w:tbl>
                <w:p w14:paraId="28BD7AFF">
                  <w:pPr>
                    <w:widowControl/>
                    <w:kinsoku w:val="0"/>
                    <w:autoSpaceDE w:val="0"/>
                    <w:autoSpaceDN w:val="0"/>
                    <w:spacing w:line="240" w:lineRule="auto"/>
                    <w:ind w:firstLine="0" w:firstLineChars="0"/>
                    <w:jc w:val="center"/>
                    <w:textAlignment w:val="baseline"/>
                    <w:rPr>
                      <w:rFonts w:hint="default" w:ascii="Times New Roman" w:hAnsi="Times New Roman" w:cs="Times New Roman"/>
                      <w:b/>
                      <w:bCs/>
                      <w:snapToGrid w:val="0"/>
                      <w:color w:val="auto"/>
                      <w:spacing w:val="3"/>
                      <w:kern w:val="0"/>
                      <w:sz w:val="21"/>
                      <w:szCs w:val="20"/>
                      <w:lang w:eastAsia="en-US"/>
                    </w:rPr>
                  </w:pPr>
                </w:p>
                <w:p w14:paraId="33E1A2D7">
                  <w:pPr>
                    <w:widowControl/>
                    <w:kinsoku w:val="0"/>
                    <w:autoSpaceDE w:val="0"/>
                    <w:autoSpaceDN w:val="0"/>
                    <w:spacing w:line="240" w:lineRule="auto"/>
                    <w:ind w:firstLine="0" w:firstLineChars="0"/>
                    <w:jc w:val="center"/>
                    <w:textAlignment w:val="baseline"/>
                    <w:rPr>
                      <w:rFonts w:hint="default" w:ascii="Times New Roman" w:hAnsi="Times New Roman" w:eastAsia="宋体" w:cs="Times New Roman"/>
                      <w:b/>
                      <w:bCs/>
                      <w:color w:val="auto"/>
                      <w:kern w:val="2"/>
                      <w:sz w:val="21"/>
                      <w:szCs w:val="21"/>
                      <w:lang w:val="en-US" w:eastAsia="zh-CN" w:bidi="ar-SA"/>
                    </w:rPr>
                  </w:pPr>
                </w:p>
              </w:tc>
              <w:tc>
                <w:tcPr>
                  <w:tcW w:w="2930" w:type="dxa"/>
                  <w:noWrap w:val="0"/>
                  <w:vAlign w:val="center"/>
                </w:tcPr>
                <w:p w14:paraId="16B59D77">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b w:val="0"/>
                      <w:bCs w:val="0"/>
                      <w:color w:val="auto"/>
                      <w:sz w:val="21"/>
                      <w:szCs w:val="21"/>
                      <w:highlight w:val="none"/>
                    </w:rPr>
                    <w:t>本项目</w:t>
                  </w:r>
                  <w:r>
                    <w:rPr>
                      <w:rFonts w:hint="default" w:ascii="Times New Roman" w:hAnsi="Times New Roman" w:eastAsia="宋体" w:cs="Times New Roman"/>
                      <w:b w:val="0"/>
                      <w:bCs w:val="0"/>
                      <w:color w:val="auto"/>
                      <w:sz w:val="21"/>
                      <w:szCs w:val="21"/>
                      <w:highlight w:val="none"/>
                      <w:lang w:val="en-US" w:eastAsia="zh-CN"/>
                    </w:rPr>
                    <w:t>位于</w:t>
                  </w:r>
                  <w:r>
                    <w:rPr>
                      <w:rFonts w:hint="default" w:ascii="Times New Roman" w:hAnsi="Times New Roman" w:cs="Times New Roman"/>
                      <w:b w:val="0"/>
                      <w:bCs w:val="0"/>
                      <w:color w:val="auto"/>
                      <w:sz w:val="21"/>
                      <w:szCs w:val="21"/>
                      <w:highlight w:val="none"/>
                      <w:lang w:val="en-US" w:eastAsia="zh-CN"/>
                    </w:rPr>
                    <w:t>博罗县园洲镇博罗智能装备产业园园洲片区绿化北路3号(4-a/4-b号厂房601/701楼)</w:t>
                  </w:r>
                  <w:r>
                    <w:rPr>
                      <w:rFonts w:hint="default" w:ascii="Times New Roman" w:hAnsi="Times New Roman" w:eastAsia="宋体" w:cs="Times New Roman"/>
                      <w:b w:val="0"/>
                      <w:bCs w:val="0"/>
                      <w:color w:val="auto"/>
                      <w:spacing w:val="-9"/>
                      <w:sz w:val="21"/>
                      <w:szCs w:val="21"/>
                    </w:rPr>
                    <w:t>，</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根据《博罗县“三线一单”生态环境分区管控图集》（以下简称《图集》）（见附图1</w:t>
                  </w:r>
                  <w:r>
                    <w:rPr>
                      <w:rFonts w:hint="default" w:ascii="Times New Roman" w:hAnsi="Times New Roman" w:cs="Times New Roman"/>
                      <w:b w:val="0"/>
                      <w:bCs w:val="0"/>
                      <w:color w:val="auto"/>
                      <w:sz w:val="21"/>
                      <w:szCs w:val="21"/>
                      <w:lang w:val="en-US" w:eastAsia="zh-CN"/>
                    </w:rPr>
                    <w:t>5</w:t>
                  </w:r>
                  <w:r>
                    <w:rPr>
                      <w:rFonts w:hint="default" w:ascii="Times New Roman" w:hAnsi="Times New Roman" w:eastAsia="宋体" w:cs="Times New Roman"/>
                      <w:b w:val="0"/>
                      <w:bCs w:val="0"/>
                      <w:color w:val="auto"/>
                      <w:sz w:val="21"/>
                      <w:szCs w:val="21"/>
                      <w:lang w:val="en-US" w:eastAsia="zh-CN"/>
                    </w:rPr>
                    <w:t>），项目所在地不位于土地资源优先保护区。</w:t>
                  </w:r>
                </w:p>
              </w:tc>
              <w:tc>
                <w:tcPr>
                  <w:tcW w:w="469" w:type="dxa"/>
                  <w:vMerge w:val="restart"/>
                  <w:noWrap w:val="0"/>
                  <w:vAlign w:val="center"/>
                </w:tcPr>
                <w:p w14:paraId="4F0809C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符合</w:t>
                  </w:r>
                </w:p>
              </w:tc>
            </w:tr>
            <w:tr w14:paraId="257F9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9" w:hRule="atLeast"/>
                <w:jc w:val="center"/>
              </w:trPr>
              <w:tc>
                <w:tcPr>
                  <w:tcW w:w="1182" w:type="dxa"/>
                  <w:gridSpan w:val="2"/>
                  <w:vMerge w:val="continue"/>
                  <w:noWrap w:val="0"/>
                  <w:vAlign w:val="center"/>
                </w:tcPr>
                <w:p w14:paraId="3AA54738">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4017" w:type="dxa"/>
                  <w:noWrap w:val="0"/>
                  <w:vAlign w:val="center"/>
                </w:tcPr>
                <w:p w14:paraId="52AA110A">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1"/>
                    </w:rPr>
                  </w:pPr>
                  <w:r>
                    <w:rPr>
                      <w:rFonts w:hint="default" w:ascii="Times New Roman" w:hAnsi="Times New Roman" w:cs="Times New Roman"/>
                      <w:b/>
                      <w:bCs/>
                      <w:snapToGrid w:val="0"/>
                      <w:color w:val="auto"/>
                      <w:spacing w:val="4"/>
                      <w:kern w:val="0"/>
                      <w:sz w:val="21"/>
                      <w:szCs w:val="20"/>
                    </w:rPr>
                    <w:t>表</w:t>
                  </w:r>
                  <w:r>
                    <w:rPr>
                      <w:rFonts w:hint="default" w:ascii="Times New Roman" w:hAnsi="Times New Roman" w:cs="Times New Roman"/>
                      <w:snapToGrid w:val="0"/>
                      <w:color w:val="auto"/>
                      <w:spacing w:val="-23"/>
                      <w:kern w:val="0"/>
                      <w:sz w:val="21"/>
                      <w:szCs w:val="20"/>
                    </w:rPr>
                    <w:t xml:space="preserve"> </w:t>
                  </w:r>
                  <w:r>
                    <w:rPr>
                      <w:rFonts w:hint="default" w:ascii="Times New Roman" w:hAnsi="Times New Roman" w:cs="Times New Roman"/>
                      <w:b/>
                      <w:bCs/>
                      <w:snapToGrid w:val="0"/>
                      <w:color w:val="auto"/>
                      <w:spacing w:val="4"/>
                      <w:kern w:val="0"/>
                      <w:sz w:val="21"/>
                      <w:szCs w:val="20"/>
                    </w:rPr>
                    <w:t>1-</w:t>
                  </w:r>
                  <w:r>
                    <w:rPr>
                      <w:rFonts w:hint="default" w:ascii="Times New Roman" w:hAnsi="Times New Roman" w:cs="Times New Roman"/>
                      <w:b/>
                      <w:bCs/>
                      <w:snapToGrid w:val="0"/>
                      <w:color w:val="auto"/>
                      <w:spacing w:val="4"/>
                      <w:kern w:val="0"/>
                      <w:sz w:val="21"/>
                      <w:szCs w:val="20"/>
                      <w:lang w:val="en-US" w:eastAsia="zh-CN"/>
                    </w:rPr>
                    <w:t>8</w:t>
                  </w:r>
                  <w:r>
                    <w:rPr>
                      <w:rFonts w:hint="default" w:ascii="Times New Roman" w:hAnsi="Times New Roman" w:cs="Times New Roman"/>
                      <w:b/>
                      <w:bCs/>
                      <w:snapToGrid w:val="0"/>
                      <w:color w:val="auto"/>
                      <w:spacing w:val="4"/>
                      <w:kern w:val="0"/>
                      <w:sz w:val="21"/>
                      <w:szCs w:val="20"/>
                    </w:rPr>
                    <w:t xml:space="preserve"> 博罗县能源（煤炭）重点管控区面积统</w:t>
                  </w:r>
                  <w:r>
                    <w:rPr>
                      <w:rFonts w:hint="default" w:ascii="Times New Roman" w:hAnsi="Times New Roman" w:cs="Times New Roman"/>
                      <w:snapToGrid w:val="0"/>
                      <w:color w:val="auto"/>
                      <w:kern w:val="0"/>
                      <w:sz w:val="21"/>
                      <w:szCs w:val="20"/>
                    </w:rPr>
                    <w:t xml:space="preserve"> </w:t>
                  </w:r>
                  <w:r>
                    <w:rPr>
                      <w:rFonts w:hint="default" w:ascii="Times New Roman" w:hAnsi="Times New Roman" w:cs="Times New Roman"/>
                      <w:b/>
                      <w:bCs/>
                      <w:snapToGrid w:val="0"/>
                      <w:color w:val="auto"/>
                      <w:spacing w:val="5"/>
                      <w:kern w:val="0"/>
                      <w:sz w:val="21"/>
                      <w:szCs w:val="20"/>
                    </w:rPr>
                    <w:t>计（平方公里）</w:t>
                  </w:r>
                </w:p>
                <w:tbl>
                  <w:tblPr>
                    <w:tblStyle w:val="83"/>
                    <w:tblW w:w="3639" w:type="dxa"/>
                    <w:tblInd w:w="10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03"/>
                    <w:gridCol w:w="936"/>
                  </w:tblGrid>
                  <w:tr w14:paraId="3306EA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16" w:hRule="atLeast"/>
                    </w:trPr>
                    <w:tc>
                      <w:tcPr>
                        <w:tcW w:w="2703" w:type="dxa"/>
                        <w:vAlign w:val="center"/>
                      </w:tcPr>
                      <w:p w14:paraId="32603982">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8"/>
                            <w:kern w:val="0"/>
                            <w:sz w:val="21"/>
                            <w:szCs w:val="20"/>
                          </w:rPr>
                          <w:t>高污染燃料禁燃区面积</w:t>
                        </w:r>
                      </w:p>
                    </w:tc>
                    <w:tc>
                      <w:tcPr>
                        <w:tcW w:w="936" w:type="dxa"/>
                        <w:vAlign w:val="center"/>
                      </w:tcPr>
                      <w:p w14:paraId="42AB71EB">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spacing w:val="3"/>
                            <w:kern w:val="0"/>
                            <w:sz w:val="21"/>
                            <w:szCs w:val="20"/>
                            <w:lang w:eastAsia="en-US"/>
                          </w:rPr>
                          <w:t>394.927</w:t>
                        </w:r>
                      </w:p>
                    </w:tc>
                  </w:tr>
                  <w:tr w14:paraId="4FE79C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2703" w:type="dxa"/>
                        <w:vAlign w:val="center"/>
                      </w:tcPr>
                      <w:p w14:paraId="0A310A56">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8"/>
                            <w:kern w:val="0"/>
                            <w:sz w:val="21"/>
                            <w:szCs w:val="20"/>
                          </w:rPr>
                          <w:t>高污染燃料禁燃区比例</w:t>
                        </w:r>
                      </w:p>
                    </w:tc>
                    <w:tc>
                      <w:tcPr>
                        <w:tcW w:w="936" w:type="dxa"/>
                        <w:vAlign w:val="center"/>
                      </w:tcPr>
                      <w:p w14:paraId="6BED3075">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kern w:val="0"/>
                            <w:position w:val="2"/>
                            <w:sz w:val="21"/>
                            <w:szCs w:val="20"/>
                            <w:lang w:eastAsia="en-US"/>
                          </w:rPr>
                          <w:t>13.83%</w:t>
                        </w:r>
                      </w:p>
                    </w:tc>
                  </w:tr>
                </w:tbl>
                <w:p w14:paraId="59AD38AA">
                  <w:pPr>
                    <w:widowControl/>
                    <w:kinsoku w:val="0"/>
                    <w:autoSpaceDE w:val="0"/>
                    <w:autoSpaceDN w:val="0"/>
                    <w:spacing w:line="240" w:lineRule="auto"/>
                    <w:ind w:firstLine="0" w:firstLineChars="0"/>
                    <w:jc w:val="center"/>
                    <w:textAlignment w:val="baseline"/>
                    <w:rPr>
                      <w:rFonts w:hint="default" w:ascii="Times New Roman" w:hAnsi="Times New Roman" w:eastAsia="宋体" w:cs="Times New Roman"/>
                      <w:b/>
                      <w:bCs/>
                      <w:color w:val="auto"/>
                      <w:kern w:val="2"/>
                      <w:sz w:val="21"/>
                      <w:szCs w:val="21"/>
                      <w:lang w:val="en-US" w:eastAsia="zh-CN" w:bidi="ar-SA"/>
                    </w:rPr>
                  </w:pPr>
                </w:p>
              </w:tc>
              <w:tc>
                <w:tcPr>
                  <w:tcW w:w="2930" w:type="dxa"/>
                  <w:noWrap w:val="0"/>
                  <w:vAlign w:val="center"/>
                </w:tcPr>
                <w:p w14:paraId="7BACC44A">
                  <w:pPr>
                    <w:pStyle w:val="86"/>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b w:val="0"/>
                      <w:bCs w:val="0"/>
                      <w:color w:val="auto"/>
                      <w:sz w:val="21"/>
                      <w:szCs w:val="21"/>
                      <w:lang w:val="en-US" w:eastAsia="zh-CN"/>
                    </w:rPr>
                    <w:t>本项目位于</w:t>
                  </w:r>
                  <w:r>
                    <w:rPr>
                      <w:rFonts w:hint="default" w:ascii="Times New Roman" w:hAnsi="Times New Roman" w:cs="Times New Roman"/>
                      <w:b w:val="0"/>
                      <w:bCs w:val="0"/>
                      <w:color w:val="auto"/>
                      <w:sz w:val="21"/>
                      <w:szCs w:val="21"/>
                      <w:highlight w:val="none"/>
                      <w:lang w:val="en-US" w:eastAsia="zh-CN"/>
                    </w:rPr>
                    <w:t>博罗县园洲镇博罗智能装备产业园园洲片区绿化北路3号(4-a/4-b号厂房601/701楼)</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，根据《博罗县“三线一单”生态环境分区管控图集》（以下简称《图集》）（见附图1</w:t>
                  </w:r>
                  <w:r>
                    <w:rPr>
                      <w:rFonts w:hint="default" w:ascii="Times New Roman" w:hAnsi="Times New Roman"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lang w:val="en-US" w:eastAsia="zh-CN"/>
                    </w:rPr>
                    <w:t>），本项目所在地不属于高污染燃料禁燃区，本项目以电作为能源，不使用煤炭。</w:t>
                  </w:r>
                </w:p>
              </w:tc>
              <w:tc>
                <w:tcPr>
                  <w:tcW w:w="469" w:type="dxa"/>
                  <w:vMerge w:val="continue"/>
                  <w:noWrap w:val="0"/>
                  <w:vAlign w:val="center"/>
                </w:tcPr>
                <w:p w14:paraId="0C7FE5B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p>
              </w:tc>
            </w:tr>
            <w:tr w14:paraId="71267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3" w:hRule="atLeast"/>
                <w:jc w:val="center"/>
              </w:trPr>
              <w:tc>
                <w:tcPr>
                  <w:tcW w:w="1182" w:type="dxa"/>
                  <w:gridSpan w:val="2"/>
                  <w:vMerge w:val="continue"/>
                  <w:noWrap w:val="0"/>
                  <w:vAlign w:val="center"/>
                </w:tcPr>
                <w:p w14:paraId="2D9F5AE7">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4017" w:type="dxa"/>
                  <w:noWrap w:val="0"/>
                  <w:vAlign w:val="center"/>
                </w:tcPr>
                <w:p w14:paraId="0D1C2EFC">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1"/>
                    </w:rPr>
                  </w:pPr>
                  <w:r>
                    <w:rPr>
                      <w:rFonts w:hint="default" w:ascii="Times New Roman" w:hAnsi="Times New Roman" w:cs="Times New Roman"/>
                      <w:b/>
                      <w:bCs/>
                      <w:snapToGrid w:val="0"/>
                      <w:color w:val="auto"/>
                      <w:spacing w:val="6"/>
                      <w:kern w:val="0"/>
                      <w:sz w:val="21"/>
                      <w:szCs w:val="20"/>
                    </w:rPr>
                    <w:t>表</w:t>
                  </w:r>
                  <w:r>
                    <w:rPr>
                      <w:rFonts w:hint="default" w:ascii="Times New Roman" w:hAnsi="Times New Roman" w:cs="Times New Roman"/>
                      <w:snapToGrid w:val="0"/>
                      <w:color w:val="auto"/>
                      <w:spacing w:val="-20"/>
                      <w:kern w:val="0"/>
                      <w:sz w:val="21"/>
                      <w:szCs w:val="20"/>
                    </w:rPr>
                    <w:t xml:space="preserve"> </w:t>
                  </w:r>
                  <w:r>
                    <w:rPr>
                      <w:rFonts w:hint="default" w:ascii="Times New Roman" w:hAnsi="Times New Roman" w:cs="Times New Roman"/>
                      <w:b/>
                      <w:bCs/>
                      <w:snapToGrid w:val="0"/>
                      <w:color w:val="auto"/>
                      <w:spacing w:val="6"/>
                      <w:kern w:val="0"/>
                      <w:sz w:val="21"/>
                      <w:szCs w:val="20"/>
                    </w:rPr>
                    <w:t>1-</w:t>
                  </w:r>
                  <w:r>
                    <w:rPr>
                      <w:rFonts w:hint="default" w:ascii="Times New Roman" w:hAnsi="Times New Roman" w:cs="Times New Roman"/>
                      <w:b/>
                      <w:bCs/>
                      <w:snapToGrid w:val="0"/>
                      <w:color w:val="auto"/>
                      <w:spacing w:val="6"/>
                      <w:kern w:val="0"/>
                      <w:sz w:val="21"/>
                      <w:szCs w:val="20"/>
                      <w:lang w:val="en-US" w:eastAsia="zh-CN"/>
                    </w:rPr>
                    <w:t>9</w:t>
                  </w:r>
                  <w:r>
                    <w:rPr>
                      <w:rFonts w:hint="default" w:ascii="Times New Roman" w:hAnsi="Times New Roman" w:cs="Times New Roman"/>
                      <w:b/>
                      <w:bCs/>
                      <w:snapToGrid w:val="0"/>
                      <w:color w:val="auto"/>
                      <w:spacing w:val="6"/>
                      <w:kern w:val="0"/>
                      <w:sz w:val="21"/>
                      <w:szCs w:val="20"/>
                    </w:rPr>
                    <w:t xml:space="preserve"> 博罗县矿产资源开采敏感区面积统计</w:t>
                  </w:r>
                  <w:r>
                    <w:rPr>
                      <w:rFonts w:hint="default" w:ascii="Times New Roman" w:hAnsi="Times New Roman" w:cs="Times New Roman"/>
                      <w:snapToGrid w:val="0"/>
                      <w:color w:val="auto"/>
                      <w:kern w:val="0"/>
                      <w:sz w:val="21"/>
                      <w:szCs w:val="20"/>
                    </w:rPr>
                    <w:t xml:space="preserve"> </w:t>
                  </w:r>
                  <w:r>
                    <w:rPr>
                      <w:rFonts w:hint="default" w:ascii="Times New Roman" w:hAnsi="Times New Roman" w:cs="Times New Roman"/>
                      <w:b/>
                      <w:bCs/>
                      <w:snapToGrid w:val="0"/>
                      <w:color w:val="auto"/>
                      <w:spacing w:val="3"/>
                      <w:kern w:val="0"/>
                      <w:sz w:val="21"/>
                      <w:szCs w:val="20"/>
                    </w:rPr>
                    <w:t>（平方公里）</w:t>
                  </w:r>
                </w:p>
                <w:tbl>
                  <w:tblPr>
                    <w:tblStyle w:val="83"/>
                    <w:tblW w:w="3619" w:type="dxa"/>
                    <w:tblInd w:w="10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88"/>
                    <w:gridCol w:w="931"/>
                  </w:tblGrid>
                  <w:tr w14:paraId="51F985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2688" w:type="dxa"/>
                        <w:vAlign w:val="center"/>
                      </w:tcPr>
                      <w:p w14:paraId="1C5F498B">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9"/>
                            <w:kern w:val="0"/>
                            <w:sz w:val="21"/>
                            <w:szCs w:val="20"/>
                          </w:rPr>
                          <w:t>矿产资源开采敏感区面积</w:t>
                        </w:r>
                      </w:p>
                    </w:tc>
                    <w:tc>
                      <w:tcPr>
                        <w:tcW w:w="931" w:type="dxa"/>
                        <w:vAlign w:val="center"/>
                      </w:tcPr>
                      <w:p w14:paraId="4654F381">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spacing w:val="3"/>
                            <w:kern w:val="0"/>
                            <w:sz w:val="21"/>
                            <w:szCs w:val="20"/>
                            <w:lang w:eastAsia="en-US"/>
                          </w:rPr>
                          <w:t>633.776</w:t>
                        </w:r>
                      </w:p>
                    </w:tc>
                  </w:tr>
                  <w:tr w14:paraId="01ABD7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688" w:type="dxa"/>
                        <w:vAlign w:val="center"/>
                      </w:tcPr>
                      <w:p w14:paraId="3AD0E36A">
                        <w:pPr>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rPr>
                        </w:pPr>
                        <w:r>
                          <w:rPr>
                            <w:rFonts w:hint="default" w:ascii="Times New Roman" w:hAnsi="Times New Roman" w:cs="Times New Roman"/>
                            <w:snapToGrid w:val="0"/>
                            <w:color w:val="auto"/>
                            <w:spacing w:val="9"/>
                            <w:kern w:val="0"/>
                            <w:sz w:val="21"/>
                            <w:szCs w:val="20"/>
                          </w:rPr>
                          <w:t>矿产资源开采敏感区比例</w:t>
                        </w:r>
                      </w:p>
                    </w:tc>
                    <w:tc>
                      <w:tcPr>
                        <w:tcW w:w="931" w:type="dxa"/>
                        <w:vAlign w:val="center"/>
                      </w:tcPr>
                      <w:p w14:paraId="2A05346D">
                        <w:pPr>
                          <w:widowControl/>
                          <w:kinsoku w:val="0"/>
                          <w:autoSpaceDE w:val="0"/>
                          <w:autoSpaceDN w:val="0"/>
                          <w:spacing w:line="240" w:lineRule="auto"/>
                          <w:ind w:firstLine="0" w:firstLineChars="0"/>
                          <w:jc w:val="center"/>
                          <w:textAlignment w:val="baseline"/>
                          <w:rPr>
                            <w:rFonts w:hint="default" w:ascii="Times New Roman" w:hAnsi="Times New Roman" w:cs="Times New Roman"/>
                            <w:snapToGrid w:val="0"/>
                            <w:color w:val="auto"/>
                            <w:kern w:val="0"/>
                            <w:sz w:val="21"/>
                            <w:szCs w:val="20"/>
                            <w:lang w:eastAsia="en-US"/>
                          </w:rPr>
                        </w:pPr>
                        <w:r>
                          <w:rPr>
                            <w:rFonts w:hint="default" w:ascii="Times New Roman" w:hAnsi="Times New Roman" w:cs="Times New Roman"/>
                            <w:snapToGrid w:val="0"/>
                            <w:color w:val="auto"/>
                            <w:spacing w:val="4"/>
                            <w:kern w:val="0"/>
                            <w:position w:val="2"/>
                            <w:sz w:val="21"/>
                            <w:szCs w:val="20"/>
                            <w:lang w:eastAsia="en-US"/>
                          </w:rPr>
                          <w:t>22.20%</w:t>
                        </w:r>
                      </w:p>
                    </w:tc>
                  </w:tr>
                </w:tbl>
                <w:p w14:paraId="4938F920">
                  <w:pPr>
                    <w:widowControl/>
                    <w:kinsoku w:val="0"/>
                    <w:autoSpaceDE w:val="0"/>
                    <w:autoSpaceDN w:val="0"/>
                    <w:spacing w:line="240" w:lineRule="auto"/>
                    <w:ind w:firstLine="0" w:firstLineChars="0"/>
                    <w:jc w:val="center"/>
                    <w:textAlignment w:val="baseline"/>
                    <w:rPr>
                      <w:rFonts w:hint="default" w:ascii="Times New Roman" w:hAnsi="Times New Roman" w:eastAsia="宋体" w:cs="Times New Roman"/>
                      <w:b/>
                      <w:bCs/>
                      <w:color w:val="auto"/>
                      <w:kern w:val="2"/>
                      <w:sz w:val="21"/>
                      <w:szCs w:val="21"/>
                      <w:lang w:val="en-US" w:eastAsia="zh-CN" w:bidi="ar-SA"/>
                    </w:rPr>
                  </w:pPr>
                </w:p>
              </w:tc>
              <w:tc>
                <w:tcPr>
                  <w:tcW w:w="2930" w:type="dxa"/>
                  <w:noWrap w:val="0"/>
                  <w:vAlign w:val="center"/>
                </w:tcPr>
                <w:p w14:paraId="5B4C1ADD">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b w:val="0"/>
                      <w:bCs w:val="0"/>
                      <w:color w:val="auto"/>
                      <w:sz w:val="21"/>
                      <w:szCs w:val="21"/>
                      <w:lang w:val="en-US" w:eastAsia="zh-CN"/>
                    </w:rPr>
                    <w:t>本项目位于</w:t>
                  </w:r>
                  <w:r>
                    <w:rPr>
                      <w:rFonts w:hint="default" w:ascii="Times New Roman" w:hAnsi="Times New Roman" w:cs="Times New Roman"/>
                      <w:b w:val="0"/>
                      <w:bCs w:val="0"/>
                      <w:color w:val="auto"/>
                      <w:sz w:val="21"/>
                      <w:szCs w:val="21"/>
                      <w:highlight w:val="none"/>
                      <w:lang w:val="en-US" w:eastAsia="zh-CN"/>
                    </w:rPr>
                    <w:t>博罗县园洲镇博罗智能装备产业园园洲片区绿化北路3号(4-a/4-b号厂房601/701楼)</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w:t>
                  </w:r>
                  <w:r>
                    <w:rPr>
                      <w:rFonts w:hint="default" w:ascii="Times New Roman" w:hAnsi="Times New Roman" w:cs="Times New Roman"/>
                      <w:b w:val="0"/>
                      <w:bCs w:val="0"/>
                      <w:color w:val="auto"/>
                      <w:sz w:val="21"/>
                      <w:szCs w:val="21"/>
                      <w:lang w:val="en-US" w:eastAsia="zh-CN"/>
                    </w:rPr>
                    <w:t>17</w:t>
                  </w:r>
                  <w:r>
                    <w:rPr>
                      <w:rFonts w:hint="default" w:ascii="Times New Roman" w:hAnsi="Times New Roman" w:eastAsia="宋体" w:cs="Times New Roman"/>
                      <w:b w:val="0"/>
                      <w:bCs w:val="0"/>
                      <w:color w:val="auto"/>
                      <w:sz w:val="21"/>
                      <w:szCs w:val="21"/>
                      <w:lang w:val="en-US" w:eastAsia="zh-CN"/>
                    </w:rPr>
                    <w:t>），本项目所在地不属于博罗县矿产资源开采敏感区。</w:t>
                  </w:r>
                </w:p>
              </w:tc>
              <w:tc>
                <w:tcPr>
                  <w:tcW w:w="469" w:type="dxa"/>
                  <w:vMerge w:val="continue"/>
                  <w:noWrap w:val="0"/>
                  <w:vAlign w:val="center"/>
                </w:tcPr>
                <w:p w14:paraId="72CBF59A">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p>
              </w:tc>
            </w:tr>
          </w:tbl>
          <w:p w14:paraId="73FACBB9">
            <w:pPr>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项目位于</w:t>
            </w:r>
            <w:r>
              <w:rPr>
                <w:rFonts w:hint="default" w:ascii="Times New Roman" w:hAnsi="Times New Roman" w:cs="Times New Roman"/>
                <w:color w:val="auto"/>
                <w:sz w:val="24"/>
                <w:szCs w:val="24"/>
                <w:lang w:eastAsia="zh-CN"/>
              </w:rPr>
              <w:t>博罗县园洲镇博罗智能装备产业园园洲片区绿化北路3号(4-a/4-b号厂房601/701楼)</w:t>
            </w:r>
            <w:r>
              <w:rPr>
                <w:rFonts w:hint="default" w:ascii="Times New Roman" w:hAnsi="Times New Roman" w:eastAsia="宋体" w:cs="Times New Roman"/>
                <w:color w:val="auto"/>
                <w:sz w:val="24"/>
                <w:szCs w:val="24"/>
              </w:rPr>
              <w:t>，项目所在地属于博罗沙河流域重点管控单元，环境管控单元编码为ZH44132220001。</w:t>
            </w:r>
          </w:p>
          <w:p w14:paraId="3352D2D2">
            <w:pPr>
              <w:pStyle w:val="7"/>
              <w:keepNext w:val="0"/>
              <w:keepLines w:val="0"/>
              <w:pageBreakBefore w:val="0"/>
              <w:widowControl/>
              <w:numPr>
                <w:ilvl w:val="0"/>
                <w:numId w:val="0"/>
              </w:numPr>
              <w:tabs>
                <w:tab w:val="left" w:pos="0"/>
              </w:tabs>
              <w:kinsoku/>
              <w:wordWrap/>
              <w:overflowPunct/>
              <w:topLinePunct w:val="0"/>
              <w:autoSpaceDE/>
              <w:autoSpaceDN/>
              <w:bidi w:val="0"/>
              <w:adjustRightInd/>
              <w:snapToGrid/>
              <w:spacing w:before="0" w:after="0" w:line="240" w:lineRule="auto"/>
              <w:ind w:left="0" w:leftChars="0" w:right="113" w:rightChars="0" w:firstLine="0" w:firstLineChars="0"/>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kern w:val="0"/>
                <w:sz w:val="24"/>
                <w:szCs w:val="24"/>
                <w:lang w:val="en-US" w:eastAsia="zh-CN" w:bidi="ar-SA"/>
              </w:rPr>
              <w:t>表1-</w:t>
            </w:r>
            <w:r>
              <w:rPr>
                <w:rFonts w:hint="default" w:ascii="Times New Roman" w:hAnsi="Times New Roman" w:cs="Times New Roman"/>
                <w:b/>
                <w:bCs/>
                <w:color w:val="auto"/>
                <w:kern w:val="0"/>
                <w:sz w:val="24"/>
                <w:szCs w:val="24"/>
                <w:lang w:val="en-US" w:eastAsia="zh-CN" w:bidi="ar-SA"/>
              </w:rPr>
              <w:t>10</w:t>
            </w:r>
            <w:r>
              <w:rPr>
                <w:rFonts w:hint="default"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2"/>
                <w:sz w:val="24"/>
                <w:szCs w:val="24"/>
                <w:highlight w:val="none"/>
                <w:lang w:val="en-US" w:eastAsia="zh-CN" w:bidi="ar-SA"/>
              </w:rPr>
              <w:t>博罗沙河流域重点管控单元 (ZH44132220001)</w:t>
            </w:r>
            <w:r>
              <w:rPr>
                <w:rFonts w:hint="default" w:ascii="Times New Roman" w:hAnsi="Times New Roman" w:eastAsia="宋体" w:cs="Times New Roman"/>
                <w:b/>
                <w:bCs/>
                <w:color w:val="auto"/>
                <w:sz w:val="24"/>
                <w:szCs w:val="24"/>
              </w:rPr>
              <w:t>符合性对照分析情况</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3511"/>
              <w:gridCol w:w="3622"/>
              <w:gridCol w:w="472"/>
            </w:tblGrid>
            <w:tr w14:paraId="02631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1013" w:type="dxa"/>
                  <w:noWrap w:val="0"/>
                  <w:vAlign w:val="center"/>
                </w:tcPr>
                <w:p w14:paraId="59AA3CFA">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三线一单内容</w:t>
                  </w:r>
                </w:p>
              </w:tc>
              <w:tc>
                <w:tcPr>
                  <w:tcW w:w="3511" w:type="dxa"/>
                  <w:noWrap w:val="0"/>
                  <w:vAlign w:val="center"/>
                </w:tcPr>
                <w:p w14:paraId="46AF94B0">
                  <w:pPr>
                    <w:pStyle w:val="33"/>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aps w:val="0"/>
                      <w:color w:val="auto"/>
                      <w:sz w:val="21"/>
                      <w:szCs w:val="21"/>
                      <w:highlight w:val="none"/>
                    </w:rPr>
                    <w:t>清单要求</w:t>
                  </w:r>
                </w:p>
              </w:tc>
              <w:tc>
                <w:tcPr>
                  <w:tcW w:w="3622" w:type="dxa"/>
                  <w:noWrap w:val="0"/>
                  <w:vAlign w:val="center"/>
                </w:tcPr>
                <w:p w14:paraId="43380C76">
                  <w:pPr>
                    <w:pStyle w:val="33"/>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aps w:val="0"/>
                      <w:color w:val="auto"/>
                      <w:sz w:val="21"/>
                      <w:szCs w:val="21"/>
                      <w:highlight w:val="none"/>
                    </w:rPr>
                    <w:t>对照分析</w:t>
                  </w:r>
                </w:p>
              </w:tc>
              <w:tc>
                <w:tcPr>
                  <w:tcW w:w="472" w:type="dxa"/>
                  <w:noWrap w:val="0"/>
                  <w:vAlign w:val="center"/>
                </w:tcPr>
                <w:p w14:paraId="3F96FF1E">
                  <w:pPr>
                    <w:pStyle w:val="33"/>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aps w:val="0"/>
                      <w:color w:val="auto"/>
                      <w:sz w:val="21"/>
                      <w:szCs w:val="21"/>
                      <w:highlight w:val="none"/>
                    </w:rPr>
                    <w:t>符合性</w:t>
                  </w:r>
                </w:p>
              </w:tc>
            </w:tr>
            <w:tr w14:paraId="01CDD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1" w:hRule="atLeast"/>
                <w:jc w:val="center"/>
              </w:trPr>
              <w:tc>
                <w:tcPr>
                  <w:tcW w:w="1013" w:type="dxa"/>
                  <w:vMerge w:val="restart"/>
                  <w:noWrap w:val="0"/>
                  <w:vAlign w:val="center"/>
                </w:tcPr>
                <w:p w14:paraId="28212782">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生态环境准入清单</w:t>
                  </w:r>
                </w:p>
              </w:tc>
              <w:tc>
                <w:tcPr>
                  <w:tcW w:w="3511" w:type="dxa"/>
                  <w:noWrap w:val="0"/>
                  <w:vAlign w:val="center"/>
                </w:tcPr>
                <w:p w14:paraId="7AC5A6E7">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区域布局管控：</w:t>
                  </w:r>
                </w:p>
                <w:p w14:paraId="1015821E">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1-1.【产业/鼓励引导类】饮用水水源保护区外的区域，重点发展电子信息、智能家电、先进材料等产业。</w:t>
                  </w:r>
                </w:p>
                <w:p w14:paraId="6D7BE6C2">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02A50FC1">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1-3.【产业/限制类】严格限制化工、包装印刷、工业涂装等高VOCs排放建设项目。</w:t>
                  </w:r>
                </w:p>
                <w:p w14:paraId="31E5E400">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-4.【生态/限制类】一般生态空间内可开展生态保护红线内允许的活动，在不影响主导生态功能的前提下，还可开展国家和省规定不纳入环评管理的项目建设，以及生态旅游、基础设施建设、村庄建设等人为活动。</w:t>
                  </w:r>
                </w:p>
                <w:p w14:paraId="1C3418E5">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1-5.【水/禁止类】饮用水水源保护区涉及</w:t>
                  </w:r>
                  <w:r>
                    <w:rPr>
                      <w:rFonts w:hint="default" w:ascii="Times New Roman" w:hAnsi="Times New Roman" w:cs="Times New Roman"/>
                      <w:b w:val="0"/>
                      <w:bCs w:val="0"/>
                      <w:color w:val="auto"/>
                      <w:kern w:val="2"/>
                      <w:sz w:val="21"/>
                      <w:szCs w:val="21"/>
                      <w:lang w:val="en-US" w:eastAsia="zh-CN" w:bidi="ar-SA"/>
                    </w:rPr>
                    <w:t>园洲</w:t>
                  </w:r>
                  <w:r>
                    <w:rPr>
                      <w:rFonts w:hint="default" w:ascii="Times New Roman" w:hAnsi="Times New Roman" w:eastAsia="宋体" w:cs="Times New Roman"/>
                      <w:b w:val="0"/>
                      <w:bCs w:val="0"/>
                      <w:color w:val="auto"/>
                      <w:kern w:val="2"/>
                      <w:sz w:val="21"/>
                      <w:szCs w:val="21"/>
                      <w:lang w:val="en-US" w:eastAsia="zh-CN" w:bidi="ar-SA"/>
                    </w:rPr>
                    <w:t>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7B6A6F64">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-6.【水/禁止类】禁止在东江干流和沙河干流两岸最高水位线外延五百米范围内新建废弃物堆放场和处理场。已有的堆放场和处理场需采取有效的防治污染措施，危及水体水质安全的，由县级以上人民政府责令限期搬迁。</w:t>
                  </w:r>
                </w:p>
                <w:p w14:paraId="06204183">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1-7.【水/禁止类】畜禽禁养区内不得从事畜禽养殖业。</w:t>
                  </w:r>
                </w:p>
                <w:p w14:paraId="23D803E2">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p w14:paraId="4BF08288">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14:paraId="1B69F58A">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1-10.【大气/鼓励引导类】大气环境高排放重点管控区内，强化达标监管，引导工业项目落地集聚发展，有序推进区域内行业企业提标改造。</w:t>
                  </w:r>
                </w:p>
                <w:p w14:paraId="4198E9B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1-11.【土壤/禁止类】禁止在重金属重点防控区域内新建、改建、扩建增加重金属污染物排放总量的建设项目。</w:t>
                  </w:r>
                </w:p>
                <w:p w14:paraId="41CBE41A">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-12.【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3622" w:type="dxa"/>
                  <w:noWrap w:val="0"/>
                  <w:vAlign w:val="center"/>
                </w:tcPr>
                <w:p w14:paraId="256FDD29">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1-1.项目所在地不属于生态保护红线及饮用水水源保护区，符合要求。项目属于</w:t>
                  </w:r>
                  <w:r>
                    <w:rPr>
                      <w:rFonts w:hint="default" w:ascii="Times New Roman" w:hAnsi="Times New Roman" w:cs="Times New Roman"/>
                      <w:color w:val="auto"/>
                      <w:kern w:val="2"/>
                      <w:sz w:val="21"/>
                      <w:szCs w:val="21"/>
                      <w:lang w:val="en-US" w:eastAsia="zh-CN" w:bidi="ar-SA"/>
                    </w:rPr>
                    <w:t>C2919其他橡胶制品制造和C3525模具制造</w:t>
                  </w:r>
                  <w:r>
                    <w:rPr>
                      <w:rFonts w:hint="default" w:ascii="Times New Roman" w:hAnsi="Times New Roman" w:eastAsia="宋体" w:cs="Times New Roman"/>
                      <w:color w:val="auto"/>
                      <w:kern w:val="2"/>
                      <w:sz w:val="21"/>
                      <w:szCs w:val="21"/>
                      <w:lang w:val="en-US" w:eastAsia="zh-CN" w:bidi="ar-SA"/>
                    </w:rPr>
                    <w:t>，不属于鼓励引导类产业</w:t>
                  </w:r>
                  <w:r>
                    <w:rPr>
                      <w:rFonts w:hint="default" w:ascii="Times New Roman" w:hAnsi="Times New Roman" w:cs="Times New Roman"/>
                      <w:color w:val="auto"/>
                      <w:kern w:val="2"/>
                      <w:sz w:val="21"/>
                      <w:szCs w:val="21"/>
                      <w:lang w:val="en-US" w:eastAsia="zh-CN" w:bidi="ar-SA"/>
                    </w:rPr>
                    <w:t>。</w:t>
                  </w:r>
                </w:p>
                <w:p w14:paraId="262C73D8">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1-2.</w:t>
                  </w:r>
                  <w:r>
                    <w:rPr>
                      <w:rFonts w:hint="default" w:ascii="Times New Roman" w:hAnsi="Times New Roman" w:eastAsia="宋体" w:cs="Times New Roman"/>
                      <w:color w:val="auto"/>
                      <w:kern w:val="2"/>
                      <w:sz w:val="21"/>
                      <w:szCs w:val="21"/>
                      <w:lang w:val="en-US" w:eastAsia="zh-CN" w:bidi="ar-SA"/>
                    </w:rPr>
                    <w:t>项目属于</w:t>
                  </w:r>
                  <w:r>
                    <w:rPr>
                      <w:rFonts w:hint="default" w:ascii="Times New Roman" w:hAnsi="Times New Roman" w:cs="Times New Roman"/>
                      <w:color w:val="auto"/>
                      <w:kern w:val="2"/>
                      <w:sz w:val="21"/>
                      <w:szCs w:val="21"/>
                      <w:lang w:val="en-US" w:eastAsia="zh-CN" w:bidi="ar-SA"/>
                    </w:rPr>
                    <w:t>C2919其他橡胶制品制造和C3525模具制造</w:t>
                  </w:r>
                  <w:r>
                    <w:rPr>
                      <w:rFonts w:hint="default" w:ascii="Times New Roman" w:hAnsi="Times New Roman" w:eastAsia="宋体" w:cs="Times New Roman"/>
                      <w:color w:val="auto"/>
                      <w:kern w:val="2"/>
                      <w:sz w:val="21"/>
                      <w:szCs w:val="21"/>
                      <w:lang w:val="en-US" w:eastAsia="zh-CN" w:bidi="ar-SA"/>
                    </w:rPr>
                    <w:t>，不属于禁止类行业，符合国家产业政策相关要求。</w:t>
                  </w:r>
                </w:p>
                <w:p w14:paraId="0D3D9B70">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r>
                    <w:rPr>
                      <w:rFonts w:hint="default" w:ascii="Times New Roman" w:hAnsi="Times New Roman" w:cs="Times New Roman"/>
                      <w:color w:val="auto"/>
                      <w:sz w:val="21"/>
                      <w:szCs w:val="21"/>
                      <w:lang w:val="en-US" w:eastAsia="zh-CN"/>
                    </w:rPr>
                    <w:t>根据表项目使用含VOCs原辅材料情况表可知，</w:t>
                  </w:r>
                  <w:r>
                    <w:rPr>
                      <w:rFonts w:hint="default" w:ascii="Times New Roman" w:hAnsi="Times New Roman" w:eastAsia="宋体" w:cs="Times New Roman"/>
                      <w:color w:val="auto"/>
                      <w:sz w:val="21"/>
                      <w:szCs w:val="21"/>
                    </w:rPr>
                    <w:t>项目</w:t>
                  </w:r>
                  <w:r>
                    <w:rPr>
                      <w:rFonts w:hint="default" w:ascii="Times New Roman" w:hAnsi="Times New Roman" w:eastAsia="宋体" w:cs="Times New Roman"/>
                      <w:color w:val="auto"/>
                      <w:sz w:val="21"/>
                      <w:szCs w:val="21"/>
                      <w:lang w:val="en-US" w:eastAsia="zh-CN"/>
                    </w:rPr>
                    <w:t>使用的水性漆、水性油墨等的VOC含量</w:t>
                  </w:r>
                  <w:r>
                    <w:rPr>
                      <w:rFonts w:hint="default" w:ascii="Times New Roman" w:hAnsi="Times New Roman" w:cs="Times New Roman"/>
                      <w:color w:val="auto"/>
                      <w:sz w:val="21"/>
                      <w:szCs w:val="21"/>
                      <w:lang w:val="en-US" w:eastAsia="zh-CN"/>
                    </w:rPr>
                    <w:t>均符合各自相关文件VOCs含量限值的要求</w:t>
                  </w:r>
                  <w:r>
                    <w:rPr>
                      <w:rFonts w:hint="default" w:ascii="Times New Roman" w:hAnsi="Times New Roman" w:eastAsia="宋体" w:cs="Times New Roman"/>
                      <w:color w:val="auto"/>
                      <w:sz w:val="21"/>
                      <w:szCs w:val="21"/>
                    </w:rPr>
                    <w:t>，符合要求。</w:t>
                  </w:r>
                </w:p>
                <w:p w14:paraId="51AED8D5">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1-4.项目不在一般生态空间内，符合要求。</w:t>
                  </w:r>
                </w:p>
                <w:p w14:paraId="1FADDACF">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1.5.项目不在饮用水源保护区内，符合要求。</w:t>
                  </w:r>
                </w:p>
                <w:p w14:paraId="44265491">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1-6.项目</w:t>
                  </w:r>
                  <w:r>
                    <w:rPr>
                      <w:rFonts w:hint="default" w:ascii="Times New Roman" w:hAnsi="Times New Roman" w:cs="Times New Roman"/>
                      <w:color w:val="auto"/>
                      <w:kern w:val="2"/>
                      <w:sz w:val="21"/>
                      <w:szCs w:val="21"/>
                      <w:lang w:val="en-US" w:eastAsia="zh-CN" w:bidi="ar-SA"/>
                    </w:rPr>
                    <w:t>涉及的废弃物堆放场主要为一般固废和危废暂存场所，不属于专业废弃物堆放场和处理场，均在沙河和东江干流500m范围之外</w:t>
                  </w:r>
                  <w:r>
                    <w:rPr>
                      <w:rFonts w:hint="default" w:ascii="Times New Roman" w:hAnsi="Times New Roman" w:eastAsia="宋体" w:cs="Times New Roman"/>
                      <w:color w:val="auto"/>
                      <w:kern w:val="2"/>
                      <w:sz w:val="21"/>
                      <w:szCs w:val="21"/>
                      <w:lang w:val="en-US" w:eastAsia="zh-CN" w:bidi="ar-SA"/>
                    </w:rPr>
                    <w:t>。</w:t>
                  </w:r>
                </w:p>
                <w:p w14:paraId="1D655947">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1-7.</w:t>
                  </w:r>
                  <w:r>
                    <w:rPr>
                      <w:rFonts w:hint="default" w:ascii="Times New Roman" w:hAnsi="Times New Roman" w:cs="Times New Roman"/>
                      <w:color w:val="auto"/>
                      <w:sz w:val="21"/>
                      <w:szCs w:val="21"/>
                      <w:lang w:eastAsia="zh-CN"/>
                    </w:rPr>
                    <w:t>本项目</w:t>
                  </w:r>
                  <w:r>
                    <w:rPr>
                      <w:rFonts w:hint="default" w:ascii="Times New Roman" w:hAnsi="Times New Roman" w:eastAsia="宋体" w:cs="Times New Roman"/>
                      <w:color w:val="auto"/>
                      <w:kern w:val="2"/>
                      <w:sz w:val="21"/>
                      <w:szCs w:val="21"/>
                      <w:lang w:val="en-US" w:eastAsia="zh-CN" w:bidi="ar-SA"/>
                    </w:rPr>
                    <w:t>不属于畜禽养殖业</w:t>
                  </w:r>
                  <w:r>
                    <w:rPr>
                      <w:rFonts w:hint="default" w:ascii="Times New Roman" w:hAnsi="Times New Roman" w:eastAsia="宋体" w:cs="Times New Roman"/>
                      <w:color w:val="auto"/>
                      <w:sz w:val="21"/>
                      <w:szCs w:val="21"/>
                      <w:lang w:eastAsia="zh-CN"/>
                    </w:rPr>
                    <w:t>。</w:t>
                  </w:r>
                </w:p>
                <w:p w14:paraId="1F38A588">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r>
                    <w:rPr>
                      <w:rFonts w:hint="default" w:ascii="Times New Roman" w:hAnsi="Times New Roman" w:cs="Times New Roman"/>
                      <w:color w:val="auto"/>
                      <w:sz w:val="21"/>
                      <w:szCs w:val="21"/>
                      <w:lang w:eastAsia="zh-CN"/>
                    </w:rPr>
                    <w:t>本项目</w:t>
                  </w:r>
                  <w:r>
                    <w:rPr>
                      <w:rFonts w:hint="default" w:ascii="Times New Roman" w:hAnsi="Times New Roman" w:eastAsia="宋体" w:cs="Times New Roman"/>
                      <w:color w:val="auto"/>
                      <w:kern w:val="2"/>
                      <w:sz w:val="21"/>
                      <w:szCs w:val="21"/>
                      <w:lang w:val="en-US" w:eastAsia="zh-CN" w:bidi="ar-SA"/>
                    </w:rPr>
                    <w:t>不属于畜禽养殖业</w:t>
                  </w:r>
                  <w:r>
                    <w:rPr>
                      <w:rFonts w:hint="default" w:ascii="Times New Roman" w:hAnsi="Times New Roman" w:eastAsia="宋体" w:cs="Times New Roman"/>
                      <w:color w:val="auto"/>
                      <w:sz w:val="21"/>
                      <w:szCs w:val="21"/>
                      <w:lang w:val="en-US" w:eastAsia="zh-CN"/>
                    </w:rPr>
                    <w:t>。</w:t>
                  </w:r>
                </w:p>
                <w:p w14:paraId="15BEDF61">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color w:val="auto"/>
                      <w:sz w:val="21"/>
                      <w:szCs w:val="21"/>
                      <w:lang w:val="en-US" w:eastAsia="zh-CN"/>
                    </w:rPr>
                    <w:t>1-9.</w:t>
                  </w:r>
                  <w:r>
                    <w:rPr>
                      <w:rFonts w:hint="default" w:ascii="Times New Roman" w:hAnsi="Times New Roman" w:eastAsia="宋体" w:cs="Times New Roman"/>
                      <w:color w:val="auto"/>
                      <w:sz w:val="21"/>
                      <w:szCs w:val="21"/>
                    </w:rPr>
                    <w:t>项目不在大气环境受体敏感重点管控区内，主要从事</w:t>
                  </w:r>
                  <w:r>
                    <w:rPr>
                      <w:rFonts w:hint="default" w:ascii="Times New Roman" w:hAnsi="Times New Roman" w:cs="Times New Roman"/>
                      <w:color w:val="auto"/>
                      <w:sz w:val="21"/>
                      <w:szCs w:val="21"/>
                      <w:lang w:val="en-US" w:eastAsia="zh-CN"/>
                    </w:rPr>
                    <w:t>硅胶制造，不</w:t>
                  </w:r>
                  <w:r>
                    <w:rPr>
                      <w:rFonts w:hint="default" w:ascii="Times New Roman" w:hAnsi="Times New Roman" w:eastAsia="宋体" w:cs="Times New Roman"/>
                      <w:color w:val="auto"/>
                      <w:sz w:val="21"/>
                      <w:szCs w:val="21"/>
                    </w:rPr>
                    <w:t>属于储油库项目，</w:t>
                  </w:r>
                  <w:r>
                    <w:rPr>
                      <w:rFonts w:hint="default" w:ascii="Times New Roman" w:hAnsi="Times New Roman" w:cs="Times New Roman"/>
                      <w:color w:val="auto"/>
                      <w:sz w:val="21"/>
                      <w:szCs w:val="21"/>
                      <w:lang w:eastAsia="zh-CN"/>
                    </w:rPr>
                    <w:t>不</w:t>
                  </w:r>
                  <w:r>
                    <w:rPr>
                      <w:rFonts w:hint="default" w:ascii="Times New Roman" w:hAnsi="Times New Roman" w:eastAsia="宋体" w:cs="Times New Roman"/>
                      <w:color w:val="auto"/>
                      <w:sz w:val="21"/>
                      <w:szCs w:val="21"/>
                    </w:rPr>
                    <w:t>产生和排放有毒有害大气污染物</w:t>
                  </w:r>
                  <w:r>
                    <w:rPr>
                      <w:rFonts w:hint="default"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val="en-US" w:eastAsia="zh-CN"/>
                    </w:rPr>
                    <w:t>使用的水性漆、水性油墨等的VOC含量</w:t>
                  </w:r>
                  <w:r>
                    <w:rPr>
                      <w:rFonts w:hint="default" w:ascii="Times New Roman" w:hAnsi="Times New Roman" w:cs="Times New Roman"/>
                      <w:color w:val="auto"/>
                      <w:sz w:val="21"/>
                      <w:szCs w:val="21"/>
                      <w:lang w:val="en-US" w:eastAsia="zh-CN"/>
                    </w:rPr>
                    <w:t>均符合各自相关文件VOCs含量限值的要求</w:t>
                  </w:r>
                  <w:r>
                    <w:rPr>
                      <w:rFonts w:hint="default" w:ascii="Times New Roman" w:hAnsi="Times New Roman" w:cs="Times New Roman"/>
                      <w:bCs/>
                      <w:color w:val="auto"/>
                      <w:sz w:val="21"/>
                      <w:szCs w:val="21"/>
                      <w:lang w:val="en-US" w:eastAsia="zh-CN"/>
                    </w:rPr>
                    <w:t>。</w:t>
                  </w:r>
                </w:p>
                <w:p w14:paraId="05F13787">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1-10.</w:t>
                  </w:r>
                  <w:r>
                    <w:rPr>
                      <w:rFonts w:hint="default" w:ascii="Times New Roman" w:hAnsi="Times New Roman" w:eastAsia="宋体" w:cs="Times New Roman"/>
                      <w:color w:val="auto"/>
                      <w:sz w:val="21"/>
                      <w:szCs w:val="21"/>
                    </w:rPr>
                    <w:t>项目产生的废气拟经收集至废气处理设施处理达标后排放，待项目建成后按要求定期开展自行监测，确保废气达标排放。</w:t>
                  </w:r>
                </w:p>
                <w:p w14:paraId="37FA1E0B">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11</w:t>
                  </w:r>
                  <w:r>
                    <w:rPr>
                      <w:rFonts w:hint="default" w:ascii="Times New Roman" w:hAnsi="Times New Roman" w:eastAsia="宋体" w:cs="Times New Roman"/>
                      <w:color w:val="auto"/>
                      <w:sz w:val="21"/>
                      <w:szCs w:val="21"/>
                    </w:rPr>
                    <w:t>.项目不在重金属重点防控区域内，无重金属污染物产生，符合要求。</w:t>
                  </w:r>
                </w:p>
                <w:p w14:paraId="7950A565">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1</w:t>
                  </w:r>
                  <w:r>
                    <w:rPr>
                      <w:rFonts w:hint="default"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rPr>
                    <w:t>.项目用地范围内均进行了硬底化处理。不存在土壤污染途径，且项目不排放重金属污染物，符合要求。</w:t>
                  </w:r>
                </w:p>
              </w:tc>
              <w:tc>
                <w:tcPr>
                  <w:tcW w:w="472" w:type="dxa"/>
                  <w:noWrap w:val="0"/>
                  <w:vAlign w:val="center"/>
                </w:tcPr>
                <w:p w14:paraId="4CFD062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7FC97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2" w:hRule="atLeast"/>
                <w:jc w:val="center"/>
              </w:trPr>
              <w:tc>
                <w:tcPr>
                  <w:tcW w:w="1013" w:type="dxa"/>
                  <w:vMerge w:val="continue"/>
                  <w:noWrap w:val="0"/>
                  <w:vAlign w:val="center"/>
                </w:tcPr>
                <w:p w14:paraId="7AA2B9B6">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3511" w:type="dxa"/>
                  <w:noWrap w:val="0"/>
                  <w:vAlign w:val="center"/>
                </w:tcPr>
                <w:p w14:paraId="21A8DBF6">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能源资源利用：</w:t>
                  </w:r>
                </w:p>
                <w:p w14:paraId="6941C5D5">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2-1.【能源/鼓励引导类】鼓励降低煤炭消耗、能源消耗，引导光伏等多种形式的新能源利用。</w:t>
                  </w:r>
                </w:p>
                <w:p w14:paraId="17FF25EC">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2-2.【能源/综合类】根据本地区大气环境质量改善要求逐步扩大高污染燃料禁燃区范围。</w:t>
                  </w:r>
                </w:p>
              </w:tc>
              <w:tc>
                <w:tcPr>
                  <w:tcW w:w="3622" w:type="dxa"/>
                  <w:noWrap w:val="0"/>
                  <w:vAlign w:val="center"/>
                </w:tcPr>
                <w:p w14:paraId="7432A4FA">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2-1.项目所用能源主要为电能，不使用煤炭。</w:t>
                  </w:r>
                </w:p>
                <w:p w14:paraId="65743C61">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2-2.项目所用能源主要为电能</w:t>
                  </w:r>
                  <w:r>
                    <w:rPr>
                      <w:rFonts w:hint="default" w:ascii="Times New Roman" w:hAnsi="Times New Roman" w:cs="Times New Roman"/>
                      <w:color w:val="auto"/>
                      <w:kern w:val="2"/>
                      <w:sz w:val="21"/>
                      <w:szCs w:val="21"/>
                      <w:lang w:val="en-US" w:eastAsia="zh-CN" w:bidi="ar-SA"/>
                    </w:rPr>
                    <w:t>，不涉及其他禁止燃料及对环境有影响的能源，符合要求。</w:t>
                  </w:r>
                </w:p>
              </w:tc>
              <w:tc>
                <w:tcPr>
                  <w:tcW w:w="472" w:type="dxa"/>
                  <w:noWrap w:val="0"/>
                  <w:vAlign w:val="center"/>
                </w:tcPr>
                <w:p w14:paraId="46236B70">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01C6D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3" w:hRule="atLeast"/>
                <w:jc w:val="center"/>
              </w:trPr>
              <w:tc>
                <w:tcPr>
                  <w:tcW w:w="1013" w:type="dxa"/>
                  <w:vMerge w:val="continue"/>
                  <w:noWrap w:val="0"/>
                  <w:vAlign w:val="center"/>
                </w:tcPr>
                <w:p w14:paraId="10293566">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3511" w:type="dxa"/>
                  <w:noWrap w:val="0"/>
                  <w:vAlign w:val="center"/>
                </w:tcPr>
                <w:p w14:paraId="1B287544">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污染物排放管控：</w:t>
                  </w:r>
                </w:p>
                <w:p w14:paraId="0DABE21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-1.【水/限制类】单元内城镇生活污水处理厂出水水质COD、氨氮、总磷排放执行国家《地表水环境质量》（GB3838-2002）Ⅴ类标准，其余指标执行国家《城镇污水处理厂污染物排放标》（GB18918-2002）一级A标准与广东省《水污染物排放限值》较严值的标准。</w:t>
                  </w:r>
                </w:p>
                <w:p w14:paraId="552A2D9B">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3-2.【水/限制类】严格控制流域内增加水污染物排放或对东江水质、水环境安全构成影响的项目。</w:t>
                  </w:r>
                </w:p>
                <w:p w14:paraId="312C52F7">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-3.【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2135A4D3">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3-4.【水/综合类】强化农业面源污染治理，控制农药化肥使用量。</w:t>
                  </w:r>
                </w:p>
                <w:p w14:paraId="45C8E72D">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3-5.【大气/限制类】重点行业新建涉VOCs排放的工业企业原则上应入园进区。新建项目VOCs实施倍量替代。</w:t>
                  </w:r>
                </w:p>
                <w:p w14:paraId="575471AB">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3-6.【土壤/禁止类】禁止向农用地排放重金属或者其他有毒有害物质含量超标的污水、污泥，以及可能造成土壤污染的清淤底泥、尾矿、矿渣等。</w:t>
                  </w:r>
                </w:p>
              </w:tc>
              <w:tc>
                <w:tcPr>
                  <w:tcW w:w="3622" w:type="dxa"/>
                  <w:noWrap w:val="0"/>
                  <w:vAlign w:val="center"/>
                </w:tcPr>
                <w:p w14:paraId="7642C0B7">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3-1.项目生活污水经三级化粪池处理后排入</w:t>
                  </w:r>
                  <w:r>
                    <w:rPr>
                      <w:rFonts w:hint="default" w:ascii="Times New Roman" w:hAnsi="Times New Roman" w:cs="Times New Roman"/>
                      <w:color w:val="auto"/>
                      <w:sz w:val="21"/>
                      <w:szCs w:val="21"/>
                      <w:lang w:val="en-US" w:eastAsia="zh-CN"/>
                    </w:rPr>
                    <w:t>园洲镇第五污水处理厂</w:t>
                  </w:r>
                  <w:r>
                    <w:rPr>
                      <w:rFonts w:hint="default" w:ascii="Times New Roman" w:hAnsi="Times New Roman" w:eastAsia="宋体" w:cs="Times New Roman"/>
                      <w:color w:val="auto"/>
                      <w:sz w:val="21"/>
                      <w:szCs w:val="21"/>
                    </w:rPr>
                    <w:t>处理，尾水氨氮和总磷执行《地表水环境质量标准》（GB3838-2002）中Ⅴ类标准，其余指标执行《城镇污水处理厂污染物排放标准》（GB18918-2002）一级A 标准及广东省地方标准《水污染物排放限值》（DB44/26-2001）第二时段一级标准的较严值</w:t>
                  </w:r>
                  <w:r>
                    <w:rPr>
                      <w:rFonts w:hint="default" w:ascii="Times New Roman" w:hAnsi="Times New Roman" w:cs="Times New Roman"/>
                      <w:color w:val="auto"/>
                      <w:sz w:val="21"/>
                      <w:szCs w:val="21"/>
                      <w:lang w:val="en-US" w:eastAsia="zh-CN"/>
                    </w:rPr>
                    <w:t>后</w:t>
                  </w:r>
                  <w:r>
                    <w:rPr>
                      <w:rFonts w:hint="default" w:ascii="Times New Roman" w:hAnsi="Times New Roman" w:eastAsia="宋体" w:cs="Times New Roman"/>
                      <w:color w:val="auto"/>
                      <w:sz w:val="21"/>
                      <w:szCs w:val="21"/>
                    </w:rPr>
                    <w:t>排入沙河，最后汇入东江</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项目生产废水不外排，</w:t>
                  </w:r>
                  <w:r>
                    <w:rPr>
                      <w:rFonts w:hint="default" w:ascii="Times New Roman" w:hAnsi="Times New Roman" w:cs="Times New Roman"/>
                      <w:color w:val="auto"/>
                      <w:sz w:val="21"/>
                      <w:szCs w:val="21"/>
                      <w:lang w:val="en-US" w:eastAsia="zh-CN"/>
                    </w:rPr>
                    <w:t>间接冷却废水</w:t>
                  </w:r>
                  <w:r>
                    <w:rPr>
                      <w:rFonts w:hint="default" w:ascii="Times New Roman" w:hAnsi="Times New Roman" w:eastAsia="宋体" w:cs="Times New Roman"/>
                      <w:color w:val="auto"/>
                      <w:sz w:val="21"/>
                      <w:szCs w:val="21"/>
                    </w:rPr>
                    <w:t>循环使用</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水帘柜废水、喷淋塔废水</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喷枪清洗废水</w:t>
                  </w:r>
                  <w:r>
                    <w:rPr>
                      <w:rFonts w:hint="default" w:ascii="Times New Roman" w:hAnsi="Times New Roman" w:eastAsia="宋体" w:cs="Times New Roman"/>
                      <w:color w:val="auto"/>
                      <w:sz w:val="21"/>
                      <w:szCs w:val="21"/>
                      <w:lang w:val="en-US" w:eastAsia="zh-CN"/>
                    </w:rPr>
                    <w:t>收集后</w:t>
                  </w:r>
                  <w:r>
                    <w:rPr>
                      <w:rFonts w:hint="default" w:ascii="Times New Roman" w:hAnsi="Times New Roman" w:eastAsia="宋体" w:cs="Times New Roman"/>
                      <w:color w:val="auto"/>
                      <w:sz w:val="21"/>
                      <w:szCs w:val="21"/>
                    </w:rPr>
                    <w:t>交由</w:t>
                  </w:r>
                  <w:r>
                    <w:rPr>
                      <w:rFonts w:hint="default" w:ascii="Times New Roman" w:hAnsi="Times New Roman" w:eastAsia="宋体" w:cs="Times New Roman"/>
                      <w:color w:val="auto"/>
                      <w:sz w:val="21"/>
                      <w:szCs w:val="21"/>
                      <w:lang w:eastAsia="zh-CN"/>
                    </w:rPr>
                    <w:t>有危险废物资质</w:t>
                  </w:r>
                  <w:r>
                    <w:rPr>
                      <w:rFonts w:hint="default" w:ascii="Times New Roman" w:hAnsi="Times New Roman" w:eastAsia="宋体" w:cs="Times New Roman"/>
                      <w:color w:val="auto"/>
                      <w:sz w:val="21"/>
                      <w:szCs w:val="21"/>
                    </w:rPr>
                    <w:t>的单位处理，不外排</w:t>
                  </w:r>
                  <w:r>
                    <w:rPr>
                      <w:rFonts w:hint="default" w:ascii="Times New Roman" w:hAnsi="Times New Roman" w:eastAsia="宋体" w:cs="Times New Roman"/>
                      <w:color w:val="auto"/>
                      <w:sz w:val="21"/>
                      <w:szCs w:val="21"/>
                      <w:lang w:eastAsia="zh-CN"/>
                    </w:rPr>
                    <w:t>。</w:t>
                  </w:r>
                </w:p>
                <w:p w14:paraId="29D6F9A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3-2.</w:t>
                  </w:r>
                  <w:r>
                    <w:rPr>
                      <w:rFonts w:hint="default" w:ascii="Times New Roman" w:hAnsi="Times New Roman" w:eastAsia="宋体" w:cs="Times New Roman"/>
                      <w:color w:val="auto"/>
                      <w:sz w:val="21"/>
                      <w:szCs w:val="21"/>
                    </w:rPr>
                    <w:t>项目生活污水经三级化粪池处理后排入</w:t>
                  </w:r>
                  <w:r>
                    <w:rPr>
                      <w:rFonts w:hint="default" w:ascii="Times New Roman" w:hAnsi="Times New Roman" w:cs="Times New Roman"/>
                      <w:color w:val="auto"/>
                      <w:sz w:val="21"/>
                      <w:szCs w:val="21"/>
                      <w:lang w:val="en-US" w:eastAsia="zh-CN"/>
                    </w:rPr>
                    <w:t>园洲镇第五污水处理厂</w:t>
                  </w:r>
                  <w:r>
                    <w:rPr>
                      <w:rFonts w:hint="default" w:ascii="Times New Roman" w:hAnsi="Times New Roman" w:eastAsia="宋体" w:cs="Times New Roman"/>
                      <w:color w:val="auto"/>
                      <w:sz w:val="21"/>
                      <w:szCs w:val="21"/>
                    </w:rPr>
                    <w:t>处理</w:t>
                  </w:r>
                  <w:r>
                    <w:rPr>
                      <w:rFonts w:hint="default"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sz w:val="21"/>
                      <w:szCs w:val="21"/>
                    </w:rPr>
                    <w:t>项目生产废水不外排，</w:t>
                  </w:r>
                  <w:r>
                    <w:rPr>
                      <w:rFonts w:hint="default" w:ascii="Times New Roman" w:hAnsi="Times New Roman" w:cs="Times New Roman"/>
                      <w:color w:val="auto"/>
                      <w:sz w:val="21"/>
                      <w:szCs w:val="21"/>
                      <w:lang w:val="en-US" w:eastAsia="zh-CN"/>
                    </w:rPr>
                    <w:t>间接冷却废水</w:t>
                  </w:r>
                  <w:r>
                    <w:rPr>
                      <w:rFonts w:hint="default" w:ascii="Times New Roman" w:hAnsi="Times New Roman" w:eastAsia="宋体" w:cs="Times New Roman"/>
                      <w:color w:val="auto"/>
                      <w:sz w:val="21"/>
                      <w:szCs w:val="21"/>
                    </w:rPr>
                    <w:t>循环使用</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水帘柜废水、喷淋塔废水</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喷枪清洗废水</w:t>
                  </w:r>
                  <w:r>
                    <w:rPr>
                      <w:rFonts w:hint="default" w:ascii="Times New Roman" w:hAnsi="Times New Roman" w:eastAsia="宋体" w:cs="Times New Roman"/>
                      <w:color w:val="auto"/>
                      <w:sz w:val="21"/>
                      <w:szCs w:val="21"/>
                      <w:lang w:val="en-US" w:eastAsia="zh-CN"/>
                    </w:rPr>
                    <w:t>收集后</w:t>
                  </w:r>
                  <w:r>
                    <w:rPr>
                      <w:rFonts w:hint="default" w:ascii="Times New Roman" w:hAnsi="Times New Roman" w:eastAsia="宋体" w:cs="Times New Roman"/>
                      <w:color w:val="auto"/>
                      <w:sz w:val="21"/>
                      <w:szCs w:val="21"/>
                    </w:rPr>
                    <w:t>交由</w:t>
                  </w:r>
                  <w:r>
                    <w:rPr>
                      <w:rFonts w:hint="default" w:ascii="Times New Roman" w:hAnsi="Times New Roman" w:eastAsia="宋体" w:cs="Times New Roman"/>
                      <w:color w:val="auto"/>
                      <w:sz w:val="21"/>
                      <w:szCs w:val="21"/>
                      <w:lang w:eastAsia="zh-CN"/>
                    </w:rPr>
                    <w:t>有危险废物资质</w:t>
                  </w:r>
                  <w:r>
                    <w:rPr>
                      <w:rFonts w:hint="default" w:ascii="Times New Roman" w:hAnsi="Times New Roman" w:eastAsia="宋体" w:cs="Times New Roman"/>
                      <w:color w:val="auto"/>
                      <w:sz w:val="21"/>
                      <w:szCs w:val="21"/>
                    </w:rPr>
                    <w:t>的单位处理，不外排</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kern w:val="2"/>
                      <w:sz w:val="21"/>
                      <w:szCs w:val="21"/>
                      <w:lang w:val="en-US" w:eastAsia="zh-CN" w:bidi="ar-SA"/>
                    </w:rPr>
                    <w:t>不会对东江水质、水环境安全构成影响。</w:t>
                  </w:r>
                </w:p>
                <w:p w14:paraId="6F44FC58">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3-3.此项由政府统一规划建设。</w:t>
                  </w:r>
                </w:p>
                <w:p w14:paraId="2CF37EE9">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3-4.项目不涉及农药化肥使用，符合要求。</w:t>
                  </w:r>
                </w:p>
                <w:p w14:paraId="2275CC6D">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3-5.本项目不属于重点行业。产生的废气拟经收集至废气处理设施处理达标后排放</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kern w:val="2"/>
                      <w:sz w:val="21"/>
                      <w:szCs w:val="21"/>
                      <w:lang w:val="en-US" w:eastAsia="zh-CN" w:bidi="ar-SA"/>
                    </w:rPr>
                    <w:t>项目VOCs总量由生态环境局</w:t>
                  </w:r>
                  <w:r>
                    <w:rPr>
                      <w:rFonts w:hint="default" w:ascii="Times New Roman" w:hAnsi="Times New Roman" w:cs="Times New Roman"/>
                      <w:color w:val="auto"/>
                      <w:kern w:val="2"/>
                      <w:sz w:val="21"/>
                      <w:szCs w:val="21"/>
                      <w:lang w:val="en-US" w:eastAsia="zh-CN" w:bidi="ar-SA"/>
                    </w:rPr>
                    <w:t>博罗</w:t>
                  </w:r>
                  <w:r>
                    <w:rPr>
                      <w:rFonts w:hint="default" w:ascii="Times New Roman" w:hAnsi="Times New Roman" w:eastAsia="宋体" w:cs="Times New Roman"/>
                      <w:color w:val="auto"/>
                      <w:kern w:val="2"/>
                      <w:sz w:val="21"/>
                      <w:szCs w:val="21"/>
                      <w:lang w:val="en-US" w:eastAsia="zh-CN" w:bidi="ar-SA"/>
                    </w:rPr>
                    <w:t>分局</w:t>
                  </w:r>
                  <w:r>
                    <w:rPr>
                      <w:rFonts w:hint="default" w:ascii="Times New Roman" w:hAnsi="Times New Roman" w:eastAsia="宋体" w:cs="Times New Roman"/>
                      <w:color w:val="auto"/>
                      <w:kern w:val="2"/>
                      <w:sz w:val="21"/>
                      <w:szCs w:val="21"/>
                      <w:vertAlign w:val="baseline"/>
                      <w:lang w:val="en-US" w:eastAsia="zh-CN" w:bidi="ar-SA"/>
                    </w:rPr>
                    <w:t>统一</w:t>
                  </w:r>
                  <w:r>
                    <w:rPr>
                      <w:rFonts w:hint="default" w:ascii="Times New Roman" w:hAnsi="Times New Roman" w:eastAsia="宋体" w:cs="Times New Roman"/>
                      <w:color w:val="auto"/>
                      <w:kern w:val="2"/>
                      <w:sz w:val="21"/>
                      <w:szCs w:val="21"/>
                      <w:lang w:val="en-US" w:eastAsia="zh-CN" w:bidi="ar-SA"/>
                    </w:rPr>
                    <w:t>调配，实行倍量替代。</w:t>
                  </w:r>
                </w:p>
                <w:p w14:paraId="4413E467">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lang w:val="en-US" w:eastAsia="zh-CN" w:bidi="ar-SA"/>
                    </w:rPr>
                    <w:t>3-6.</w:t>
                  </w:r>
                  <w:r>
                    <w:rPr>
                      <w:rFonts w:hint="default" w:ascii="Times New Roman" w:hAnsi="Times New Roman" w:cs="Times New Roman"/>
                      <w:color w:val="auto"/>
                      <w:sz w:val="21"/>
                      <w:szCs w:val="21"/>
                    </w:rPr>
                    <w:t>项目生产过程中不产生重金属或者其他有毒有害物质含量超标的污水、污泥，以及可能造成土壤污染的清淤底泥、尾矿、矿渣等</w:t>
                  </w:r>
                  <w:r>
                    <w:rPr>
                      <w:rFonts w:hint="default" w:ascii="Times New Roman" w:hAnsi="Times New Roman" w:eastAsia="宋体" w:cs="Times New Roman"/>
                      <w:color w:val="auto"/>
                      <w:sz w:val="21"/>
                      <w:szCs w:val="21"/>
                    </w:rPr>
                    <w:t>。</w:t>
                  </w:r>
                </w:p>
              </w:tc>
              <w:tc>
                <w:tcPr>
                  <w:tcW w:w="472" w:type="dxa"/>
                  <w:noWrap w:val="0"/>
                  <w:vAlign w:val="center"/>
                </w:tcPr>
                <w:p w14:paraId="6D7DAEE1">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1A615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1" w:hRule="atLeast"/>
                <w:jc w:val="center"/>
              </w:trPr>
              <w:tc>
                <w:tcPr>
                  <w:tcW w:w="1013" w:type="dxa"/>
                  <w:vMerge w:val="continue"/>
                  <w:noWrap w:val="0"/>
                  <w:vAlign w:val="center"/>
                </w:tcPr>
                <w:p w14:paraId="465692C0">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3511" w:type="dxa"/>
                  <w:noWrap w:val="0"/>
                  <w:vAlign w:val="center"/>
                </w:tcPr>
                <w:p w14:paraId="3EA4D836">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环境风险防控：</w:t>
                  </w:r>
                </w:p>
                <w:p w14:paraId="4EDE3B6C">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4-1.【水/综合类】城镇污水处理厂、涉水企业应采取有效措施，防止事故废水直接排入水体。</w:t>
                  </w:r>
                </w:p>
                <w:p w14:paraId="518ED21A">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4-2.【水/综合类】加强饮用水水源保护区内环境风险排查，开展风险评估及水环境预警监测。</w:t>
                  </w:r>
                </w:p>
                <w:p w14:paraId="7FBB5D40">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3622" w:type="dxa"/>
                  <w:noWrap w:val="0"/>
                  <w:vAlign w:val="center"/>
                </w:tcPr>
                <w:p w14:paraId="4F3A2600">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w:t>
                  </w:r>
                  <w:r>
                    <w:rPr>
                      <w:rFonts w:hint="default" w:ascii="Times New Roman" w:hAnsi="Times New Roman" w:cs="Times New Roman"/>
                      <w:color w:val="auto"/>
                      <w:sz w:val="21"/>
                      <w:szCs w:val="21"/>
                      <w:lang w:val="en-US" w:eastAsia="zh-CN"/>
                    </w:rPr>
                    <w:t>园洲镇第五污水处理厂</w:t>
                  </w:r>
                  <w:r>
                    <w:rPr>
                      <w:rFonts w:hint="default" w:ascii="Times New Roman" w:hAnsi="Times New Roman" w:eastAsia="宋体" w:cs="Times New Roman"/>
                      <w:color w:val="auto"/>
                      <w:sz w:val="21"/>
                      <w:szCs w:val="21"/>
                    </w:rPr>
                    <w:t>已采取有效措施，防止事故废水直接排入水体。</w:t>
                  </w:r>
                </w:p>
                <w:p w14:paraId="3B650937">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4-2.项目所在地不在饮用水源保护区内。</w:t>
                  </w:r>
                </w:p>
                <w:p w14:paraId="35861A3E">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4-3.项目计划制定并实施公司环境事故应急预警制度，明确管理组织、责任与责任范围、预防措施、宣传教育等内容。项目不属于生产、储存和使用有毒有害气体的企业。</w:t>
                  </w:r>
                </w:p>
              </w:tc>
              <w:tc>
                <w:tcPr>
                  <w:tcW w:w="472" w:type="dxa"/>
                  <w:noWrap w:val="0"/>
                  <w:vAlign w:val="center"/>
                </w:tcPr>
                <w:p w14:paraId="79E4CCCC">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bl>
          <w:p w14:paraId="2B3C1C72">
            <w:pPr>
              <w:rPr>
                <w:rFonts w:hint="default" w:ascii="Times New Roman" w:hAnsi="Times New Roman" w:cs="Times New Roman"/>
                <w:b/>
                <w:color w:val="auto"/>
              </w:rPr>
            </w:pPr>
            <w:r>
              <w:rPr>
                <w:rFonts w:hint="default" w:ascii="Times New Roman" w:hAnsi="Times New Roman" w:eastAsia="宋体" w:cs="Times New Roman"/>
                <w:b w:val="0"/>
                <w:bCs w:val="0"/>
                <w:color w:val="auto"/>
                <w:kern w:val="2"/>
                <w:sz w:val="24"/>
                <w:szCs w:val="24"/>
                <w:highlight w:val="none"/>
                <w:lang w:val="en-US" w:eastAsia="zh-CN" w:bidi="ar-SA"/>
              </w:rPr>
              <w:t>因此，本项目与《博罗县生态保护红线、环境质量底线、资源利用上线和环境准入清单研究报告》相符。</w:t>
            </w:r>
            <w:r>
              <w:rPr>
                <w:rFonts w:hint="default" w:ascii="Times New Roman" w:hAnsi="Times New Roman" w:eastAsia="宋体" w:cs="Times New Roman"/>
                <w:b w:val="0"/>
                <w:bCs w:val="0"/>
                <w:color w:val="auto"/>
                <w:kern w:val="2"/>
                <w:sz w:val="24"/>
                <w:szCs w:val="24"/>
                <w:highlight w:val="none"/>
                <w:lang w:val="en-US" w:eastAsia="zh-CN" w:bidi="ar-SA"/>
              </w:rPr>
              <w:br w:type="textWrapping"/>
            </w:r>
            <w:r>
              <w:rPr>
                <w:rFonts w:hint="default" w:ascii="Times New Roman" w:hAnsi="Times New Roman" w:cs="Times New Roman"/>
                <w:b/>
                <w:color w:val="auto"/>
                <w:lang w:val="en-US" w:eastAsia="zh-CN"/>
              </w:rPr>
              <w:t>3</w:t>
            </w:r>
            <w:r>
              <w:rPr>
                <w:rFonts w:hint="default" w:ascii="Times New Roman" w:hAnsi="Times New Roman" w:cs="Times New Roman"/>
                <w:b/>
                <w:color w:val="auto"/>
              </w:rPr>
              <w:t>、选址合理性</w:t>
            </w:r>
          </w:p>
          <w:p w14:paraId="17DADABF">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rPr>
              <w:t>项目选址</w:t>
            </w:r>
            <w:r>
              <w:rPr>
                <w:rFonts w:hint="default" w:ascii="Times New Roman" w:hAnsi="Times New Roman" w:cs="Times New Roman"/>
                <w:color w:val="auto"/>
                <w:spacing w:val="-2"/>
                <w:lang w:bidi="ar"/>
              </w:rPr>
              <w:t>于</w:t>
            </w:r>
            <w:r>
              <w:rPr>
                <w:rFonts w:hint="default" w:ascii="Times New Roman" w:hAnsi="Times New Roman" w:cs="Times New Roman"/>
                <w:color w:val="auto"/>
                <w:lang w:eastAsia="zh-CN"/>
              </w:rPr>
              <w:t>博罗县园洲镇博罗智能装备产业园园洲片区绿化北路3号(4-a/4-b号厂房601/701楼)</w:t>
            </w:r>
            <w:r>
              <w:rPr>
                <w:rFonts w:hint="default" w:ascii="Times New Roman" w:hAnsi="Times New Roman" w:cs="Times New Roman"/>
                <w:color w:val="auto"/>
              </w:rPr>
              <w:t>，</w:t>
            </w:r>
            <w:r>
              <w:rPr>
                <w:rFonts w:hint="default" w:ascii="Times New Roman" w:hAnsi="Times New Roman" w:cs="Times New Roman"/>
                <w:color w:val="auto"/>
                <w:spacing w:val="-2"/>
                <w:lang w:val="en-US" w:eastAsia="zh-CN" w:bidi="ar"/>
              </w:rPr>
              <w:t>根据《园洲镇土地利用总体规划（2010-2020年）调整完善》</w:t>
            </w:r>
            <w:r>
              <w:rPr>
                <w:rFonts w:hint="default" w:ascii="Times New Roman" w:hAnsi="Times New Roman" w:cs="Times New Roman"/>
                <w:color w:val="auto"/>
              </w:rPr>
              <w:t>（附图1</w:t>
            </w:r>
            <w:r>
              <w:rPr>
                <w:rFonts w:hint="default" w:ascii="Times New Roman" w:hAnsi="Times New Roman" w:cs="Times New Roman"/>
                <w:color w:val="auto"/>
                <w:lang w:val="en-US" w:eastAsia="zh-CN"/>
              </w:rPr>
              <w:t>9</w:t>
            </w:r>
            <w:r>
              <w:rPr>
                <w:rFonts w:hint="default" w:ascii="Times New Roman" w:hAnsi="Times New Roman" w:cs="Times New Roman"/>
                <w:color w:val="auto"/>
              </w:rPr>
              <w:t>）</w:t>
            </w:r>
            <w:r>
              <w:rPr>
                <w:rFonts w:hint="default" w:ascii="Times New Roman" w:hAnsi="Times New Roman" w:cs="Times New Roman"/>
                <w:color w:val="auto"/>
                <w:spacing w:val="-2"/>
                <w:lang w:bidi="ar"/>
              </w:rPr>
              <w:t>以及国土证（附件3），</w:t>
            </w:r>
            <w:r>
              <w:rPr>
                <w:rFonts w:hint="default" w:ascii="Times New Roman" w:hAnsi="Times New Roman" w:cs="Times New Roman"/>
                <w:color w:val="auto"/>
                <w:spacing w:val="-2"/>
                <w:lang w:val="en-US" w:eastAsia="zh-CN" w:bidi="ar"/>
              </w:rPr>
              <w:t>项目用地类型为工业用地，根据建设单位提供的国土证，项目用地用途为工业用地，与规划相符。项目四面均为厂房，所在区域符合</w:t>
            </w:r>
            <w:r>
              <w:rPr>
                <w:rFonts w:hint="default" w:ascii="Times New Roman" w:hAnsi="Times New Roman" w:eastAsia="宋体" w:cs="Times New Roman"/>
                <w:color w:val="auto"/>
                <w:kern w:val="0"/>
                <w:sz w:val="24"/>
                <w:szCs w:val="24"/>
                <w:lang w:val="en-US" w:eastAsia="zh-CN" w:bidi="ar-SA"/>
              </w:rPr>
              <w:t>《惠州市人民政府关于印发惠州市“三线一单”生态环境分区管控方案的通知》（惠府〔2021〕23号）要求。项目所在区域目前地表水环境、大气环境、声环境等质量现状良好，项目建成后，废水、废气、噪声等污染物可达标排放，固体废物得到妥善处置，对所在区域环境质量现状造成</w:t>
            </w:r>
            <w:r>
              <w:rPr>
                <w:rFonts w:hint="default" w:ascii="Times New Roman" w:hAnsi="Times New Roman" w:cs="Times New Roman"/>
                <w:color w:val="auto"/>
                <w:kern w:val="0"/>
                <w:sz w:val="24"/>
                <w:szCs w:val="24"/>
                <w:lang w:val="en-US" w:eastAsia="zh-CN" w:bidi="ar-SA"/>
              </w:rPr>
              <w:t>的</w:t>
            </w:r>
            <w:r>
              <w:rPr>
                <w:rFonts w:hint="default" w:ascii="Times New Roman" w:hAnsi="Times New Roman" w:eastAsia="宋体" w:cs="Times New Roman"/>
                <w:color w:val="auto"/>
                <w:kern w:val="0"/>
                <w:sz w:val="24"/>
                <w:szCs w:val="24"/>
                <w:lang w:val="en-US" w:eastAsia="zh-CN" w:bidi="ar-SA"/>
              </w:rPr>
              <w:t>影响</w:t>
            </w:r>
            <w:r>
              <w:rPr>
                <w:rFonts w:hint="default" w:ascii="Times New Roman" w:hAnsi="Times New Roman" w:cs="Times New Roman"/>
                <w:color w:val="auto"/>
                <w:kern w:val="0"/>
                <w:sz w:val="24"/>
                <w:szCs w:val="24"/>
                <w:lang w:val="en-US" w:eastAsia="zh-CN" w:bidi="ar-SA"/>
              </w:rPr>
              <w:t>较小</w:t>
            </w:r>
            <w:r>
              <w:rPr>
                <w:rFonts w:hint="default" w:ascii="Times New Roman" w:hAnsi="Times New Roman" w:eastAsia="宋体" w:cs="Times New Roman"/>
                <w:color w:val="auto"/>
                <w:kern w:val="0"/>
                <w:sz w:val="24"/>
                <w:szCs w:val="24"/>
                <w:lang w:val="en-US" w:eastAsia="zh-CN" w:bidi="ar-SA"/>
              </w:rPr>
              <w:t>，可满足环境功能区划的要求。</w:t>
            </w:r>
            <w:r>
              <w:rPr>
                <w:rFonts w:hint="default" w:ascii="Times New Roman" w:hAnsi="Times New Roman" w:eastAsia="宋体" w:cs="Times New Roman"/>
                <w:color w:val="auto"/>
                <w:spacing w:val="-2"/>
                <w:lang w:val="en-US" w:eastAsia="zh-CN" w:bidi="ar"/>
              </w:rPr>
              <w:t>项目用地不涉及</w:t>
            </w:r>
            <w:r>
              <w:rPr>
                <w:rFonts w:hint="default" w:ascii="Times New Roman" w:hAnsi="Times New Roman" w:eastAsia="宋体" w:cs="Times New Roman"/>
                <w:color w:val="auto"/>
                <w:kern w:val="0"/>
                <w:sz w:val="24"/>
                <w:szCs w:val="24"/>
              </w:rPr>
              <w:t>风景名胜区、饮用水源保护区、基本农田保护区及其它需要特殊保护的敏感区</w:t>
            </w:r>
            <w:r>
              <w:rPr>
                <w:rFonts w:hint="default" w:ascii="Times New Roman" w:hAnsi="Times New Roman" w:eastAsia="宋体" w:cs="Times New Roman"/>
                <w:color w:val="auto"/>
                <w:sz w:val="24"/>
                <w:szCs w:val="22"/>
              </w:rPr>
              <w:t>。</w:t>
            </w:r>
            <w:r>
              <w:rPr>
                <w:rFonts w:hint="default" w:ascii="Times New Roman" w:hAnsi="Times New Roman" w:cs="Times New Roman"/>
                <w:color w:val="auto"/>
                <w:sz w:val="24"/>
                <w:szCs w:val="22"/>
                <w:lang w:val="en-US" w:eastAsia="zh-CN"/>
              </w:rPr>
              <w:t>因此，项目选址具有合理性。</w:t>
            </w:r>
          </w:p>
          <w:p w14:paraId="01E31FF3">
            <w:pPr>
              <w:rPr>
                <w:rFonts w:hint="default" w:ascii="Times New Roman" w:hAnsi="Times New Roman" w:cs="Times New Roman"/>
                <w:b/>
                <w:bCs/>
                <w:color w:val="auto"/>
                <w:szCs w:val="22"/>
              </w:rPr>
            </w:pPr>
            <w:bookmarkStart w:id="1" w:name="相符性"/>
            <w:bookmarkEnd w:id="1"/>
            <w:bookmarkStart w:id="2" w:name="惠东产业转移工业园"/>
            <w:bookmarkEnd w:id="2"/>
            <w:r>
              <w:rPr>
                <w:rFonts w:hint="default" w:ascii="Times New Roman" w:hAnsi="Times New Roman" w:cs="Times New Roman"/>
                <w:b/>
                <w:color w:val="auto"/>
                <w:lang w:val="en-US" w:eastAsia="zh-CN"/>
              </w:rPr>
              <w:t>4</w:t>
            </w:r>
            <w:r>
              <w:rPr>
                <w:rFonts w:hint="default" w:ascii="Times New Roman" w:hAnsi="Times New Roman" w:cs="Times New Roman"/>
                <w:b/>
                <w:color w:val="auto"/>
              </w:rPr>
              <w:t>、</w:t>
            </w:r>
            <w:r>
              <w:rPr>
                <w:rFonts w:hint="default" w:ascii="Times New Roman" w:hAnsi="Times New Roman" w:cs="Times New Roman"/>
                <w:b/>
                <w:bCs/>
                <w:color w:val="auto"/>
                <w:szCs w:val="22"/>
              </w:rPr>
              <w:t>与环境管理要求的相符性分析</w:t>
            </w:r>
          </w:p>
          <w:p w14:paraId="21E4360B">
            <w:pPr>
              <w:rPr>
                <w:rFonts w:hint="default" w:ascii="Times New Roman" w:hAnsi="Times New Roman" w:cs="Times New Roman"/>
                <w:b/>
                <w:color w:val="auto"/>
                <w:kern w:val="0"/>
              </w:rPr>
            </w:pPr>
            <w:r>
              <w:rPr>
                <w:rFonts w:hint="default" w:ascii="Times New Roman" w:hAnsi="Times New Roman" w:cs="Times New Roman"/>
                <w:b/>
                <w:bCs/>
                <w:color w:val="auto"/>
              </w:rPr>
              <w:t>（1）与《关于严格限制东江流域水污染项目建设进一步做好东江水质保护工作的通知》（粤府函〔2011〕339号）及其补充通知（粤府函〔2013〕231号）的相符性</w:t>
            </w:r>
          </w:p>
          <w:p w14:paraId="7DD6B87C">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“强化涉重金属污染项目管理：东江流域内停止审批向河流排放汞、砷、镉、铬、铅等重金属污染物和持久性有机污染物的项目。</w:t>
            </w:r>
          </w:p>
          <w:p w14:paraId="6B8FA1F4">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7D5B27CE">
            <w:pPr>
              <w:ind w:firstLine="482" w:firstLineChars="200"/>
              <w:rPr>
                <w:rFonts w:hint="default" w:ascii="Times New Roman" w:hAnsi="Times New Roman" w:cs="Times New Roman"/>
                <w:color w:val="auto"/>
                <w:kern w:val="0"/>
              </w:rPr>
            </w:pPr>
            <w:r>
              <w:rPr>
                <w:rFonts w:hint="default" w:ascii="Times New Roman" w:hAnsi="Times New Roman" w:cs="Times New Roman"/>
                <w:b/>
                <w:color w:val="auto"/>
                <w:kern w:val="0"/>
              </w:rPr>
              <w:t>相符性分析：</w:t>
            </w:r>
            <w:r>
              <w:rPr>
                <w:rFonts w:hint="default" w:ascii="Times New Roman" w:hAnsi="Times New Roman" w:cs="Times New Roman"/>
                <w:color w:val="auto"/>
                <w:kern w:val="0"/>
              </w:rPr>
              <w:t>项目属于新建性质，</w:t>
            </w:r>
            <w:r>
              <w:rPr>
                <w:rFonts w:hint="default" w:ascii="Times New Roman" w:hAnsi="Times New Roman" w:cs="Times New Roman"/>
                <w:color w:val="auto"/>
                <w:szCs w:val="22"/>
              </w:rPr>
              <w:t>从事</w:t>
            </w:r>
            <w:r>
              <w:rPr>
                <w:rFonts w:hint="default" w:ascii="Times New Roman" w:hAnsi="Times New Roman" w:cs="Times New Roman"/>
                <w:color w:val="auto"/>
                <w:szCs w:val="22"/>
                <w:lang w:val="en-US" w:eastAsia="zh-CN"/>
              </w:rPr>
              <w:t>硅胶制品和模具</w:t>
            </w:r>
            <w:r>
              <w:rPr>
                <w:rFonts w:hint="default" w:ascii="Times New Roman" w:hAnsi="Times New Roman" w:cs="Times New Roman"/>
                <w:color w:val="auto"/>
                <w:szCs w:val="22"/>
              </w:rPr>
              <w:t>的生产</w:t>
            </w:r>
            <w:r>
              <w:rPr>
                <w:rFonts w:hint="default" w:ascii="Times New Roman" w:hAnsi="Times New Roman" w:cs="Times New Roman"/>
                <w:color w:val="auto"/>
                <w:kern w:val="0"/>
              </w:rPr>
              <w:t>，不产生和排放重金属污染物和持久性有机污染物，不属于以上禁批或限批行业，生产过程中不涉及上述生产工艺。项目</w:t>
            </w:r>
            <w:r>
              <w:rPr>
                <w:rFonts w:hint="default" w:ascii="Times New Roman" w:hAnsi="Times New Roman" w:cs="Times New Roman"/>
                <w:color w:val="auto"/>
                <w:lang w:val="en-US" w:eastAsia="zh-CN"/>
              </w:rPr>
              <w:t>间接冷却废水循环使用不外排，喷淋废水、水帘柜废水和喷枪清洗废水</w:t>
            </w:r>
            <w:r>
              <w:rPr>
                <w:rFonts w:hint="default" w:ascii="Times New Roman" w:hAnsi="Times New Roman" w:cs="Times New Roman"/>
                <w:color w:val="auto"/>
              </w:rPr>
              <w:t>收集后交由有资质的单位处置</w:t>
            </w:r>
            <w:r>
              <w:rPr>
                <w:rFonts w:hint="default" w:ascii="Times New Roman" w:hAnsi="Times New Roman" w:cs="Times New Roman"/>
                <w:color w:val="auto"/>
                <w:kern w:val="0"/>
              </w:rPr>
              <w:t>，生活污水经三级化粪池预处理后纳入市政管网进入</w:t>
            </w:r>
            <w:r>
              <w:rPr>
                <w:rFonts w:hint="default" w:ascii="Times New Roman" w:hAnsi="Times New Roman" w:cs="Times New Roman"/>
                <w:color w:val="auto"/>
                <w:kern w:val="0"/>
                <w:lang w:eastAsia="zh-CN"/>
              </w:rPr>
              <w:t>园洲镇第五污水处理厂</w:t>
            </w:r>
            <w:r>
              <w:rPr>
                <w:rFonts w:hint="default" w:ascii="Times New Roman" w:hAnsi="Times New Roman" w:cs="Times New Roman"/>
                <w:color w:val="auto"/>
                <w:kern w:val="0"/>
              </w:rPr>
              <w:t>处理，纳污水体为</w:t>
            </w:r>
            <w:r>
              <w:rPr>
                <w:rFonts w:hint="default" w:ascii="Times New Roman" w:hAnsi="Times New Roman" w:cs="Times New Roman"/>
                <w:color w:val="auto"/>
                <w:kern w:val="0"/>
                <w:lang w:eastAsia="zh-CN"/>
              </w:rPr>
              <w:t>沙河</w:t>
            </w:r>
            <w:r>
              <w:rPr>
                <w:rFonts w:hint="default" w:ascii="Times New Roman" w:hAnsi="Times New Roman" w:cs="Times New Roman"/>
                <w:color w:val="auto"/>
                <w:kern w:val="0"/>
              </w:rPr>
              <w:t>。</w:t>
            </w:r>
          </w:p>
          <w:p w14:paraId="175B8B01">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因此，项目符合《关于严格限制东江流域水污染项目建设进一步做好东江水质保护工作的通知》（粤府函〔2011〕339号）及其补充通知（粤府函〔2013〕231号）的要求。</w:t>
            </w:r>
          </w:p>
          <w:p w14:paraId="0A7DD8CB">
            <w:pPr>
              <w:pStyle w:val="55"/>
              <w:adjustRightInd/>
              <w:snapToGrid/>
              <w:ind w:firstLine="0" w:firstLineChars="0"/>
              <w:rPr>
                <w:rFonts w:hint="default" w:ascii="Times New Roman" w:hAnsi="Times New Roman" w:cs="Times New Roman"/>
                <w:b/>
                <w:bCs/>
                <w:color w:val="auto"/>
              </w:rPr>
            </w:pPr>
            <w:r>
              <w:rPr>
                <w:rFonts w:hint="default" w:ascii="Times New Roman" w:hAnsi="Times New Roman" w:cs="Times New Roman"/>
                <w:b/>
                <w:color w:val="auto"/>
                <w:szCs w:val="20"/>
              </w:rPr>
              <w:t>（2）</w:t>
            </w:r>
            <w:r>
              <w:rPr>
                <w:rFonts w:hint="default" w:ascii="Times New Roman" w:hAnsi="Times New Roman" w:cs="Times New Roman"/>
                <w:b/>
                <w:bCs/>
                <w:color w:val="auto"/>
              </w:rPr>
              <w:t>与《广东省水污染防治条例》的相符性分析</w:t>
            </w:r>
          </w:p>
          <w:p w14:paraId="1EF7FF4D">
            <w:pPr>
              <w:ind w:firstLine="480" w:firstLineChars="200"/>
              <w:rPr>
                <w:rFonts w:hint="default" w:ascii="Times New Roman" w:hAnsi="Times New Roman" w:cs="Times New Roman"/>
                <w:color w:val="auto"/>
              </w:rPr>
            </w:pPr>
            <w:r>
              <w:rPr>
                <w:rFonts w:hint="default" w:ascii="Times New Roman" w:hAnsi="Times New Roman" w:cs="Times New Roman"/>
                <w:color w:val="auto"/>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14:paraId="58B319C3">
            <w:pPr>
              <w:ind w:firstLine="480" w:firstLineChars="200"/>
              <w:rPr>
                <w:rFonts w:hint="default" w:ascii="Times New Roman" w:hAnsi="Times New Roman" w:cs="Times New Roman"/>
                <w:color w:val="auto"/>
              </w:rPr>
            </w:pPr>
            <w:r>
              <w:rPr>
                <w:rFonts w:hint="default" w:ascii="Times New Roman" w:hAnsi="Times New Roman" w:cs="Times New Roman"/>
                <w:color w:val="auto"/>
              </w:rPr>
              <w:t>第三十一条  新区建设和旧城区改造，应当同步规划建设污水、雨水收集管网，实行雨污分流。在有条件的地区，应当逐步推进初期雨水调蓄处理和利用，减少水污染。已实行雨污分流的区域，不得向雨水收集口、雨水管道排放污水。尚未实行雨污分流的区域，应当按照要求逐步进行雨污分流改造；难以改造的，应当采取沿河截污、调蓄和治理等措施，防止污染水环境。</w:t>
            </w:r>
          </w:p>
          <w:p w14:paraId="2A70B3CD">
            <w:pPr>
              <w:ind w:firstLine="480" w:firstLineChars="200"/>
              <w:rPr>
                <w:rFonts w:hint="default" w:ascii="Times New Roman" w:hAnsi="Times New Roman" w:cs="Times New Roman"/>
                <w:color w:val="auto"/>
              </w:rPr>
            </w:pPr>
            <w:r>
              <w:rPr>
                <w:rFonts w:hint="default" w:ascii="Times New Roman" w:hAnsi="Times New Roman" w:cs="Times New Roman"/>
                <w:color w:val="auto"/>
              </w:rPr>
              <w:t>第三十三条  县级以上人民政府应当鼓励污水再生利用，在资金、技术等方面扶持再生水利用项目，进行城镇新区建设、旧城改造和市政基础设施建设时，配套建设再生水利用设施。工业生产、城市绿化、道路清扫、车辆冲洗、建筑施工以及生态景观等，应当优先使用再生水。有条件使用再生水的单位，应当优先使用再生水。</w:t>
            </w:r>
          </w:p>
          <w:p w14:paraId="45E122D9">
            <w:pPr>
              <w:ind w:firstLine="480" w:firstLineChars="200"/>
              <w:rPr>
                <w:rFonts w:hint="default" w:ascii="Times New Roman" w:hAnsi="Times New Roman" w:cs="Times New Roman"/>
                <w:color w:val="auto"/>
              </w:rPr>
            </w:pPr>
            <w:r>
              <w:rPr>
                <w:rFonts w:hint="default" w:ascii="Times New Roman" w:hAnsi="Times New Roman" w:cs="Times New Roman"/>
                <w:color w:val="auto"/>
              </w:rPr>
              <w:t>第五十条  新建、改建、扩建的项目应当符合国家产业政策规定。</w:t>
            </w:r>
          </w:p>
          <w:p w14:paraId="2404122D">
            <w:pPr>
              <w:ind w:firstLine="480" w:firstLineChars="200"/>
              <w:rPr>
                <w:rFonts w:hint="default" w:ascii="Times New Roman" w:hAnsi="Times New Roman" w:cs="Times New Roman"/>
                <w:color w:val="auto"/>
              </w:rPr>
            </w:pPr>
            <w:r>
              <w:rPr>
                <w:rFonts w:hint="default" w:ascii="Times New Roman" w:hAnsi="Times New Roman" w:cs="Times New Roman"/>
                <w:color w:val="auto"/>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7541D504">
            <w:pPr>
              <w:ind w:firstLine="480" w:firstLineChars="200"/>
              <w:rPr>
                <w:rFonts w:hint="default" w:ascii="Times New Roman" w:hAnsi="Times New Roman" w:cs="Times New Roman"/>
                <w:color w:val="auto"/>
              </w:rPr>
            </w:pPr>
            <w:r>
              <w:rPr>
                <w:rFonts w:hint="default" w:ascii="Times New Roman" w:hAnsi="Times New Roman" w:cs="Times New Roman"/>
                <w:color w:val="auto"/>
              </w:rPr>
              <w:t>北江流域实行重金属污染物排放总量控制，严格控制新建涉重金属排放的项目，新建、改建、扩建的项目严格实行重金属等特征污染物排放减量置换。”</w:t>
            </w:r>
          </w:p>
          <w:p w14:paraId="55765AD1">
            <w:pPr>
              <w:pStyle w:val="55"/>
              <w:adjustRightInd/>
              <w:snapToGrid/>
              <w:ind w:firstLine="482"/>
              <w:jc w:val="both"/>
              <w:rPr>
                <w:rFonts w:hint="default" w:ascii="Times New Roman" w:hAnsi="Times New Roman" w:cs="Times New Roman"/>
                <w:color w:val="auto"/>
              </w:rPr>
            </w:pPr>
            <w:r>
              <w:rPr>
                <w:rFonts w:hint="default" w:ascii="Times New Roman" w:hAnsi="Times New Roman" w:cs="Times New Roman"/>
                <w:b/>
                <w:color w:val="auto"/>
              </w:rPr>
              <w:t>相符性分析：</w:t>
            </w:r>
            <w:r>
              <w:rPr>
                <w:rFonts w:hint="default" w:ascii="Times New Roman" w:hAnsi="Times New Roman" w:cs="Times New Roman"/>
                <w:bCs/>
                <w:color w:val="auto"/>
              </w:rPr>
              <w:t>项目</w:t>
            </w:r>
            <w:r>
              <w:rPr>
                <w:rFonts w:hint="default" w:ascii="Times New Roman" w:hAnsi="Times New Roman" w:cs="Times New Roman"/>
                <w:color w:val="auto"/>
                <w:lang w:val="en-US" w:eastAsia="zh-CN"/>
              </w:rPr>
              <w:t>间接冷却废水循环使用不外排，喷淋废水、水帘柜废水和喷枪清洗废水</w:t>
            </w:r>
            <w:r>
              <w:rPr>
                <w:rFonts w:hint="default" w:ascii="Times New Roman" w:hAnsi="Times New Roman" w:cs="Times New Roman"/>
                <w:color w:val="auto"/>
              </w:rPr>
              <w:t>收集后交由有资质的单位处置</w:t>
            </w:r>
            <w:r>
              <w:rPr>
                <w:rFonts w:hint="default" w:ascii="Times New Roman" w:hAnsi="Times New Roman" w:cs="Times New Roman"/>
                <w:bCs/>
                <w:color w:val="auto"/>
              </w:rPr>
              <w:t>，项目所在区域已实行雨污分流，员工生活产生的生活污水经三级化粪池预处理后纳入市政管网进入</w:t>
            </w:r>
            <w:r>
              <w:rPr>
                <w:rFonts w:hint="default" w:ascii="Times New Roman" w:hAnsi="Times New Roman" w:cs="Times New Roman"/>
                <w:bCs/>
                <w:color w:val="auto"/>
                <w:lang w:eastAsia="zh-CN"/>
              </w:rPr>
              <w:t>园洲镇第五污水处理厂</w:t>
            </w:r>
            <w:r>
              <w:rPr>
                <w:rFonts w:hint="default" w:ascii="Times New Roman" w:hAnsi="Times New Roman" w:cs="Times New Roman"/>
                <w:bCs/>
                <w:color w:val="auto"/>
              </w:rPr>
              <w:t>处理后排入</w:t>
            </w:r>
            <w:r>
              <w:rPr>
                <w:rFonts w:hint="default" w:ascii="Times New Roman" w:hAnsi="Times New Roman" w:cs="Times New Roman"/>
                <w:bCs/>
                <w:color w:val="auto"/>
                <w:lang w:eastAsia="zh-CN"/>
              </w:rPr>
              <w:t>沙河</w:t>
            </w:r>
            <w:r>
              <w:rPr>
                <w:rFonts w:hint="default" w:ascii="Times New Roman" w:hAnsi="Times New Roman" w:cs="Times New Roman"/>
                <w:color w:val="auto"/>
              </w:rPr>
              <w:t>。项目从事</w:t>
            </w:r>
            <w:r>
              <w:rPr>
                <w:rFonts w:hint="default" w:ascii="Times New Roman" w:hAnsi="Times New Roman" w:cs="Times New Roman"/>
                <w:color w:val="auto"/>
                <w:lang w:val="en-US" w:eastAsia="zh-CN"/>
              </w:rPr>
              <w:t>硅胶制品和模具</w:t>
            </w:r>
            <w:r>
              <w:rPr>
                <w:rFonts w:hint="default" w:ascii="Times New Roman" w:hAnsi="Times New Roman" w:cs="Times New Roman"/>
                <w:color w:val="auto"/>
              </w:rPr>
              <w:t>的生产，不属于东江流域内禁止新建的项目类别。因此，项目建设符合《广东省水污染防治条例》的要求。</w:t>
            </w:r>
          </w:p>
          <w:p w14:paraId="4761B6B4">
            <w:pPr>
              <w:rPr>
                <w:rFonts w:hint="default" w:ascii="Times New Roman" w:hAnsi="Times New Roman" w:cs="Times New Roman"/>
                <w:b/>
                <w:color w:val="auto"/>
                <w:szCs w:val="22"/>
              </w:rPr>
            </w:pPr>
            <w:r>
              <w:rPr>
                <w:rFonts w:hint="default" w:ascii="Times New Roman" w:hAnsi="Times New Roman" w:cs="Times New Roman"/>
                <w:b/>
                <w:color w:val="auto"/>
              </w:rPr>
              <w:t>（3）</w:t>
            </w:r>
            <w:r>
              <w:rPr>
                <w:rFonts w:hint="default" w:ascii="Times New Roman" w:hAnsi="Times New Roman" w:cs="Times New Roman"/>
                <w:b/>
                <w:color w:val="auto"/>
                <w:szCs w:val="22"/>
              </w:rPr>
              <w:t>根据《广东省大气污染防治条例》</w:t>
            </w:r>
            <w:r>
              <w:rPr>
                <w:rFonts w:hint="default" w:ascii="Times New Roman" w:hAnsi="Times New Roman" w:cs="Times New Roman"/>
                <w:b/>
                <w:bCs/>
                <w:color w:val="auto"/>
                <w:szCs w:val="22"/>
              </w:rPr>
              <w:t>（2018年修订）</w:t>
            </w:r>
            <w:r>
              <w:rPr>
                <w:rFonts w:hint="default" w:ascii="Times New Roman" w:hAnsi="Times New Roman" w:cs="Times New Roman"/>
                <w:b/>
                <w:color w:val="auto"/>
                <w:szCs w:val="22"/>
              </w:rPr>
              <w:t>的相符性分析</w:t>
            </w:r>
          </w:p>
          <w:p w14:paraId="0E248831">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“企业事业单位和其他生产经营者应当执行国家和省规定的大气污染物排放标准和技术规范，从源头、生产过程及末端选用污染防治技术，防止、减少大气污染，并对所造成的损害依法承担责任。”</w:t>
            </w:r>
          </w:p>
          <w:p w14:paraId="05BE0188">
            <w:pPr>
              <w:ind w:firstLine="482" w:firstLineChars="200"/>
              <w:rPr>
                <w:rFonts w:hint="default" w:ascii="Times New Roman" w:hAnsi="Times New Roman" w:cs="Times New Roman"/>
                <w:b/>
                <w:color w:val="auto"/>
              </w:rPr>
            </w:pPr>
            <w:r>
              <w:rPr>
                <w:rFonts w:hint="default" w:ascii="Times New Roman" w:hAnsi="Times New Roman" w:cs="Times New Roman"/>
                <w:b/>
                <w:bCs/>
                <w:color w:val="auto"/>
              </w:rPr>
              <w:t>相符性分析：</w:t>
            </w:r>
            <w:r>
              <w:rPr>
                <w:rFonts w:hint="default" w:ascii="Times New Roman" w:hAnsi="Times New Roman" w:cs="Times New Roman"/>
                <w:color w:val="auto"/>
              </w:rPr>
              <w:t>项目废气包括VOCs</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非甲烷总烃、臭气</w:t>
            </w:r>
            <w:r>
              <w:rPr>
                <w:rFonts w:hint="default" w:ascii="Times New Roman" w:hAnsi="Times New Roman" w:cs="Times New Roman"/>
                <w:color w:val="auto"/>
              </w:rPr>
              <w:t>和颗粒物，经收集处理后可以达标排放</w:t>
            </w:r>
            <w:r>
              <w:rPr>
                <w:rFonts w:hint="default" w:ascii="Times New Roman" w:hAnsi="Times New Roman" w:cs="Times New Roman"/>
                <w:color w:val="auto"/>
                <w:szCs w:val="22"/>
              </w:rPr>
              <w:t>，</w:t>
            </w:r>
            <w:r>
              <w:rPr>
                <w:rFonts w:hint="default" w:ascii="Times New Roman" w:hAnsi="Times New Roman" w:cs="Times New Roman"/>
                <w:color w:val="auto"/>
              </w:rPr>
              <w:t>符合《广东省大气污染防治条例》（2018年修订）的要求。</w:t>
            </w:r>
          </w:p>
          <w:p w14:paraId="75F095F0">
            <w:pPr>
              <w:pStyle w:val="55"/>
              <w:adjustRightInd/>
              <w:snapToGrid/>
              <w:ind w:left="0" w:leftChars="0" w:firstLine="0" w:firstLineChars="0"/>
              <w:jc w:val="both"/>
              <w:rPr>
                <w:rFonts w:hint="default" w:ascii="Times New Roman" w:hAnsi="Times New Roman" w:eastAsia="宋体" w:cs="Times New Roman"/>
                <w:b/>
                <w:color w:val="auto"/>
                <w:sz w:val="24"/>
                <w:szCs w:val="24"/>
                <w:lang w:eastAsia="zh-CN"/>
              </w:rPr>
            </w:pPr>
            <w:r>
              <w:rPr>
                <w:rFonts w:hint="default" w:ascii="Times New Roman" w:hAnsi="Times New Roman" w:cs="Times New Roman"/>
                <w:b/>
                <w:bCs/>
                <w:color w:val="auto"/>
                <w:sz w:val="24"/>
                <w:szCs w:val="24"/>
                <w:lang w:val="en-US" w:eastAsia="zh-CN"/>
              </w:rPr>
              <w:t>（4）</w:t>
            </w:r>
            <w:r>
              <w:rPr>
                <w:rFonts w:hint="default" w:ascii="Times New Roman" w:hAnsi="Times New Roman" w:cs="Times New Roman"/>
                <w:b/>
                <w:color w:val="auto"/>
                <w:sz w:val="24"/>
                <w:szCs w:val="24"/>
                <w:lang w:eastAsia="zh-CN"/>
              </w:rPr>
              <w:t>与《关于印发&lt;重点行业挥发性有机物综合治理方案&gt;的通知》（环大气[2019]53号）的相符性分析</w:t>
            </w:r>
          </w:p>
          <w:p w14:paraId="48E001A3">
            <w:pPr>
              <w:ind w:firstLine="480" w:firstLineChars="200"/>
              <w:jc w:val="left"/>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p w14:paraId="2D3D183A">
            <w:pPr>
              <w:ind w:firstLine="480" w:firstLineChars="200"/>
              <w:jc w:val="left"/>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二）全面加强无组织排放控制。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14:paraId="30F68476">
            <w:pPr>
              <w:ind w:firstLine="480" w:firstLineChars="200"/>
              <w:jc w:val="left"/>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加强设备与场所密闭管理。含VOCs物料应储存于密闭容器、包装袋，高效密封储罐，封闭式储库、料仓等。含VOCs物料转移和输送，应采用密闭管道或密闭容器、罐车等。高VOCs含量废水（废水液面上方100毫米处VOCs检测浓度超过200ppm，其中，重点区域超过100ppm，以碳计）的集输、储存和处理过程，应加盖密闭。含VOCs物料生产和使用过程，应采取有效收集措施或在密闭空间中操作。</w:t>
            </w:r>
          </w:p>
          <w:p w14:paraId="6C32B9E7">
            <w:pPr>
              <w:ind w:firstLine="480" w:firstLineChars="200"/>
              <w:jc w:val="left"/>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p w14:paraId="42077791">
            <w:pPr>
              <w:ind w:firstLine="480" w:firstLineChars="200"/>
              <w:jc w:val="left"/>
              <w:rPr>
                <w:rFonts w:hint="default" w:ascii="Times New Roman" w:hAnsi="Times New Roman" w:cs="Times New Roman"/>
                <w:b w:val="0"/>
                <w:bCs/>
                <w:color w:val="auto"/>
              </w:rPr>
            </w:pPr>
            <w:r>
              <w:rPr>
                <w:rFonts w:hint="default" w:ascii="Times New Roman" w:hAnsi="Times New Roman" w:cs="Times New Roman"/>
                <w:b w:val="0"/>
                <w:bCs/>
                <w:color w:val="auto"/>
                <w:sz w:val="24"/>
                <w:szCs w:val="24"/>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w:t>
            </w:r>
            <w:r>
              <w:rPr>
                <w:rFonts w:hint="default" w:ascii="Times New Roman" w:hAnsi="Times New Roman" w:cs="Times New Roman"/>
                <w:b w:val="0"/>
                <w:bCs/>
                <w:color w:val="auto"/>
              </w:rPr>
              <w:t>炭吸附技术的，应定期更换活性炭，废旧活性炭应再生或处理处置。</w:t>
            </w:r>
          </w:p>
          <w:p w14:paraId="117B7250">
            <w:pPr>
              <w:ind w:firstLine="480" w:firstLineChars="200"/>
              <w:jc w:val="left"/>
              <w:rPr>
                <w:rFonts w:hint="default" w:ascii="Times New Roman" w:hAnsi="Times New Roman" w:cs="Times New Roman"/>
                <w:b w:val="0"/>
                <w:bCs/>
                <w:color w:val="auto"/>
              </w:rPr>
            </w:pPr>
            <w:r>
              <w:rPr>
                <w:rFonts w:hint="default" w:ascii="Times New Roman" w:hAnsi="Times New Roman" w:cs="Times New Roman"/>
                <w:b w:val="0"/>
                <w:bCs/>
                <w:color w:val="auto"/>
              </w:rPr>
              <w:t>规范工程设计。采用吸附处理工艺的，应满足《吸附法工业有机废气治理工程技术规范》要求。采用催化燃烧工艺的，应满足《催化燃烧法工业有机废气治理工程技术规范》要求。采用蓄热燃烧等其他处理工艺的，应按相关技术规范要求设计。</w:t>
            </w:r>
          </w:p>
          <w:p w14:paraId="5C3D27F7">
            <w:pPr>
              <w:ind w:firstLine="480" w:firstLineChars="200"/>
              <w:jc w:val="left"/>
              <w:rPr>
                <w:rFonts w:hint="default" w:ascii="Times New Roman" w:hAnsi="Times New Roman" w:cs="Times New Roman"/>
                <w:b w:val="0"/>
                <w:bCs/>
                <w:color w:val="auto"/>
              </w:rPr>
            </w:pPr>
            <w:r>
              <w:rPr>
                <w:rFonts w:hint="default" w:ascii="Times New Roman" w:hAnsi="Times New Roman" w:cs="Times New Roman"/>
                <w:b w:val="0"/>
                <w:bCs/>
                <w:color w:val="auto"/>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VOCs含量产品规定的除外，有行业排放标准的按其相关规定执行。</w:t>
            </w:r>
          </w:p>
          <w:p w14:paraId="621238A9">
            <w:pPr>
              <w:ind w:firstLine="480" w:firstLineChars="200"/>
              <w:jc w:val="left"/>
              <w:rPr>
                <w:rFonts w:hint="default" w:ascii="Times New Roman" w:hAnsi="Times New Roman" w:cs="Times New Roman"/>
                <w:b w:val="0"/>
                <w:bCs/>
                <w:color w:val="auto"/>
              </w:rPr>
            </w:pPr>
            <w:r>
              <w:rPr>
                <w:rFonts w:hint="default" w:ascii="Times New Roman" w:hAnsi="Times New Roman" w:cs="Times New Roman"/>
                <w:b w:val="0"/>
                <w:bCs/>
                <w:color w:val="auto"/>
              </w:rPr>
              <w:t>加强企业运行管理。企业应系统梳理VOCs排放主要环节和工序，包括启停机、检维修作业等，制定具体操作规程，落实到具体责任人。健全内部考核制度。加强人员能力培训和技术交流。建立管理台账，记录企业生产和治污设施运行的关键参数，在线监控参数要确保能够实时调取，相关台账记录至少保存三年。”</w:t>
            </w:r>
          </w:p>
          <w:p w14:paraId="71862128">
            <w:pPr>
              <w:pStyle w:val="30"/>
              <w:rPr>
                <w:rFonts w:hint="default" w:ascii="Times New Roman" w:hAnsi="Times New Roman" w:eastAsia="宋体" w:cs="Times New Roman"/>
                <w:color w:val="auto"/>
                <w:lang w:val="en-US" w:eastAsia="zh-CN"/>
              </w:rPr>
            </w:pPr>
            <w:r>
              <w:rPr>
                <w:rFonts w:hint="default" w:ascii="Times New Roman" w:hAnsi="Times New Roman" w:cs="Times New Roman"/>
                <w:b/>
                <w:bCs w:val="0"/>
                <w:color w:val="auto"/>
                <w:lang w:val="en-US" w:eastAsia="zh-CN"/>
              </w:rPr>
              <w:t>相符性分析：</w:t>
            </w:r>
            <w:r>
              <w:rPr>
                <w:rFonts w:hint="default" w:ascii="Times New Roman" w:hAnsi="Times New Roman" w:cs="Times New Roman"/>
                <w:color w:val="auto"/>
                <w:szCs w:val="22"/>
              </w:rPr>
              <w:t>项目使用的</w:t>
            </w:r>
            <w:r>
              <w:rPr>
                <w:rFonts w:hint="default" w:ascii="Times New Roman" w:hAnsi="Times New Roman" w:cs="Times New Roman"/>
                <w:color w:val="auto"/>
                <w:szCs w:val="22"/>
                <w:lang w:val="en-US" w:eastAsia="zh-CN"/>
              </w:rPr>
              <w:t>水性漆</w:t>
            </w:r>
            <w:r>
              <w:rPr>
                <w:rFonts w:hint="default" w:ascii="Times New Roman" w:hAnsi="Times New Roman" w:cs="Times New Roman"/>
                <w:color w:val="auto"/>
                <w:szCs w:val="22"/>
              </w:rPr>
              <w:t>VOC含量符合《低挥发性有机化合物含量涂料产品技术要求》（GB38597-2020）中限值</w:t>
            </w:r>
            <w:r>
              <w:rPr>
                <w:rFonts w:hint="default" w:ascii="Times New Roman" w:hAnsi="Times New Roman" w:cs="Times New Roman"/>
                <w:color w:val="auto"/>
                <w:szCs w:val="22"/>
                <w:lang w:val="en-US" w:eastAsia="zh-CN"/>
              </w:rPr>
              <w:t>要求，水性油墨VOC含量符合《油墨中可挥发性有机化合物（VOCs）含量的限值》（GB 38507-2020）中限值要求</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lang w:val="en-US" w:eastAsia="zh-CN"/>
              </w:rPr>
              <w:t>项目胶料、色胶、塑料粒等固体原料储存于密封包装袋中，水性漆、硫化剂、水性油墨等液态VOC物料储存于密闭容器中，不使用粉状原料，物料转移和输送采用密闭容器，使用过程采取有效收集措施或在密闭车间内操作，废气经收集处理后可达标排放。项目废气处理使用的活性炭吸附装置设计符合技术规范要求，建设单位对活性炭定期更换，更换的废活性炭收集后交由有资质的单位处理，符合要求。</w:t>
            </w:r>
          </w:p>
          <w:p w14:paraId="601BD4CD">
            <w:pPr>
              <w:keepNext w:val="0"/>
              <w:keepLines w:val="0"/>
              <w:pageBreakBefore w:val="0"/>
              <w:suppressLineNumbers w:val="0"/>
              <w:kinsoku/>
              <w:wordWrap/>
              <w:topLinePunct w:val="0"/>
              <w:bidi w:val="0"/>
              <w:adjustRightInd/>
              <w:snapToGrid/>
              <w:spacing w:before="0" w:beforeAutospacing="0" w:after="0" w:afterAutospacing="0" w:line="360" w:lineRule="auto"/>
              <w:ind w:right="0"/>
              <w:rPr>
                <w:rFonts w:hint="default" w:ascii="Times New Roman" w:hAnsi="Times New Roman" w:cs="Times New Roman"/>
                <w:b/>
                <w:color w:val="auto"/>
                <w:sz w:val="24"/>
                <w:szCs w:val="24"/>
                <w:lang w:eastAsia="zh-CN"/>
              </w:rPr>
            </w:pPr>
            <w:r>
              <w:rPr>
                <w:rFonts w:hint="default" w:ascii="Times New Roman" w:hAnsi="Times New Roman" w:cs="Times New Roman"/>
                <w:b/>
                <w:color w:val="auto"/>
              </w:rPr>
              <w:t>（</w:t>
            </w:r>
            <w:r>
              <w:rPr>
                <w:rFonts w:hint="default" w:ascii="Times New Roman" w:hAnsi="Times New Roman" w:cs="Times New Roman"/>
                <w:b/>
                <w:color w:val="auto"/>
                <w:lang w:val="en-US" w:eastAsia="zh-CN"/>
              </w:rPr>
              <w:t>5</w:t>
            </w:r>
            <w:r>
              <w:rPr>
                <w:rFonts w:hint="default" w:ascii="Times New Roman" w:hAnsi="Times New Roman" w:cs="Times New Roman"/>
                <w:b/>
                <w:color w:val="auto"/>
              </w:rPr>
              <w:t>）</w:t>
            </w:r>
            <w:r>
              <w:rPr>
                <w:rFonts w:hint="default" w:ascii="Times New Roman" w:hAnsi="Times New Roman" w:cs="Times New Roman"/>
                <w:b/>
                <w:bCs/>
                <w:color w:val="auto"/>
                <w:szCs w:val="21"/>
              </w:rPr>
              <w:t>项目与《关于印发〈广东省涉</w:t>
            </w:r>
            <w:r>
              <w:rPr>
                <w:rFonts w:hint="default" w:ascii="Times New Roman" w:hAnsi="Times New Roman" w:cs="Times New Roman"/>
                <w:b/>
                <w:bCs/>
                <w:color w:val="auto"/>
                <w:szCs w:val="21"/>
                <w:lang w:eastAsia="zh-CN"/>
              </w:rPr>
              <w:t>VOCs</w:t>
            </w:r>
            <w:r>
              <w:rPr>
                <w:rFonts w:hint="default" w:ascii="Times New Roman" w:hAnsi="Times New Roman" w:cs="Times New Roman"/>
                <w:b/>
                <w:bCs/>
                <w:color w:val="auto"/>
                <w:szCs w:val="21"/>
              </w:rPr>
              <w:t>重点行业治理指引〉的通知》（粤环办[2021]43号）的相符性分析</w:t>
            </w:r>
          </w:p>
          <w:p w14:paraId="222EDCD1">
            <w:pPr>
              <w:wordWrap/>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val="en-US" w:eastAsia="zh-CN"/>
              </w:rPr>
              <w:t>项目从事硅胶制品和模具的生产，属于</w:t>
            </w:r>
            <w:r>
              <w:rPr>
                <w:rFonts w:hint="default" w:ascii="Times New Roman" w:hAnsi="Times New Roman" w:cs="Times New Roman"/>
                <w:color w:val="auto"/>
                <w:sz w:val="24"/>
                <w:lang w:val="en-US" w:eastAsia="zh-CN"/>
              </w:rPr>
              <w:t>C2919其他橡胶制品制造和C3525模具制造</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rPr>
              <w:t>根据</w:t>
            </w:r>
            <w:r>
              <w:rPr>
                <w:rFonts w:hint="default" w:ascii="Times New Roman" w:hAnsi="Times New Roman" w:eastAsia="宋体" w:cs="Times New Roman"/>
                <w:bCs/>
                <w:color w:val="auto"/>
                <w:sz w:val="24"/>
                <w:szCs w:val="24"/>
              </w:rPr>
              <w:t>《关于印发〈广东省涉</w:t>
            </w:r>
            <w:r>
              <w:rPr>
                <w:rFonts w:hint="default" w:ascii="Times New Roman" w:hAnsi="Times New Roman" w:eastAsia="宋体" w:cs="Times New Roman"/>
                <w:bCs/>
                <w:color w:val="auto"/>
                <w:sz w:val="24"/>
                <w:szCs w:val="24"/>
                <w:lang w:eastAsia="zh-CN"/>
              </w:rPr>
              <w:t>VOCs</w:t>
            </w:r>
            <w:r>
              <w:rPr>
                <w:rFonts w:hint="default" w:ascii="Times New Roman" w:hAnsi="Times New Roman" w:eastAsia="宋体" w:cs="Times New Roman"/>
                <w:bCs/>
                <w:color w:val="auto"/>
                <w:sz w:val="24"/>
                <w:szCs w:val="24"/>
              </w:rPr>
              <w:t>重点行业治理指引〉的通知》（粤环办[2021]43号）</w:t>
            </w:r>
            <w:r>
              <w:rPr>
                <w:rFonts w:hint="default" w:ascii="Times New Roman" w:hAnsi="Times New Roman" w:cs="Times New Roman"/>
                <w:bCs/>
                <w:color w:val="auto"/>
                <w:sz w:val="24"/>
                <w:szCs w:val="24"/>
                <w:lang w:val="en-US" w:eastAsia="zh-CN"/>
              </w:rPr>
              <w:t>六、橡胶和塑料制品业</w:t>
            </w:r>
            <w:r>
              <w:rPr>
                <w:rFonts w:hint="default" w:ascii="Times New Roman" w:hAnsi="Times New Roman" w:eastAsia="宋体" w:cs="Times New Roman"/>
                <w:bCs/>
                <w:color w:val="auto"/>
                <w:sz w:val="24"/>
                <w:szCs w:val="24"/>
                <w:lang w:eastAsia="zh-CN"/>
              </w:rPr>
              <w:t>VOCs</w:t>
            </w:r>
            <w:r>
              <w:rPr>
                <w:rFonts w:hint="default" w:ascii="Times New Roman" w:hAnsi="Times New Roman" w:eastAsia="宋体" w:cs="Times New Roman"/>
                <w:bCs/>
                <w:color w:val="auto"/>
                <w:sz w:val="24"/>
                <w:szCs w:val="24"/>
              </w:rPr>
              <w:t xml:space="preserve"> 治理指引</w:t>
            </w:r>
            <w:r>
              <w:rPr>
                <w:rFonts w:hint="default" w:ascii="Times New Roman" w:hAnsi="Times New Roman" w:eastAsia="宋体" w:cs="Times New Roman"/>
                <w:color w:val="auto"/>
                <w:sz w:val="24"/>
                <w:szCs w:val="24"/>
              </w:rPr>
              <w:t>：</w:t>
            </w:r>
          </w:p>
          <w:p w14:paraId="2B2DD253">
            <w:pPr>
              <w:wordWrap/>
              <w:spacing w:line="240" w:lineRule="auto"/>
              <w:jc w:val="center"/>
              <w:rPr>
                <w:rFonts w:hint="default" w:ascii="Times New Roman" w:hAnsi="Times New Roman" w:eastAsia="宋体" w:cs="Times New Roman"/>
                <w:b/>
                <w:bCs/>
                <w:color w:val="auto"/>
                <w:sz w:val="24"/>
                <w:szCs w:val="32"/>
              </w:rPr>
            </w:pPr>
            <w:r>
              <w:rPr>
                <w:rFonts w:hint="default" w:ascii="Times New Roman" w:hAnsi="Times New Roman" w:eastAsia="宋体" w:cs="Times New Roman"/>
                <w:b/>
                <w:bCs/>
                <w:color w:val="auto"/>
                <w:sz w:val="24"/>
                <w:szCs w:val="32"/>
              </w:rPr>
              <w:t>表</w:t>
            </w:r>
            <w:r>
              <w:rPr>
                <w:rFonts w:hint="default" w:ascii="Times New Roman" w:hAnsi="Times New Roman" w:cs="Times New Roman"/>
                <w:b/>
                <w:bCs/>
                <w:color w:val="auto"/>
                <w:sz w:val="24"/>
                <w:szCs w:val="32"/>
                <w:lang w:val="en-US" w:eastAsia="zh-CN"/>
              </w:rPr>
              <w:t>1-</w:t>
            </w:r>
            <w:r>
              <w:rPr>
                <w:rFonts w:hint="default" w:ascii="Times New Roman" w:hAnsi="Times New Roman" w:cs="Times New Roman"/>
                <w:b/>
                <w:color w:val="auto"/>
                <w:sz w:val="24"/>
                <w:szCs w:val="24"/>
                <w:lang w:val="en-US" w:eastAsia="zh-CN"/>
              </w:rPr>
              <w:t>11</w:t>
            </w:r>
            <w:r>
              <w:rPr>
                <w:rFonts w:hint="default" w:ascii="Times New Roman" w:hAnsi="Times New Roman" w:eastAsia="宋体" w:cs="Times New Roman"/>
                <w:b/>
                <w:bCs/>
                <w:color w:val="auto"/>
                <w:sz w:val="24"/>
                <w:szCs w:val="32"/>
              </w:rPr>
              <w:t xml:space="preserve"> 与</w:t>
            </w:r>
            <w:r>
              <w:rPr>
                <w:rFonts w:hint="default" w:ascii="Times New Roman" w:hAnsi="Times New Roman" w:eastAsia="宋体" w:cs="Times New Roman"/>
                <w:b/>
                <w:color w:val="auto"/>
                <w:sz w:val="24"/>
                <w:szCs w:val="24"/>
              </w:rPr>
              <w:t>（粤环办[2021]43号）</w:t>
            </w:r>
            <w:r>
              <w:rPr>
                <w:rFonts w:hint="default" w:ascii="Times New Roman" w:hAnsi="Times New Roman" w:eastAsia="宋体" w:cs="Times New Roman"/>
                <w:b/>
                <w:bCs/>
                <w:color w:val="auto"/>
                <w:sz w:val="24"/>
                <w:szCs w:val="24"/>
              </w:rPr>
              <w:t>相符性分析</w:t>
            </w:r>
            <w:r>
              <w:rPr>
                <w:rFonts w:hint="default" w:ascii="Times New Roman" w:hAnsi="Times New Roman" w:eastAsia="宋体" w:cs="Times New Roman"/>
                <w:b/>
                <w:bCs/>
                <w:color w:val="auto"/>
                <w:sz w:val="24"/>
                <w:szCs w:val="32"/>
              </w:rPr>
              <w:t>一览表</w:t>
            </w:r>
          </w:p>
          <w:tbl>
            <w:tblPr>
              <w:tblStyle w:val="22"/>
              <w:tblW w:w="498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4896"/>
              <w:gridCol w:w="2953"/>
            </w:tblGrid>
            <w:tr w14:paraId="7A9B4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1B7F935E">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类别</w:t>
                  </w:r>
                </w:p>
              </w:tc>
              <w:tc>
                <w:tcPr>
                  <w:tcW w:w="2765" w:type="pct"/>
                  <w:noWrap w:val="0"/>
                  <w:vAlign w:val="center"/>
                </w:tcPr>
                <w:p w14:paraId="24D459BE">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要求</w:t>
                  </w:r>
                </w:p>
              </w:tc>
              <w:tc>
                <w:tcPr>
                  <w:tcW w:w="1667" w:type="pct"/>
                  <w:noWrap w:val="0"/>
                  <w:vAlign w:val="center"/>
                </w:tcPr>
                <w:p w14:paraId="471D162F">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相符性分析</w:t>
                  </w:r>
                </w:p>
              </w:tc>
            </w:tr>
            <w:tr w14:paraId="134AB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restart"/>
                  <w:noWrap w:val="0"/>
                  <w:vAlign w:val="center"/>
                </w:tcPr>
                <w:p w14:paraId="36F99603">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VOCs物料储存</w:t>
                  </w:r>
                </w:p>
              </w:tc>
              <w:tc>
                <w:tcPr>
                  <w:tcW w:w="2765" w:type="pct"/>
                  <w:noWrap w:val="0"/>
                  <w:vAlign w:val="center"/>
                </w:tcPr>
                <w:p w14:paraId="7A04336C">
                  <w:pPr>
                    <w:widowControl w:val="0"/>
                    <w:adjustRightInd w:val="0"/>
                    <w:snapToGrid w:val="0"/>
                    <w:spacing w:before="36" w:beforeLines="15" w:line="240" w:lineRule="auto"/>
                    <w:ind w:firstLine="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VOCs 物料应储存于密闭的容器、包装袋、储罐、储库、料仓中。</w:t>
                  </w:r>
                </w:p>
              </w:tc>
              <w:tc>
                <w:tcPr>
                  <w:tcW w:w="1667" w:type="pct"/>
                  <w:vMerge w:val="restart"/>
                  <w:noWrap w:val="0"/>
                  <w:vAlign w:val="center"/>
                </w:tcPr>
                <w:p w14:paraId="0F047F06">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项目胶料、色胶</w:t>
                  </w:r>
                  <w:r>
                    <w:rPr>
                      <w:rFonts w:hint="default" w:ascii="Times New Roman" w:hAnsi="Times New Roman" w:cs="Times New Roman"/>
                      <w:color w:val="auto"/>
                      <w:kern w:val="2"/>
                      <w:sz w:val="21"/>
                      <w:szCs w:val="21"/>
                      <w:lang w:val="en-US" w:eastAsia="zh-CN" w:bidi="ar-SA"/>
                    </w:rPr>
                    <w:t>、塑料粒</w:t>
                  </w:r>
                  <w:r>
                    <w:rPr>
                      <w:rFonts w:hint="default" w:ascii="Times New Roman" w:hAnsi="Times New Roman" w:eastAsia="宋体" w:cs="Times New Roman"/>
                      <w:color w:val="auto"/>
                      <w:kern w:val="2"/>
                      <w:sz w:val="21"/>
                      <w:szCs w:val="21"/>
                      <w:lang w:val="en-US" w:eastAsia="zh-CN" w:bidi="ar-SA"/>
                    </w:rPr>
                    <w:t>等固体原料储存于密封包装袋中，</w:t>
                  </w:r>
                  <w:r>
                    <w:rPr>
                      <w:rFonts w:hint="default" w:ascii="Times New Roman" w:hAnsi="Times New Roman" w:cs="Times New Roman"/>
                      <w:color w:val="auto"/>
                      <w:kern w:val="2"/>
                      <w:sz w:val="21"/>
                      <w:szCs w:val="21"/>
                      <w:lang w:val="en-US" w:eastAsia="zh-CN" w:bidi="ar-SA"/>
                    </w:rPr>
                    <w:t>水性漆</w:t>
                  </w:r>
                  <w:r>
                    <w:rPr>
                      <w:rFonts w:hint="default" w:ascii="Times New Roman" w:hAnsi="Times New Roman" w:eastAsia="宋体" w:cs="Times New Roman"/>
                      <w:color w:val="auto"/>
                      <w:kern w:val="2"/>
                      <w:sz w:val="21"/>
                      <w:szCs w:val="21"/>
                      <w:lang w:val="en-US" w:eastAsia="zh-CN" w:bidi="ar-SA"/>
                    </w:rPr>
                    <w:t>、</w:t>
                  </w:r>
                  <w:r>
                    <w:rPr>
                      <w:rFonts w:hint="default" w:ascii="Times New Roman" w:hAnsi="Times New Roman" w:cs="Times New Roman"/>
                      <w:color w:val="auto"/>
                      <w:kern w:val="2"/>
                      <w:sz w:val="21"/>
                      <w:szCs w:val="21"/>
                      <w:lang w:val="en-US" w:eastAsia="zh-CN" w:bidi="ar-SA"/>
                    </w:rPr>
                    <w:t>水性油墨</w:t>
                  </w:r>
                  <w:r>
                    <w:rPr>
                      <w:rFonts w:hint="default" w:ascii="Times New Roman" w:hAnsi="Times New Roman" w:eastAsia="宋体" w:cs="Times New Roman"/>
                      <w:color w:val="auto"/>
                      <w:kern w:val="2"/>
                      <w:sz w:val="21"/>
                      <w:szCs w:val="21"/>
                      <w:lang w:val="en-US" w:eastAsia="zh-CN" w:bidi="ar-SA"/>
                    </w:rPr>
                    <w:t>硫化剂、</w:t>
                  </w:r>
                  <w:r>
                    <w:rPr>
                      <w:rFonts w:hint="default" w:ascii="Times New Roman" w:hAnsi="Times New Roman" w:cs="Times New Roman"/>
                      <w:color w:val="auto"/>
                      <w:kern w:val="2"/>
                      <w:sz w:val="21"/>
                      <w:szCs w:val="21"/>
                      <w:lang w:val="en-US" w:eastAsia="zh-CN" w:bidi="ar-SA"/>
                    </w:rPr>
                    <w:t>水性油墨</w:t>
                  </w:r>
                  <w:r>
                    <w:rPr>
                      <w:rFonts w:hint="default" w:ascii="Times New Roman" w:hAnsi="Times New Roman" w:eastAsia="宋体" w:cs="Times New Roman"/>
                      <w:color w:val="auto"/>
                      <w:kern w:val="2"/>
                      <w:sz w:val="21"/>
                      <w:szCs w:val="21"/>
                      <w:lang w:val="en-US" w:eastAsia="zh-CN" w:bidi="ar-SA"/>
                    </w:rPr>
                    <w:t>等液态VOC物料储存于密闭容器中，物料转移和输送采用密闭容器，在非取用状态时加盖、封口，保持密闭，与文件要求相符。</w:t>
                  </w:r>
                </w:p>
              </w:tc>
            </w:tr>
            <w:tr w14:paraId="0D01B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4BD483C2">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20B17175">
                  <w:pPr>
                    <w:widowControl w:val="0"/>
                    <w:adjustRightInd w:val="0"/>
                    <w:snapToGrid w:val="0"/>
                    <w:spacing w:before="36" w:beforeLines="15" w:line="240" w:lineRule="auto"/>
                    <w:ind w:firstLine="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盛装VOCs物料的容器是否存放于室内，或存放于设置有雨棚、遮阳和防渗设施的专用场地。盛装VOCs物料的容器在非取用状态时应加盖、封口，保持密闭。</w:t>
                  </w:r>
                </w:p>
              </w:tc>
              <w:tc>
                <w:tcPr>
                  <w:tcW w:w="1667" w:type="pct"/>
                  <w:vMerge w:val="continue"/>
                  <w:noWrap w:val="0"/>
                  <w:vAlign w:val="center"/>
                </w:tcPr>
                <w:p w14:paraId="5C2A8FE4">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p>
              </w:tc>
            </w:tr>
            <w:tr w14:paraId="522CF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restart"/>
                  <w:noWrap w:val="0"/>
                  <w:vAlign w:val="center"/>
                </w:tcPr>
                <w:p w14:paraId="3D40A39D">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VOCs物料转移和输送</w:t>
                  </w:r>
                </w:p>
              </w:tc>
              <w:tc>
                <w:tcPr>
                  <w:tcW w:w="2765" w:type="pct"/>
                  <w:noWrap w:val="0"/>
                  <w:vAlign w:val="center"/>
                </w:tcPr>
                <w:p w14:paraId="67116F48">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液体VOCs物料应采用管道密闭输送。采用非管道输送方式转移液态VOCs物料时，应采用密闭容器或罐车。</w:t>
                  </w:r>
                </w:p>
              </w:tc>
              <w:tc>
                <w:tcPr>
                  <w:tcW w:w="1667" w:type="pct"/>
                  <w:vMerge w:val="restart"/>
                  <w:noWrap w:val="0"/>
                  <w:vAlign w:val="center"/>
                </w:tcPr>
                <w:p w14:paraId="5B4D0509">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项目液态VOCs物料使用密闭容器转移，固态VOCs物料使用密闭包装袋转移，与文件要求相符。</w:t>
                  </w:r>
                </w:p>
              </w:tc>
            </w:tr>
            <w:tr w14:paraId="0415B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1C89FD2A">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28C54C55">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粉状、粒状 VOCs 物料采用气力输送设备、管状带式输送机、螺旋输送机等密闭输送方式，或者采用密闭的包装袋、容器或罐车进行物料转移。</w:t>
                  </w:r>
                </w:p>
              </w:tc>
              <w:tc>
                <w:tcPr>
                  <w:tcW w:w="1667" w:type="pct"/>
                  <w:vMerge w:val="continue"/>
                  <w:noWrap w:val="0"/>
                  <w:vAlign w:val="center"/>
                </w:tcPr>
                <w:p w14:paraId="6A665B67">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p>
              </w:tc>
            </w:tr>
            <w:tr w14:paraId="60B2B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restart"/>
                  <w:noWrap w:val="0"/>
                  <w:vAlign w:val="center"/>
                </w:tcPr>
                <w:p w14:paraId="27CB7701">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工艺过程</w:t>
                  </w:r>
                </w:p>
              </w:tc>
              <w:tc>
                <w:tcPr>
                  <w:tcW w:w="2765" w:type="pct"/>
                  <w:noWrap w:val="0"/>
                  <w:vAlign w:val="center"/>
                </w:tcPr>
                <w:p w14:paraId="483FADA3">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液态 VOCs 物料采用密闭管道输送方式或采用高位槽（罐）、桶泵等给料方式密闭投加；无法密闭投加的，在密闭空间内操作，或进行局部气体收集，废气排至 VOCs 废气收集处理系统。</w:t>
                  </w:r>
                </w:p>
              </w:tc>
              <w:tc>
                <w:tcPr>
                  <w:tcW w:w="1667" w:type="pct"/>
                  <w:noWrap w:val="0"/>
                  <w:vAlign w:val="center"/>
                </w:tcPr>
                <w:p w14:paraId="3CA11ADA">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项目液态VOCs物料使用密闭容器转移，局部采取废气收集措施，符合要求。</w:t>
                  </w:r>
                </w:p>
              </w:tc>
            </w:tr>
            <w:tr w14:paraId="5C4C7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677E80CC">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4D2F82AB">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粉状、粒状 VOCs 物料采用气力输送方式或采用密闭固体投料器等给料方式密闭投加；无法密闭投加的，在密闭空间内操作，或进行局部气体收集，废气排至除尘设施、 VOCs 废气收集处理系统。</w:t>
                  </w:r>
                </w:p>
              </w:tc>
              <w:tc>
                <w:tcPr>
                  <w:tcW w:w="1667" w:type="pct"/>
                  <w:noWrap w:val="0"/>
                  <w:vAlign w:val="center"/>
                </w:tcPr>
                <w:p w14:paraId="20BA9A17">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项目固态VOCs物料使用密闭包装袋转移，投料时不会产生粉尘，投料时为常温条件，不会挥发VOCs，符合要求。</w:t>
                  </w:r>
                </w:p>
              </w:tc>
            </w:tr>
            <w:tr w14:paraId="6F94A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01B6B804">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768A662B">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在混合/混炼、塑炼/塑化/熔化、加工成型（挤出、注射、压制、压延、发泡、纺丝等）、硫化等作业中应采用密闭设备或在密闭空间中操作，废气应排至 VOCs 废气收集处理系统；无法密闭的，应采取局部气体收集措施，废气应排至 VOCs 废气收集处理系统。</w:t>
                  </w:r>
                </w:p>
              </w:tc>
              <w:tc>
                <w:tcPr>
                  <w:tcW w:w="1667" w:type="pct"/>
                  <w:noWrap w:val="0"/>
                  <w:vAlign w:val="center"/>
                </w:tcPr>
                <w:p w14:paraId="15C834D3">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w:t>
                  </w:r>
                  <w:r>
                    <w:rPr>
                      <w:rFonts w:hint="default" w:ascii="Times New Roman" w:hAnsi="Times New Roman" w:cs="Times New Roman"/>
                      <w:color w:val="auto"/>
                      <w:kern w:val="2"/>
                      <w:sz w:val="21"/>
                      <w:szCs w:val="21"/>
                      <w:lang w:val="en-US" w:eastAsia="zh-CN" w:bidi="ar-SA"/>
                    </w:rPr>
                    <w:t>注塑、液态成型、密炼</w:t>
                  </w:r>
                  <w:r>
                    <w:rPr>
                      <w:rFonts w:hint="default" w:ascii="Times New Roman" w:hAnsi="Times New Roman" w:eastAsia="宋体" w:cs="Times New Roman"/>
                      <w:color w:val="auto"/>
                      <w:kern w:val="2"/>
                      <w:sz w:val="21"/>
                      <w:szCs w:val="21"/>
                      <w:lang w:val="en-US" w:eastAsia="zh-CN" w:bidi="ar-SA"/>
                    </w:rPr>
                    <w:t>及硫化工序产生的有机废气经收集处理后可达标排放，符合要求。</w:t>
                  </w:r>
                </w:p>
              </w:tc>
            </w:tr>
            <w:tr w14:paraId="42336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0DBEEA4C">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79A67CE2">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浸胶、胶浆喷涂、涂胶、</w:t>
                  </w:r>
                  <w:r>
                    <w:rPr>
                      <w:rFonts w:hint="default" w:ascii="Times New Roman" w:hAnsi="Times New Roman" w:cs="Times New Roman"/>
                      <w:color w:val="auto"/>
                      <w:kern w:val="2"/>
                      <w:sz w:val="21"/>
                      <w:szCs w:val="21"/>
                      <w:lang w:val="en-US" w:eastAsia="zh-CN" w:bidi="ar-SA"/>
                    </w:rPr>
                    <w:t>密炼</w:t>
                  </w:r>
                  <w:r>
                    <w:rPr>
                      <w:rFonts w:hint="default" w:ascii="Times New Roman" w:hAnsi="Times New Roman" w:eastAsia="宋体" w:cs="Times New Roman"/>
                      <w:color w:val="auto"/>
                      <w:kern w:val="2"/>
                      <w:sz w:val="21"/>
                      <w:szCs w:val="21"/>
                      <w:lang w:val="en-US" w:eastAsia="zh-CN" w:bidi="ar-SA"/>
                    </w:rPr>
                    <w:t>、印刷、清洗等工序使用 VOCs 质量占比大于等于 10%的原辅材料时，其使用过程应采用密闭设备或在密闭空间内操作，废气应排至 VOCs 废气收集处理系统；无法密闭的，应采取局部气体收集措施，废气应排至 VOCs 废气收集处理系统。</w:t>
                  </w:r>
                </w:p>
              </w:tc>
              <w:tc>
                <w:tcPr>
                  <w:tcW w:w="1667" w:type="pct"/>
                  <w:noWrap w:val="0"/>
                  <w:vAlign w:val="center"/>
                </w:tcPr>
                <w:p w14:paraId="4C20A6B3">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w:t>
                  </w:r>
                  <w:r>
                    <w:rPr>
                      <w:rFonts w:hint="default" w:ascii="Times New Roman" w:hAnsi="Times New Roman" w:cs="Times New Roman"/>
                      <w:color w:val="auto"/>
                      <w:kern w:val="2"/>
                      <w:sz w:val="21"/>
                      <w:szCs w:val="21"/>
                      <w:lang w:val="en-US" w:eastAsia="zh-CN" w:bidi="ar-SA"/>
                    </w:rPr>
                    <w:t>调漆、喷漆</w:t>
                  </w:r>
                  <w:r>
                    <w:rPr>
                      <w:rFonts w:hint="default" w:ascii="Times New Roman" w:hAnsi="Times New Roman" w:eastAsia="宋体" w:cs="Times New Roman"/>
                      <w:color w:val="auto"/>
                      <w:kern w:val="2"/>
                      <w:sz w:val="21"/>
                      <w:szCs w:val="21"/>
                      <w:lang w:val="en-US" w:eastAsia="zh-CN" w:bidi="ar-SA"/>
                    </w:rPr>
                    <w:t>及烘烤工序产生的有机废气经收集处理后可达标排放，符合要求。</w:t>
                  </w:r>
                </w:p>
              </w:tc>
            </w:tr>
            <w:tr w14:paraId="0BF51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76F1AE77">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非正常排放</w:t>
                  </w:r>
                </w:p>
              </w:tc>
              <w:tc>
                <w:tcPr>
                  <w:tcW w:w="2765" w:type="pct"/>
                  <w:noWrap w:val="0"/>
                  <w:vAlign w:val="center"/>
                </w:tcPr>
                <w:p w14:paraId="3AC54014">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载有 VOCs 物料的设备及其管道在开停工（车）、检维修和清洗时，应在退料阶段将残存物料退净，并用密闭容器盛装，退料过程废气应排至 VOCs 废气收集处理系统；清洗及吹扫过程排气应排至 VOCs 废气收集处理系统。</w:t>
                  </w:r>
                </w:p>
              </w:tc>
              <w:tc>
                <w:tcPr>
                  <w:tcW w:w="1667" w:type="pct"/>
                  <w:noWrap w:val="0"/>
                  <w:vAlign w:val="center"/>
                </w:tcPr>
                <w:p w14:paraId="54A5DCA8">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项目使用抹布对喷枪进行擦拭，废抹布作为危险废物进行管理和处置，交由有资质的单位处理，符合要求。</w:t>
                  </w:r>
                </w:p>
              </w:tc>
            </w:tr>
            <w:tr w14:paraId="3ED33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restart"/>
                  <w:noWrap w:val="0"/>
                  <w:vAlign w:val="center"/>
                </w:tcPr>
                <w:p w14:paraId="4595AE39">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废气收集</w:t>
                  </w:r>
                </w:p>
              </w:tc>
              <w:tc>
                <w:tcPr>
                  <w:tcW w:w="2765" w:type="pct"/>
                  <w:noWrap w:val="0"/>
                  <w:vAlign w:val="center"/>
                </w:tcPr>
                <w:p w14:paraId="6E663BC7">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采用外部集气罩的，距集气罩开口面最远处的VOCs无组织排放位置，控制风速不低于0.3m/s。</w:t>
                  </w:r>
                </w:p>
              </w:tc>
              <w:tc>
                <w:tcPr>
                  <w:tcW w:w="1667" w:type="pct"/>
                  <w:noWrap w:val="0"/>
                  <w:vAlign w:val="center"/>
                </w:tcPr>
                <w:p w14:paraId="0039408B">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项目使用的上吸式外部集气罩控制风速为0.5m/s。</w:t>
                  </w:r>
                </w:p>
              </w:tc>
            </w:tr>
            <w:tr w14:paraId="1248E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31A44669">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22B9EA85">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废气收集系统的输送管道应密闭。废气收集系统应在负压下运行，若处于正压状态，应对管道组件的密封点进行泄漏检测，泄漏检测值不应超过500μmol/mol，亦不应有感官可察觉泄漏。</w:t>
                  </w:r>
                </w:p>
              </w:tc>
              <w:tc>
                <w:tcPr>
                  <w:tcW w:w="1667" w:type="pct"/>
                  <w:noWrap w:val="0"/>
                  <w:vAlign w:val="center"/>
                </w:tcPr>
                <w:p w14:paraId="6D867B1A">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项目废气收集系统输送管道密闭，符合要求。</w:t>
                  </w:r>
                </w:p>
              </w:tc>
            </w:tr>
            <w:tr w14:paraId="404D2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4C0613C3">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排放水平</w:t>
                  </w:r>
                </w:p>
              </w:tc>
              <w:tc>
                <w:tcPr>
                  <w:tcW w:w="2765" w:type="pct"/>
                  <w:noWrap w:val="0"/>
                  <w:vAlign w:val="center"/>
                </w:tcPr>
                <w:p w14:paraId="2309FAE1">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橡胶制品行业：a）有机废气排气筒排放浓度和厂界浓度不高于《橡胶制品工业污染物排放标准》（GB27632-2011）第 II 时段排放限值；车间或生产设施排气中 NMHC 初始排放速率≥3 kg/h 时，建设末端治污设施且处理效率≥80%；b）厂区内无组织排放监控点NMHC的小时平均浓度值不超过6mg/m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，任意一次浓度值不超过20mg/m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1667" w:type="pct"/>
                  <w:noWrap w:val="0"/>
                  <w:vAlign w:val="center"/>
                </w:tcPr>
                <w:p w14:paraId="1135EA80">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w:t>
                  </w:r>
                  <w:r>
                    <w:rPr>
                      <w:rFonts w:hint="default" w:ascii="Times New Roman" w:hAnsi="Times New Roman" w:cs="Times New Roman"/>
                      <w:color w:val="auto"/>
                      <w:kern w:val="2"/>
                      <w:sz w:val="21"/>
                      <w:szCs w:val="21"/>
                      <w:lang w:val="en-US" w:eastAsia="zh-CN" w:bidi="ar-SA"/>
                    </w:rPr>
                    <w:t>密炼</w:t>
                  </w:r>
                  <w:r>
                    <w:rPr>
                      <w:rFonts w:hint="default" w:ascii="Times New Roman" w:hAnsi="Times New Roman" w:eastAsia="宋体" w:cs="Times New Roman"/>
                      <w:color w:val="auto"/>
                      <w:kern w:val="2"/>
                      <w:sz w:val="21"/>
                      <w:szCs w:val="21"/>
                      <w:lang w:val="en-US" w:eastAsia="zh-CN" w:bidi="ar-SA"/>
                    </w:rPr>
                    <w:t>及硫化工序非甲烷总烃排放可以达到《合成树脂工业污染物排放标准》（GB31572-2015，含2024年修改单）表5大气污染物特别排放限值及广东省《固定污染源挥发性有机物综合排放标准》（DB44/2367-2022）表1 NMHC最高允许浓度限值的较严值，</w:t>
                  </w:r>
                  <w:r>
                    <w:rPr>
                      <w:rFonts w:hint="default" w:ascii="Times New Roman" w:hAnsi="Times New Roman" w:cs="Times New Roman"/>
                      <w:color w:val="auto"/>
                      <w:kern w:val="2"/>
                      <w:sz w:val="21"/>
                      <w:szCs w:val="21"/>
                      <w:lang w:val="en-US" w:eastAsia="zh-CN" w:bidi="ar-SA"/>
                    </w:rPr>
                    <w:t>车间或生产设施有机废气</w:t>
                  </w:r>
                  <w:r>
                    <w:rPr>
                      <w:rFonts w:hint="default" w:ascii="Times New Roman" w:hAnsi="Times New Roman" w:eastAsia="宋体" w:cs="Times New Roman"/>
                      <w:color w:val="auto"/>
                      <w:kern w:val="2"/>
                      <w:sz w:val="21"/>
                      <w:szCs w:val="21"/>
                      <w:lang w:val="en-US" w:eastAsia="zh-CN" w:bidi="ar-SA"/>
                    </w:rPr>
                    <w:t>初始排放速率&lt;3kg/h，</w:t>
                  </w:r>
                  <w:r>
                    <w:rPr>
                      <w:rFonts w:hint="default" w:ascii="Times New Roman" w:hAnsi="Times New Roman" w:cs="Times New Roman"/>
                      <w:color w:val="auto"/>
                      <w:kern w:val="2"/>
                      <w:sz w:val="21"/>
                      <w:szCs w:val="21"/>
                      <w:lang w:val="en-US" w:eastAsia="zh-CN" w:bidi="ar-SA"/>
                    </w:rPr>
                    <w:t>处理效率为85%，</w:t>
                  </w:r>
                  <w:r>
                    <w:rPr>
                      <w:rFonts w:hint="default" w:ascii="Times New Roman" w:hAnsi="Times New Roman" w:eastAsia="宋体" w:cs="Times New Roman"/>
                      <w:color w:val="auto"/>
                      <w:kern w:val="2"/>
                      <w:sz w:val="21"/>
                      <w:szCs w:val="21"/>
                      <w:lang w:val="en-US" w:eastAsia="zh-CN" w:bidi="ar-SA"/>
                    </w:rPr>
                    <w:t>厂区内无组织排放监控点NMHC的小时平均浓度值不超6mg/m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，任意一次浓度值不超过20mg/m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，与文件要求相符。</w:t>
                  </w:r>
                </w:p>
              </w:tc>
            </w:tr>
            <w:tr w14:paraId="2CE63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3D48E4D0">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7B26C03B">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1667" w:type="pct"/>
                  <w:noWrap w:val="0"/>
                  <w:vAlign w:val="center"/>
                </w:tcPr>
                <w:p w14:paraId="7EB59E2C">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项目废气处理使用的二级活性炭吸附装置，活性炭用量和更换频次可以符合技术规范要求。</w:t>
                  </w:r>
                </w:p>
              </w:tc>
            </w:tr>
            <w:tr w14:paraId="37D07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60BDB880">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治理设施设计与运</w:t>
                  </w:r>
                </w:p>
                <w:p w14:paraId="7F14819A">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行管理</w:t>
                  </w:r>
                </w:p>
              </w:tc>
              <w:tc>
                <w:tcPr>
                  <w:tcW w:w="2765" w:type="pct"/>
                  <w:noWrap w:val="0"/>
                  <w:vAlign w:val="center"/>
                </w:tcPr>
                <w:p w14:paraId="0CE6FCD9">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VOCs 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667" w:type="pct"/>
                  <w:noWrap w:val="0"/>
                  <w:vAlign w:val="center"/>
                </w:tcPr>
                <w:p w14:paraId="1A31A181">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项目废气处理设施与生产工艺设备同步运行，VOCs治理设施发生故障或检修时，对应的生产工艺设备停止运行，与文件要求相符。</w:t>
                  </w:r>
                </w:p>
              </w:tc>
            </w:tr>
            <w:tr w14:paraId="23BA2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566" w:type="pct"/>
                  <w:vMerge w:val="restart"/>
                  <w:noWrap w:val="0"/>
                  <w:vAlign w:val="center"/>
                </w:tcPr>
                <w:p w14:paraId="284624A2">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管理台账</w:t>
                  </w:r>
                </w:p>
              </w:tc>
              <w:tc>
                <w:tcPr>
                  <w:tcW w:w="2765" w:type="pct"/>
                  <w:noWrap w:val="0"/>
                  <w:vAlign w:val="center"/>
                </w:tcPr>
                <w:p w14:paraId="63853696">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4"/>
                      <w:szCs w:val="21"/>
                      <w:lang w:val="en-US" w:eastAsia="zh-CN" w:bidi="ar-SA"/>
                    </w:rPr>
                  </w:pPr>
                  <w:r>
                    <w:rPr>
                      <w:rFonts w:hint="default" w:ascii="Times New Roman" w:hAnsi="Times New Roman" w:eastAsia="宋体" w:cs="Times New Roman"/>
                      <w:color w:val="auto"/>
                      <w:kern w:val="2"/>
                      <w:sz w:val="21"/>
                      <w:szCs w:val="21"/>
                      <w:lang w:val="en-US" w:eastAsia="zh-CN" w:bidi="ar-SA"/>
                    </w:rPr>
                    <w:t>建立含VOCs原辅材料台账，记录含VOCs原辅材料的名称及其VOCs含量、采购量、使用量、库存量、含VOCs原辅材料回收方式及回收量。</w:t>
                  </w:r>
                </w:p>
              </w:tc>
              <w:tc>
                <w:tcPr>
                  <w:tcW w:w="1667" w:type="pct"/>
                  <w:vMerge w:val="restart"/>
                  <w:noWrap w:val="0"/>
                  <w:vAlign w:val="center"/>
                </w:tcPr>
                <w:p w14:paraId="0DF24C3F">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建设单位将按相应要求管理台账。</w:t>
                  </w:r>
                </w:p>
              </w:tc>
            </w:tr>
            <w:tr w14:paraId="7BFE7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566" w:type="pct"/>
                  <w:vMerge w:val="continue"/>
                  <w:noWrap w:val="0"/>
                  <w:vAlign w:val="center"/>
                </w:tcPr>
                <w:p w14:paraId="79DFB69C">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4"/>
                      <w:szCs w:val="24"/>
                      <w:lang w:val="en-US" w:eastAsia="zh-CN" w:bidi="ar-SA"/>
                    </w:rPr>
                  </w:pPr>
                </w:p>
              </w:tc>
              <w:tc>
                <w:tcPr>
                  <w:tcW w:w="2765" w:type="pct"/>
                  <w:noWrap w:val="0"/>
                  <w:vAlign w:val="center"/>
                </w:tcPr>
                <w:p w14:paraId="3E2D0430">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建立废气收集处理设施台账，记录废气处理设施进出口的监测数据（废气量、浓度、温度、含氧量等）、废气收集与处理设施关键参数、废气处理设施相关耗材（吸收剂、吸附剂、催化剂等）购买和处理记录。</w:t>
                  </w:r>
                </w:p>
              </w:tc>
              <w:tc>
                <w:tcPr>
                  <w:tcW w:w="1667" w:type="pct"/>
                  <w:vMerge w:val="continue"/>
                  <w:noWrap w:val="0"/>
                  <w:vAlign w:val="center"/>
                </w:tcPr>
                <w:p w14:paraId="4D234CFF">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p>
              </w:tc>
            </w:tr>
            <w:tr w14:paraId="79424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566" w:type="pct"/>
                  <w:vMerge w:val="continue"/>
                  <w:noWrap w:val="0"/>
                  <w:vAlign w:val="center"/>
                </w:tcPr>
                <w:p w14:paraId="762EE092">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28BB3E7E">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建立危废台账，整理危废处置合同、转移联单及危废处理方资质佐证材料。</w:t>
                  </w:r>
                </w:p>
              </w:tc>
              <w:tc>
                <w:tcPr>
                  <w:tcW w:w="1667" w:type="pct"/>
                  <w:vMerge w:val="continue"/>
                  <w:noWrap w:val="0"/>
                  <w:vAlign w:val="center"/>
                </w:tcPr>
                <w:p w14:paraId="53A8E09F">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p>
              </w:tc>
            </w:tr>
            <w:tr w14:paraId="76074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566" w:type="pct"/>
                  <w:vMerge w:val="continue"/>
                  <w:noWrap w:val="0"/>
                  <w:vAlign w:val="center"/>
                </w:tcPr>
                <w:p w14:paraId="26C9D49F">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64A9C9A9">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台账保存期限不少于 3 年。</w:t>
                  </w:r>
                </w:p>
              </w:tc>
              <w:tc>
                <w:tcPr>
                  <w:tcW w:w="1667" w:type="pct"/>
                  <w:vMerge w:val="continue"/>
                  <w:noWrap w:val="0"/>
                  <w:vAlign w:val="center"/>
                </w:tcPr>
                <w:p w14:paraId="39DC96F2">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p>
              </w:tc>
            </w:tr>
            <w:tr w14:paraId="1CF78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4085D8A2">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自行监测</w:t>
                  </w:r>
                </w:p>
              </w:tc>
              <w:tc>
                <w:tcPr>
                  <w:tcW w:w="2765" w:type="pct"/>
                  <w:noWrap w:val="0"/>
                  <w:vAlign w:val="center"/>
                </w:tcPr>
                <w:p w14:paraId="19B70755">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橡胶制品行业简化管理排污单位：</w:t>
                  </w:r>
                </w:p>
                <w:p w14:paraId="0600D153">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a）轮胎制品制造、橡胶板、管、带制品制造、橡胶零件制品、运动场地使用塑胶制品和其他橡胶制品制造每年 1 次；</w:t>
                  </w:r>
                </w:p>
                <w:p w14:paraId="6ECCF4F8">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b）厂界每年 1 次。</w:t>
                  </w:r>
                </w:p>
              </w:tc>
              <w:tc>
                <w:tcPr>
                  <w:tcW w:w="1667" w:type="pct"/>
                  <w:noWrap w:val="0"/>
                  <w:vAlign w:val="center"/>
                </w:tcPr>
                <w:p w14:paraId="645D2024">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项目属于橡胶制品行业登记管理排污单位，根据《排污单位自行监测技术指南 橡胶和塑料制品》（HJ 1207-2021）其他橡胶制品制造行业的监测要求，项目</w:t>
                  </w:r>
                  <w:r>
                    <w:rPr>
                      <w:rFonts w:hint="default" w:ascii="Times New Roman" w:hAnsi="Times New Roman" w:cs="Times New Roman"/>
                      <w:color w:val="auto"/>
                      <w:kern w:val="2"/>
                      <w:sz w:val="21"/>
                      <w:szCs w:val="21"/>
                      <w:lang w:val="en-US" w:eastAsia="zh-CN" w:bidi="ar-SA"/>
                    </w:rPr>
                    <w:t>密炼</w:t>
                  </w:r>
                  <w:r>
                    <w:rPr>
                      <w:rFonts w:hint="default" w:ascii="Times New Roman" w:hAnsi="Times New Roman" w:eastAsia="宋体" w:cs="Times New Roman"/>
                      <w:color w:val="auto"/>
                      <w:kern w:val="2"/>
                      <w:sz w:val="21"/>
                      <w:szCs w:val="21"/>
                      <w:lang w:val="en-US" w:eastAsia="zh-CN" w:bidi="ar-SA"/>
                    </w:rPr>
                    <w:t>及硫化工序非甲烷总烃每半年监测1次。</w:t>
                  </w:r>
                </w:p>
              </w:tc>
            </w:tr>
            <w:tr w14:paraId="5240C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0CF85796">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危废管理</w:t>
                  </w:r>
                </w:p>
              </w:tc>
              <w:tc>
                <w:tcPr>
                  <w:tcW w:w="2765" w:type="pct"/>
                  <w:noWrap w:val="0"/>
                  <w:vAlign w:val="center"/>
                </w:tcPr>
                <w:p w14:paraId="0F21204C">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工艺过程产生的含VOCs废料（渣、液）应按照相关要求进行储存、转移和输送。盛装过VOCs物料的废包装容器应加盖密闭。</w:t>
                  </w:r>
                </w:p>
              </w:tc>
              <w:tc>
                <w:tcPr>
                  <w:tcW w:w="1667" w:type="pct"/>
                  <w:noWrap w:val="0"/>
                  <w:vAlign w:val="center"/>
                </w:tcPr>
                <w:p w14:paraId="05A6CAE4">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项目生产过程中产生的废活性炭按相关要求进行储存、转移和输送。盛装过VOCs物料的废包装容器加盖密闭。</w:t>
                  </w:r>
                </w:p>
              </w:tc>
            </w:tr>
            <w:tr w14:paraId="1C4C3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restart"/>
                  <w:noWrap w:val="0"/>
                  <w:vAlign w:val="center"/>
                </w:tcPr>
                <w:p w14:paraId="173DB536">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建设项目VOCs总量管理</w:t>
                  </w:r>
                </w:p>
              </w:tc>
              <w:tc>
                <w:tcPr>
                  <w:tcW w:w="2765" w:type="pct"/>
                  <w:noWrap w:val="0"/>
                  <w:vAlign w:val="center"/>
                </w:tcPr>
                <w:p w14:paraId="5A18A320">
                  <w:pPr>
                    <w:widowControl w:val="0"/>
                    <w:autoSpaceDE w:val="0"/>
                    <w:autoSpaceDN w:val="0"/>
                    <w:adjustRightInd w:val="0"/>
                    <w:snapToGrid w:val="0"/>
                    <w:spacing w:line="240" w:lineRule="auto"/>
                    <w:ind w:firstLine="210" w:firstLineChars="100"/>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新、改、扩建项目应执行总量替代制度，明确</w:t>
                  </w:r>
                </w:p>
                <w:p w14:paraId="6235A2D7">
                  <w:pPr>
                    <w:widowControl w:val="0"/>
                    <w:autoSpaceDE w:val="0"/>
                    <w:autoSpaceDN w:val="0"/>
                    <w:adjustRightInd w:val="0"/>
                    <w:snapToGrid w:val="0"/>
                    <w:spacing w:line="240" w:lineRule="auto"/>
                    <w:ind w:firstLine="210" w:firstLineChars="100"/>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 xml:space="preserve"> VOCs 总量指标来源。</w:t>
                  </w:r>
                </w:p>
              </w:tc>
              <w:tc>
                <w:tcPr>
                  <w:tcW w:w="1667" w:type="pct"/>
                  <w:noWrap w:val="0"/>
                  <w:vAlign w:val="center"/>
                </w:tcPr>
                <w:p w14:paraId="5303DB51">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项目总量控制指标由惠州市生态环境局</w:t>
                  </w:r>
                  <w:r>
                    <w:rPr>
                      <w:rFonts w:hint="default" w:ascii="Times New Roman" w:hAnsi="Times New Roman" w:cs="Times New Roman"/>
                      <w:color w:val="auto"/>
                      <w:kern w:val="2"/>
                      <w:sz w:val="21"/>
                      <w:szCs w:val="21"/>
                      <w:lang w:val="en-US" w:eastAsia="zh-CN" w:bidi="ar-SA"/>
                    </w:rPr>
                    <w:t>博罗分局</w:t>
                  </w:r>
                  <w:r>
                    <w:rPr>
                      <w:rFonts w:hint="default" w:ascii="Times New Roman" w:hAnsi="Times New Roman" w:eastAsia="宋体" w:cs="Times New Roman"/>
                      <w:color w:val="auto"/>
                      <w:kern w:val="2"/>
                      <w:sz w:val="21"/>
                      <w:szCs w:val="21"/>
                      <w:lang w:val="en-US" w:eastAsia="zh-CN" w:bidi="ar-SA"/>
                    </w:rPr>
                    <w:t>分配。</w:t>
                  </w:r>
                </w:p>
              </w:tc>
            </w:tr>
            <w:tr w14:paraId="07A9B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181293D5">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4391D13A">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新、改、扩建项目和现有企业VOCs基准排放量计算参考《广东省重点行业挥发性有机物排放量计算方法核算》进行核算，若国家和我省出台适用于该行业的VOCs排放量计算方法，则参照其相关规定执行</w:t>
                  </w:r>
                </w:p>
              </w:tc>
              <w:tc>
                <w:tcPr>
                  <w:tcW w:w="1667" w:type="pct"/>
                  <w:noWrap w:val="0"/>
                  <w:vAlign w:val="center"/>
                </w:tcPr>
                <w:p w14:paraId="0E01EF5E">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企业VOCs基准排放量计算参考《广东省重点行业挥发性有机物排放量计算方法核算》的</w:t>
                  </w:r>
                  <w:r>
                    <w:rPr>
                      <w:rFonts w:hint="default" w:ascii="Times New Roman" w:hAnsi="Times New Roman" w:cs="Times New Roman"/>
                      <w:color w:val="auto"/>
                      <w:kern w:val="2"/>
                      <w:sz w:val="21"/>
                      <w:szCs w:val="21"/>
                      <w:lang w:val="en-US" w:eastAsia="zh-CN" w:bidi="ar-SA"/>
                    </w:rPr>
                    <w:t>物料衡算</w:t>
                  </w:r>
                  <w:r>
                    <w:rPr>
                      <w:rFonts w:hint="default" w:ascii="Times New Roman" w:hAnsi="Times New Roman" w:eastAsia="宋体" w:cs="Times New Roman"/>
                      <w:color w:val="auto"/>
                      <w:kern w:val="2"/>
                      <w:sz w:val="21"/>
                      <w:szCs w:val="21"/>
                      <w:lang w:val="en-US" w:eastAsia="zh-CN" w:bidi="ar-SA"/>
                    </w:rPr>
                    <w:t>法和系数法进行核算，与文件要求相符。</w:t>
                  </w:r>
                </w:p>
              </w:tc>
            </w:tr>
          </w:tbl>
          <w:p w14:paraId="5D5E7359">
            <w:pPr>
              <w:wordWrap/>
              <w:ind w:firstLine="480" w:firstLineChars="200"/>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综上所述，项目符合《关于印发〈广东省涉VOCs重点行业治理指引〉的通知》（粤环办[2021]43号）的要求。</w:t>
            </w:r>
          </w:p>
          <w:p w14:paraId="11AADE21">
            <w:pPr>
              <w:pStyle w:val="7"/>
              <w:spacing w:before="0" w:after="0" w:line="360" w:lineRule="auto"/>
              <w:ind w:right="0" w:rightChars="0" w:firstLine="360" w:firstLineChars="200"/>
              <w:rPr>
                <w:rFonts w:hint="default" w:ascii="Times New Roman" w:hAnsi="Times New Roman" w:eastAsia="宋体" w:cs="Times New Roman"/>
                <w:color w:val="auto"/>
                <w:kern w:val="0"/>
                <w:sz w:val="18"/>
                <w:szCs w:val="20"/>
                <w:lang w:val="en-US" w:eastAsia="zh-CN" w:bidi="ar-SA"/>
              </w:rPr>
            </w:pPr>
          </w:p>
        </w:tc>
      </w:tr>
    </w:tbl>
    <w:p w14:paraId="7796F2D3">
      <w:pPr>
        <w:tabs>
          <w:tab w:val="left" w:pos="632"/>
        </w:tabs>
        <w:wordWrap/>
        <w:autoSpaceDE w:val="0"/>
        <w:autoSpaceDN w:val="0"/>
        <w:adjustRightInd w:val="0"/>
        <w:snapToGrid w:val="0"/>
        <w:ind w:left="92" w:firstLine="480" w:firstLineChars="200"/>
        <w:jc w:val="left"/>
        <w:rPr>
          <w:rFonts w:hint="default" w:ascii="Times New Roman" w:hAnsi="Times New Roman" w:cs="Times New Roman"/>
          <w:color w:val="auto"/>
          <w:kern w:val="0"/>
        </w:rPr>
        <w:sectPr>
          <w:footerReference r:id="rId8" w:type="default"/>
          <w:pgSz w:w="11906" w:h="16838"/>
          <w:pgMar w:top="1701" w:right="1531" w:bottom="1701" w:left="1531" w:header="851" w:footer="1020" w:gutter="0"/>
          <w:pgNumType w:start="1"/>
          <w:cols w:space="720" w:num="1"/>
          <w:docGrid w:linePitch="312" w:charSpace="0"/>
        </w:sectPr>
      </w:pPr>
    </w:p>
    <w:p w14:paraId="26079794">
      <w:pPr>
        <w:pStyle w:val="18"/>
        <w:spacing w:before="0" w:beforeAutospacing="0" w:after="0" w:afterAutospacing="0"/>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二、建设项目工程分析</w:t>
      </w:r>
    </w:p>
    <w:tbl>
      <w:tblPr>
        <w:tblStyle w:val="22"/>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213"/>
      </w:tblGrid>
      <w:tr w14:paraId="3E54AD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51" w:hRule="atLeast"/>
          <w:jc w:val="center"/>
        </w:trPr>
        <w:tc>
          <w:tcPr>
            <w:tcW w:w="401" w:type="dxa"/>
            <w:vAlign w:val="center"/>
          </w:tcPr>
          <w:p w14:paraId="39410A2D">
            <w:pPr>
              <w:pStyle w:val="18"/>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建设内容</w:t>
            </w:r>
          </w:p>
        </w:tc>
        <w:tc>
          <w:tcPr>
            <w:tcW w:w="8670" w:type="dxa"/>
          </w:tcPr>
          <w:p w14:paraId="02FEF55D">
            <w:pPr>
              <w:adjustRightInd w:val="0"/>
              <w:snapToGrid w:val="0"/>
              <w:rPr>
                <w:rFonts w:hint="default" w:ascii="Times New Roman" w:hAnsi="Times New Roman" w:cs="Times New Roman"/>
                <w:b/>
                <w:bCs/>
                <w:color w:val="auto"/>
                <w:spacing w:val="-2"/>
                <w:lang w:bidi="ar"/>
              </w:rPr>
            </w:pPr>
            <w:r>
              <w:rPr>
                <w:rFonts w:hint="default" w:ascii="Times New Roman" w:hAnsi="Times New Roman" w:cs="Times New Roman"/>
                <w:b/>
                <w:bCs/>
                <w:color w:val="auto"/>
                <w:spacing w:val="-2"/>
                <w:lang w:bidi="ar"/>
              </w:rPr>
              <w:t>1、项目概况</w:t>
            </w:r>
          </w:p>
          <w:p w14:paraId="3868BED8">
            <w:pPr>
              <w:ind w:firstLine="482" w:firstLineChars="200"/>
              <w:jc w:val="left"/>
              <w:rPr>
                <w:rFonts w:hint="default" w:ascii="Times New Roman" w:hAnsi="Times New Roman" w:cs="Times New Roman"/>
                <w:b/>
                <w:color w:val="auto"/>
                <w:szCs w:val="22"/>
              </w:rPr>
            </w:pPr>
            <w:r>
              <w:rPr>
                <w:rFonts w:hint="default" w:ascii="Times New Roman" w:hAnsi="Times New Roman" w:cs="Times New Roman"/>
                <w:b/>
                <w:color w:val="auto"/>
                <w:szCs w:val="22"/>
              </w:rPr>
              <w:t>（1）项目基本概况</w:t>
            </w:r>
          </w:p>
          <w:p w14:paraId="78C4CE4D">
            <w:pPr>
              <w:ind w:firstLine="472" w:firstLineChars="200"/>
              <w:jc w:val="left"/>
              <w:rPr>
                <w:rFonts w:hint="default" w:ascii="Times New Roman" w:hAnsi="Times New Roman" w:eastAsia="宋体" w:cs="Times New Roman"/>
                <w:color w:val="auto"/>
                <w:spacing w:val="-2"/>
                <w:lang w:eastAsia="zh-CN" w:bidi="ar"/>
              </w:rPr>
            </w:pPr>
            <w:r>
              <w:rPr>
                <w:rFonts w:hint="default" w:ascii="Times New Roman" w:hAnsi="Times New Roman" w:cs="Times New Roman"/>
                <w:color w:val="auto"/>
                <w:spacing w:val="-2"/>
                <w:lang w:eastAsia="zh-CN" w:bidi="ar"/>
              </w:rPr>
              <w:t>惠州市澎宇电子制品有限公司</w:t>
            </w:r>
            <w:r>
              <w:rPr>
                <w:rFonts w:hint="default" w:ascii="Times New Roman" w:hAnsi="Times New Roman" w:cs="Times New Roman"/>
                <w:color w:val="auto"/>
                <w:spacing w:val="-2"/>
                <w:lang w:bidi="ar"/>
              </w:rPr>
              <w:t>拟在</w:t>
            </w:r>
            <w:r>
              <w:rPr>
                <w:rFonts w:hint="default" w:ascii="Times New Roman" w:hAnsi="Times New Roman" w:cs="Times New Roman"/>
                <w:color w:val="auto"/>
                <w:lang w:eastAsia="zh-CN"/>
              </w:rPr>
              <w:t>博罗县园洲镇博罗智能装备产业园园洲片区绿化北路3号(4-a/4-b号厂房601/701楼)</w:t>
            </w:r>
            <w:r>
              <w:rPr>
                <w:rFonts w:hint="default" w:ascii="Times New Roman" w:hAnsi="Times New Roman" w:cs="Times New Roman"/>
                <w:color w:val="auto"/>
              </w:rPr>
              <w:t>投资建设，</w:t>
            </w:r>
            <w:r>
              <w:rPr>
                <w:rFonts w:hint="default" w:ascii="Times New Roman" w:hAnsi="Times New Roman" w:cs="Times New Roman"/>
                <w:color w:val="auto"/>
                <w:spacing w:val="-2"/>
                <w:lang w:bidi="ar"/>
              </w:rPr>
              <w:t>其地理位置中心经纬度为：</w:t>
            </w:r>
            <w:r>
              <w:rPr>
                <w:rFonts w:hint="default" w:ascii="Times New Roman" w:hAnsi="Times New Roman" w:cs="Times New Roman"/>
                <w:color w:val="auto"/>
                <w:szCs w:val="22"/>
              </w:rPr>
              <w:t>E</w:t>
            </w:r>
            <w:r>
              <w:rPr>
                <w:rFonts w:hint="default" w:ascii="Times New Roman" w:hAnsi="Times New Roman" w:cs="Times New Roman"/>
                <w:color w:val="auto"/>
                <w:szCs w:val="22"/>
                <w:lang w:eastAsia="zh-CN"/>
              </w:rPr>
              <w:t>114.011961</w:t>
            </w:r>
            <w:r>
              <w:rPr>
                <w:rFonts w:hint="default" w:ascii="Times New Roman" w:hAnsi="Times New Roman" w:cs="Times New Roman"/>
                <w:color w:val="auto"/>
                <w:szCs w:val="22"/>
              </w:rPr>
              <w:t>°（114°</w:t>
            </w:r>
            <w:r>
              <w:rPr>
                <w:rFonts w:hint="default" w:ascii="Times New Roman" w:hAnsi="Times New Roman" w:cs="Times New Roman"/>
                <w:color w:val="auto"/>
                <w:szCs w:val="22"/>
                <w:lang w:val="en-US" w:eastAsia="zh-CN"/>
              </w:rPr>
              <w:t>0</w:t>
            </w:r>
            <w:r>
              <w:rPr>
                <w:rFonts w:hint="default" w:ascii="Times New Roman" w:hAnsi="Times New Roman" w:cs="Times New Roman"/>
                <w:color w:val="auto"/>
                <w:szCs w:val="22"/>
              </w:rPr>
              <w:t>'</w:t>
            </w:r>
            <w:r>
              <w:rPr>
                <w:rFonts w:hint="default" w:ascii="Times New Roman" w:hAnsi="Times New Roman" w:cs="Times New Roman"/>
                <w:color w:val="auto"/>
                <w:szCs w:val="22"/>
                <w:lang w:val="en-US" w:eastAsia="zh-CN"/>
              </w:rPr>
              <w:t>43.060</w:t>
            </w:r>
            <w:r>
              <w:rPr>
                <w:rFonts w:hint="default" w:ascii="Times New Roman" w:hAnsi="Times New Roman" w:cs="Times New Roman"/>
                <w:color w:val="auto"/>
                <w:szCs w:val="22"/>
              </w:rPr>
              <w:t>"），N</w:t>
            </w:r>
            <w:r>
              <w:rPr>
                <w:rFonts w:hint="default" w:ascii="Times New Roman" w:hAnsi="Times New Roman" w:cs="Times New Roman"/>
                <w:color w:val="auto"/>
                <w:szCs w:val="22"/>
                <w:lang w:val="en-US" w:eastAsia="zh-CN"/>
              </w:rPr>
              <w:t>23.111700</w:t>
            </w:r>
            <w:r>
              <w:rPr>
                <w:rFonts w:hint="default" w:ascii="Times New Roman" w:hAnsi="Times New Roman" w:cs="Times New Roman"/>
                <w:color w:val="auto"/>
                <w:szCs w:val="22"/>
              </w:rPr>
              <w:t>°（2</w:t>
            </w:r>
            <w:r>
              <w:rPr>
                <w:rFonts w:hint="default" w:ascii="Times New Roman" w:hAnsi="Times New Roman" w:cs="Times New Roman"/>
                <w:color w:val="auto"/>
                <w:szCs w:val="22"/>
                <w:lang w:val="en-US" w:eastAsia="zh-CN"/>
              </w:rPr>
              <w:t>3</w:t>
            </w:r>
            <w:r>
              <w:rPr>
                <w:rFonts w:hint="default" w:ascii="Times New Roman" w:hAnsi="Times New Roman" w:cs="Times New Roman"/>
                <w:color w:val="auto"/>
                <w:szCs w:val="22"/>
              </w:rPr>
              <w:t>°</w:t>
            </w:r>
            <w:r>
              <w:rPr>
                <w:rFonts w:hint="default" w:ascii="Times New Roman" w:hAnsi="Times New Roman" w:cs="Times New Roman"/>
                <w:color w:val="auto"/>
                <w:szCs w:val="22"/>
                <w:lang w:val="en-US" w:eastAsia="zh-CN"/>
              </w:rPr>
              <w:t>6</w:t>
            </w:r>
            <w:r>
              <w:rPr>
                <w:rFonts w:hint="default" w:ascii="Times New Roman" w:hAnsi="Times New Roman" w:cs="Times New Roman"/>
                <w:color w:val="auto"/>
                <w:szCs w:val="22"/>
              </w:rPr>
              <w:t>'</w:t>
            </w:r>
            <w:r>
              <w:rPr>
                <w:rFonts w:hint="default" w:ascii="Times New Roman" w:hAnsi="Times New Roman" w:cs="Times New Roman"/>
                <w:color w:val="auto"/>
                <w:szCs w:val="22"/>
                <w:lang w:val="en-US" w:eastAsia="zh-CN"/>
              </w:rPr>
              <w:t>42.121</w:t>
            </w:r>
            <w:r>
              <w:rPr>
                <w:rFonts w:hint="default" w:ascii="Times New Roman" w:hAnsi="Times New Roman" w:cs="Times New Roman"/>
                <w:color w:val="auto"/>
                <w:szCs w:val="22"/>
              </w:rPr>
              <w:t>"）</w:t>
            </w:r>
            <w:r>
              <w:rPr>
                <w:rFonts w:hint="default" w:ascii="Times New Roman" w:hAnsi="Times New Roman" w:cs="Times New Roman"/>
                <w:color w:val="auto"/>
                <w:spacing w:val="-2"/>
                <w:lang w:bidi="ar"/>
              </w:rPr>
              <w:t>，具体地理位置见</w:t>
            </w:r>
            <w:r>
              <w:rPr>
                <w:rFonts w:hint="default" w:ascii="Times New Roman" w:hAnsi="Times New Roman" w:cs="Times New Roman"/>
                <w:b/>
                <w:bCs/>
                <w:color w:val="auto"/>
                <w:spacing w:val="-2"/>
                <w:lang w:bidi="ar"/>
              </w:rPr>
              <w:t>附图1</w:t>
            </w:r>
            <w:r>
              <w:rPr>
                <w:rFonts w:hint="default" w:ascii="Times New Roman" w:hAnsi="Times New Roman" w:cs="Times New Roman"/>
                <w:color w:val="auto"/>
                <w:spacing w:val="-2"/>
                <w:lang w:bidi="ar"/>
              </w:rPr>
              <w:t>。项目</w:t>
            </w:r>
            <w:r>
              <w:rPr>
                <w:rFonts w:hint="default" w:ascii="Times New Roman" w:hAnsi="Times New Roman" w:cs="Times New Roman"/>
                <w:color w:val="auto"/>
                <w:spacing w:val="-2"/>
                <w:lang w:eastAsia="zh-CN" w:bidi="ar"/>
              </w:rPr>
              <w:t>年产硅胶耳机套6亿个、耳挂线</w:t>
            </w:r>
            <w:r>
              <w:rPr>
                <w:rFonts w:hint="default" w:ascii="Times New Roman" w:hAnsi="Times New Roman" w:cs="Times New Roman"/>
                <w:color w:val="auto"/>
                <w:spacing w:val="-2"/>
                <w:lang w:val="en-US" w:eastAsia="zh-CN" w:bidi="ar"/>
              </w:rPr>
              <w:t>5000</w:t>
            </w:r>
            <w:r>
              <w:rPr>
                <w:rFonts w:hint="default" w:ascii="Times New Roman" w:hAnsi="Times New Roman" w:cs="Times New Roman"/>
                <w:color w:val="auto"/>
                <w:spacing w:val="-2"/>
                <w:lang w:eastAsia="zh-CN" w:bidi="ar"/>
              </w:rPr>
              <w:t>万套、硅胶音箱套200万个、模具25吨</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自用不外售</w:t>
            </w:r>
            <w:r>
              <w:rPr>
                <w:rFonts w:hint="default" w:ascii="Times New Roman" w:hAnsi="Times New Roman" w:cs="Times New Roman"/>
                <w:color w:val="auto"/>
                <w:lang w:eastAsia="zh-CN"/>
              </w:rPr>
              <w:t>）</w:t>
            </w:r>
            <w:r>
              <w:rPr>
                <w:rFonts w:hint="default" w:ascii="Times New Roman" w:hAnsi="Times New Roman" w:cs="Times New Roman"/>
                <w:color w:val="auto"/>
                <w:spacing w:val="-2"/>
                <w:lang w:bidi="ar"/>
              </w:rPr>
              <w:t>。项目总投资</w:t>
            </w:r>
            <w:r>
              <w:rPr>
                <w:rFonts w:hint="default" w:ascii="Times New Roman" w:hAnsi="Times New Roman" w:cs="Times New Roman"/>
                <w:color w:val="auto"/>
                <w:spacing w:val="-2"/>
                <w:lang w:val="en-US" w:eastAsia="zh-CN" w:bidi="ar"/>
              </w:rPr>
              <w:t>2000</w:t>
            </w:r>
            <w:r>
              <w:rPr>
                <w:rFonts w:hint="default" w:ascii="Times New Roman" w:hAnsi="Times New Roman" w:cs="Times New Roman"/>
                <w:color w:val="auto"/>
                <w:spacing w:val="-2"/>
                <w:lang w:bidi="ar"/>
              </w:rPr>
              <w:t>万元，占地面积</w:t>
            </w:r>
            <w:r>
              <w:rPr>
                <w:rFonts w:hint="default" w:ascii="Times New Roman" w:hAnsi="Times New Roman" w:cs="Times New Roman"/>
                <w:color w:val="auto"/>
                <w:spacing w:val="-2"/>
                <w:lang w:val="en-US" w:eastAsia="zh-CN" w:bidi="ar"/>
              </w:rPr>
              <w:t>2097.36</w:t>
            </w:r>
            <w:r>
              <w:rPr>
                <w:rFonts w:hint="default" w:ascii="Times New Roman" w:hAnsi="Times New Roman" w:cs="Times New Roman"/>
                <w:color w:val="auto"/>
                <w:spacing w:val="-2"/>
                <w:lang w:bidi="ar"/>
              </w:rPr>
              <w:t>m</w:t>
            </w:r>
            <w:r>
              <w:rPr>
                <w:rFonts w:hint="default" w:ascii="Times New Roman" w:hAnsi="Times New Roman" w:cs="Times New Roman"/>
                <w:color w:val="auto"/>
                <w:spacing w:val="-2"/>
                <w:vertAlign w:val="superscript"/>
                <w:lang w:bidi="ar"/>
              </w:rPr>
              <w:t>2</w:t>
            </w:r>
            <w:r>
              <w:rPr>
                <w:rFonts w:hint="default" w:ascii="Times New Roman" w:hAnsi="Times New Roman" w:cs="Times New Roman"/>
                <w:color w:val="auto"/>
                <w:spacing w:val="-2"/>
                <w:lang w:bidi="ar"/>
              </w:rPr>
              <w:t>，建筑面积</w:t>
            </w:r>
            <w:r>
              <w:rPr>
                <w:rFonts w:hint="default" w:ascii="Times New Roman" w:hAnsi="Times New Roman" w:cs="Times New Roman"/>
                <w:color w:val="auto"/>
                <w:spacing w:val="-2"/>
                <w:lang w:val="en-US" w:eastAsia="zh-CN" w:bidi="ar"/>
              </w:rPr>
              <w:t>4623.72</w:t>
            </w:r>
            <w:r>
              <w:rPr>
                <w:rFonts w:hint="default" w:ascii="Times New Roman" w:hAnsi="Times New Roman" w:cs="Times New Roman"/>
                <w:color w:val="auto"/>
                <w:spacing w:val="-2"/>
                <w:lang w:bidi="ar"/>
              </w:rPr>
              <w:t>m</w:t>
            </w:r>
            <w:r>
              <w:rPr>
                <w:rFonts w:hint="default" w:ascii="Times New Roman" w:hAnsi="Times New Roman" w:cs="Times New Roman"/>
                <w:color w:val="auto"/>
                <w:spacing w:val="-2"/>
                <w:vertAlign w:val="superscript"/>
                <w:lang w:bidi="ar"/>
              </w:rPr>
              <w:t>2</w:t>
            </w:r>
            <w:r>
              <w:rPr>
                <w:rFonts w:hint="default" w:ascii="Times New Roman" w:hAnsi="Times New Roman" w:cs="Times New Roman"/>
                <w:color w:val="auto"/>
                <w:spacing w:val="-2"/>
                <w:lang w:eastAsia="zh-CN" w:bidi="ar"/>
              </w:rPr>
              <w:t>，</w:t>
            </w:r>
            <w:r>
              <w:rPr>
                <w:rFonts w:hint="default" w:ascii="Times New Roman" w:hAnsi="Times New Roman" w:cs="Times New Roman"/>
                <w:color w:val="auto"/>
                <w:lang w:val="en-US" w:eastAsia="zh-CN"/>
              </w:rPr>
              <w:t>项目所在厂房共11层，总高51m，其中首层6m，2-11层为4.5m</w:t>
            </w:r>
            <w:r>
              <w:rPr>
                <w:rFonts w:hint="default" w:ascii="Times New Roman" w:hAnsi="Times New Roman" w:cs="Times New Roman"/>
                <w:color w:val="auto"/>
                <w:spacing w:val="-2"/>
                <w:lang w:bidi="ar"/>
              </w:rPr>
              <w:t>。</w:t>
            </w:r>
          </w:p>
          <w:p w14:paraId="5C8FFB09">
            <w:pPr>
              <w:keepNext/>
              <w:keepLines/>
              <w:spacing w:line="312" w:lineRule="auto"/>
              <w:ind w:firstLine="482" w:firstLineChars="200"/>
              <w:jc w:val="left"/>
              <w:outlineLvl w:val="2"/>
              <w:rPr>
                <w:rFonts w:hint="default" w:ascii="Times New Roman" w:hAnsi="Times New Roman" w:cs="Times New Roman"/>
                <w:b/>
                <w:color w:val="auto"/>
                <w:kern w:val="0"/>
              </w:rPr>
            </w:pPr>
            <w:r>
              <w:rPr>
                <w:rFonts w:hint="default" w:ascii="Times New Roman" w:hAnsi="Times New Roman" w:cs="Times New Roman"/>
                <w:b/>
                <w:color w:val="auto"/>
                <w:kern w:val="0"/>
              </w:rPr>
              <w:t>（2）项目工程组成</w:t>
            </w:r>
          </w:p>
          <w:p w14:paraId="31F7BBCC">
            <w:pPr>
              <w:ind w:firstLine="480" w:firstLineChars="200"/>
              <w:rPr>
                <w:rFonts w:hint="default" w:ascii="Times New Roman" w:hAnsi="Times New Roman" w:cs="Times New Roman"/>
                <w:color w:val="auto"/>
              </w:rPr>
            </w:pPr>
            <w:r>
              <w:rPr>
                <w:rFonts w:hint="default" w:ascii="Times New Roman" w:hAnsi="Times New Roman" w:cs="Times New Roman"/>
                <w:bCs/>
                <w:color w:val="auto"/>
                <w:szCs w:val="22"/>
                <w:lang w:bidi="ar"/>
              </w:rPr>
              <w:t>项目建设工程组成见下表。</w:t>
            </w:r>
          </w:p>
          <w:p w14:paraId="714FF2F3">
            <w:pPr>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t>表</w:t>
            </w:r>
            <w:r>
              <w:rPr>
                <w:rFonts w:hint="default" w:ascii="Times New Roman" w:hAnsi="Times New Roman" w:cs="Times New Roman"/>
                <w:b/>
                <w:bCs/>
                <w:color w:val="auto"/>
                <w:lang w:val="en-US" w:eastAsia="zh-CN"/>
              </w:rPr>
              <w:t>2-1</w:t>
            </w:r>
            <w:r>
              <w:rPr>
                <w:rFonts w:hint="default" w:ascii="Times New Roman" w:hAnsi="Times New Roman" w:cs="Times New Roman"/>
                <w:b/>
                <w:bCs/>
                <w:color w:val="auto"/>
              </w:rPr>
              <w:t xml:space="preserve"> 项目建设工程组成一览表</w:t>
            </w:r>
          </w:p>
          <w:tbl>
            <w:tblPr>
              <w:tblStyle w:val="22"/>
              <w:tblW w:w="4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10"/>
              <w:gridCol w:w="870"/>
              <w:gridCol w:w="6685"/>
            </w:tblGrid>
            <w:tr w14:paraId="0E078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Align w:val="center"/>
                </w:tcPr>
                <w:p w14:paraId="23B98B29">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分类</w:t>
                  </w:r>
                </w:p>
              </w:tc>
              <w:tc>
                <w:tcPr>
                  <w:tcW w:w="881" w:type="pct"/>
                  <w:gridSpan w:val="2"/>
                  <w:vAlign w:val="center"/>
                </w:tcPr>
                <w:p w14:paraId="7B6DC086">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功能</w:t>
                  </w:r>
                </w:p>
              </w:tc>
              <w:tc>
                <w:tcPr>
                  <w:tcW w:w="3728" w:type="pct"/>
                  <w:vAlign w:val="center"/>
                </w:tcPr>
                <w:p w14:paraId="4D37E2D3">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color w:val="auto"/>
                      <w:sz w:val="21"/>
                      <w:szCs w:val="21"/>
                      <w:lang w:bidi="ar"/>
                    </w:rPr>
                    <w:t>建设工程组成内容</w:t>
                  </w:r>
                </w:p>
              </w:tc>
            </w:tr>
            <w:tr w14:paraId="00026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restart"/>
                  <w:vAlign w:val="center"/>
                </w:tcPr>
                <w:p w14:paraId="414B465F">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主体工程</w:t>
                  </w:r>
                </w:p>
              </w:tc>
              <w:tc>
                <w:tcPr>
                  <w:tcW w:w="396" w:type="pct"/>
                  <w:vMerge w:val="restart"/>
                  <w:vAlign w:val="center"/>
                </w:tcPr>
                <w:p w14:paraId="4E0CC9B4">
                  <w:pPr>
                    <w:spacing w:line="240" w:lineRule="auto"/>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生产车间</w:t>
                  </w:r>
                </w:p>
              </w:tc>
              <w:tc>
                <w:tcPr>
                  <w:tcW w:w="485" w:type="pct"/>
                  <w:vAlign w:val="center"/>
                </w:tcPr>
                <w:p w14:paraId="08C00B9A">
                  <w:pPr>
                    <w:spacing w:line="240" w:lineRule="auto"/>
                    <w:jc w:val="center"/>
                    <w:rPr>
                      <w:rFonts w:hint="default" w:ascii="Times New Roman" w:hAnsi="Times New Roman"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六楼</w:t>
                  </w:r>
                </w:p>
              </w:tc>
              <w:tc>
                <w:tcPr>
                  <w:tcW w:w="3728" w:type="pct"/>
                  <w:vAlign w:val="center"/>
                </w:tcPr>
                <w:p w14:paraId="0C17D8D3">
                  <w:pPr>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面积2097.36</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，包括</w:t>
                  </w:r>
                  <w:r>
                    <w:rPr>
                      <w:rFonts w:hint="default" w:ascii="Times New Roman" w:hAnsi="Times New Roman" w:cs="Times New Roman"/>
                      <w:color w:val="auto"/>
                      <w:sz w:val="21"/>
                      <w:szCs w:val="21"/>
                      <w:lang w:val="en-US" w:eastAsia="zh-CN"/>
                    </w:rPr>
                    <w:t>机加工区、移印区、喷漆区、烘烤区、配料房、炼胶房、冲床区、包装区等</w:t>
                  </w:r>
                  <w:r>
                    <w:rPr>
                      <w:rFonts w:hint="default" w:ascii="Times New Roman" w:hAnsi="Times New Roman" w:cs="Times New Roman"/>
                      <w:color w:val="auto"/>
                      <w:sz w:val="21"/>
                      <w:szCs w:val="21"/>
                      <w:lang w:eastAsia="zh-CN"/>
                    </w:rPr>
                    <w:t>。</w:t>
                  </w:r>
                </w:p>
              </w:tc>
            </w:tr>
            <w:tr w14:paraId="555E9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03C5BC48">
                  <w:pPr>
                    <w:spacing w:line="240" w:lineRule="auto"/>
                    <w:jc w:val="center"/>
                    <w:rPr>
                      <w:rFonts w:hint="default" w:ascii="Times New Roman" w:hAnsi="Times New Roman" w:cs="Times New Roman"/>
                      <w:color w:val="auto"/>
                      <w:sz w:val="21"/>
                      <w:szCs w:val="21"/>
                      <w:lang w:bidi="ar"/>
                    </w:rPr>
                  </w:pPr>
                </w:p>
              </w:tc>
              <w:tc>
                <w:tcPr>
                  <w:tcW w:w="396" w:type="pct"/>
                  <w:vMerge w:val="continue"/>
                  <w:vAlign w:val="center"/>
                </w:tcPr>
                <w:p w14:paraId="4FAA3685">
                  <w:pPr>
                    <w:spacing w:line="240" w:lineRule="auto"/>
                    <w:jc w:val="center"/>
                    <w:rPr>
                      <w:rFonts w:hint="default" w:ascii="Times New Roman" w:hAnsi="Times New Roman" w:cs="Times New Roman"/>
                      <w:color w:val="auto"/>
                      <w:sz w:val="21"/>
                      <w:szCs w:val="21"/>
                      <w:lang w:val="en-US" w:eastAsia="zh-CN" w:bidi="ar"/>
                    </w:rPr>
                  </w:pPr>
                </w:p>
              </w:tc>
              <w:tc>
                <w:tcPr>
                  <w:tcW w:w="485" w:type="pct"/>
                  <w:vAlign w:val="center"/>
                </w:tcPr>
                <w:p w14:paraId="336C5E98">
                  <w:pPr>
                    <w:spacing w:line="240" w:lineRule="auto"/>
                    <w:jc w:val="center"/>
                    <w:rPr>
                      <w:rFonts w:hint="default" w:ascii="Times New Roman" w:hAnsi="Times New Roman"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七楼</w:t>
                  </w:r>
                </w:p>
              </w:tc>
              <w:tc>
                <w:tcPr>
                  <w:tcW w:w="3728" w:type="pct"/>
                  <w:vAlign w:val="center"/>
                </w:tcPr>
                <w:p w14:paraId="6B6FB318">
                  <w:pPr>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面积2097.36</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，包括</w:t>
                  </w:r>
                  <w:r>
                    <w:rPr>
                      <w:rFonts w:hint="default" w:ascii="Times New Roman" w:hAnsi="Times New Roman" w:cs="Times New Roman"/>
                      <w:color w:val="auto"/>
                      <w:sz w:val="21"/>
                      <w:szCs w:val="21"/>
                      <w:lang w:val="en-US" w:eastAsia="zh-CN"/>
                    </w:rPr>
                    <w:t>液态成型区、注塑区、碎料房、配料房等</w:t>
                  </w:r>
                  <w:r>
                    <w:rPr>
                      <w:rFonts w:hint="default" w:ascii="Times New Roman" w:hAnsi="Times New Roman" w:cs="Times New Roman"/>
                      <w:color w:val="auto"/>
                      <w:sz w:val="21"/>
                      <w:szCs w:val="21"/>
                      <w:lang w:eastAsia="zh-CN"/>
                    </w:rPr>
                    <w:t>。</w:t>
                  </w:r>
                </w:p>
              </w:tc>
            </w:tr>
            <w:tr w14:paraId="67F6A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restart"/>
                  <w:vAlign w:val="center"/>
                </w:tcPr>
                <w:p w14:paraId="4C285049">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公用工程</w:t>
                  </w:r>
                </w:p>
              </w:tc>
              <w:tc>
                <w:tcPr>
                  <w:tcW w:w="881" w:type="pct"/>
                  <w:gridSpan w:val="2"/>
                  <w:vAlign w:val="center"/>
                </w:tcPr>
                <w:p w14:paraId="1812AAD7">
                  <w:pPr>
                    <w:spacing w:line="240" w:lineRule="auto"/>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办公</w:t>
                  </w:r>
                  <w:r>
                    <w:rPr>
                      <w:rFonts w:hint="default" w:ascii="Times New Roman" w:hAnsi="Times New Roman" w:cs="Times New Roman"/>
                      <w:color w:val="auto"/>
                      <w:sz w:val="21"/>
                      <w:szCs w:val="21"/>
                      <w:lang w:val="en-US" w:eastAsia="zh-CN" w:bidi="ar"/>
                    </w:rPr>
                    <w:t>区</w:t>
                  </w:r>
                </w:p>
              </w:tc>
              <w:tc>
                <w:tcPr>
                  <w:tcW w:w="3728" w:type="pct"/>
                  <w:vAlign w:val="center"/>
                </w:tcPr>
                <w:p w14:paraId="07B0CF7B">
                  <w:pPr>
                    <w:spacing w:line="240" w:lineRule="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面积429</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lang w:val="en-US" w:eastAsia="zh-CN"/>
                    </w:rPr>
                    <w:t>，位于隔层，用于员工办公</w:t>
                  </w:r>
                  <w:r>
                    <w:rPr>
                      <w:rFonts w:hint="default" w:ascii="Times New Roman" w:hAnsi="Times New Roman" w:cs="Times New Roman"/>
                      <w:color w:val="auto"/>
                      <w:sz w:val="21"/>
                      <w:szCs w:val="21"/>
                    </w:rPr>
                    <w:t>。</w:t>
                  </w:r>
                </w:p>
              </w:tc>
            </w:tr>
            <w:tr w14:paraId="6EC6E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389" w:type="pct"/>
                  <w:vMerge w:val="continue"/>
                  <w:vAlign w:val="center"/>
                </w:tcPr>
                <w:p w14:paraId="695CE97D">
                  <w:pPr>
                    <w:spacing w:line="240" w:lineRule="auto"/>
                    <w:jc w:val="center"/>
                    <w:rPr>
                      <w:rFonts w:hint="default" w:ascii="Times New Roman" w:hAnsi="Times New Roman" w:cs="Times New Roman"/>
                      <w:color w:val="auto"/>
                      <w:sz w:val="21"/>
                      <w:szCs w:val="21"/>
                      <w:lang w:bidi="ar"/>
                    </w:rPr>
                  </w:pPr>
                </w:p>
              </w:tc>
              <w:tc>
                <w:tcPr>
                  <w:tcW w:w="881" w:type="pct"/>
                  <w:gridSpan w:val="2"/>
                  <w:vAlign w:val="center"/>
                </w:tcPr>
                <w:p w14:paraId="353EC4D2">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bidi="ar"/>
                    </w:rPr>
                    <w:t>给水工程</w:t>
                  </w:r>
                </w:p>
              </w:tc>
              <w:tc>
                <w:tcPr>
                  <w:tcW w:w="3728" w:type="pct"/>
                  <w:vAlign w:val="center"/>
                </w:tcPr>
                <w:p w14:paraId="4B4885B5">
                  <w:pPr>
                    <w:spacing w:line="240" w:lineRule="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市政给水管网供水。</w:t>
                  </w:r>
                </w:p>
              </w:tc>
            </w:tr>
            <w:tr w14:paraId="26BBE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05EDA7F0">
                  <w:pPr>
                    <w:spacing w:line="240" w:lineRule="auto"/>
                    <w:jc w:val="center"/>
                    <w:rPr>
                      <w:rFonts w:hint="default" w:ascii="Times New Roman" w:hAnsi="Times New Roman" w:cs="Times New Roman"/>
                      <w:color w:val="auto"/>
                      <w:sz w:val="21"/>
                      <w:szCs w:val="21"/>
                      <w:lang w:bidi="ar"/>
                    </w:rPr>
                  </w:pPr>
                </w:p>
              </w:tc>
              <w:tc>
                <w:tcPr>
                  <w:tcW w:w="881" w:type="pct"/>
                  <w:gridSpan w:val="2"/>
                  <w:vAlign w:val="center"/>
                </w:tcPr>
                <w:p w14:paraId="40A41150">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bidi="ar"/>
                    </w:rPr>
                    <w:t>排水工程</w:t>
                  </w:r>
                </w:p>
              </w:tc>
              <w:tc>
                <w:tcPr>
                  <w:tcW w:w="3728" w:type="pct"/>
                  <w:vAlign w:val="center"/>
                </w:tcPr>
                <w:p w14:paraId="54CACD29">
                  <w:pPr>
                    <w:spacing w:line="240" w:lineRule="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雨污分流，</w:t>
                  </w:r>
                  <w:r>
                    <w:rPr>
                      <w:rFonts w:hint="default" w:ascii="Times New Roman" w:hAnsi="Times New Roman" w:cs="Times New Roman"/>
                      <w:color w:val="auto"/>
                      <w:sz w:val="21"/>
                      <w:szCs w:val="21"/>
                    </w:rPr>
                    <w:t>市政污水管网排水。</w:t>
                  </w:r>
                </w:p>
              </w:tc>
            </w:tr>
            <w:tr w14:paraId="668A4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72949155">
                  <w:pPr>
                    <w:spacing w:line="240" w:lineRule="auto"/>
                    <w:jc w:val="center"/>
                    <w:rPr>
                      <w:rFonts w:hint="default" w:ascii="Times New Roman" w:hAnsi="Times New Roman" w:cs="Times New Roman"/>
                      <w:color w:val="auto"/>
                      <w:sz w:val="21"/>
                      <w:szCs w:val="21"/>
                      <w:lang w:bidi="ar"/>
                    </w:rPr>
                  </w:pPr>
                </w:p>
              </w:tc>
              <w:tc>
                <w:tcPr>
                  <w:tcW w:w="881" w:type="pct"/>
                  <w:gridSpan w:val="2"/>
                  <w:vAlign w:val="center"/>
                </w:tcPr>
                <w:p w14:paraId="35C3B706">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bidi="ar"/>
                    </w:rPr>
                    <w:t>供电工程</w:t>
                  </w:r>
                </w:p>
              </w:tc>
              <w:tc>
                <w:tcPr>
                  <w:tcW w:w="3728" w:type="pct"/>
                  <w:vAlign w:val="center"/>
                </w:tcPr>
                <w:p w14:paraId="04A0FDE5">
                  <w:pPr>
                    <w:spacing w:line="240" w:lineRule="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市政供电网供电。</w:t>
                  </w:r>
                </w:p>
              </w:tc>
            </w:tr>
            <w:tr w14:paraId="59056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Align w:val="center"/>
                </w:tcPr>
                <w:p w14:paraId="0B788D4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储运工程</w:t>
                  </w:r>
                </w:p>
              </w:tc>
              <w:tc>
                <w:tcPr>
                  <w:tcW w:w="881" w:type="pct"/>
                  <w:gridSpan w:val="2"/>
                  <w:vAlign w:val="center"/>
                </w:tcPr>
                <w:p w14:paraId="6E7A5C0C">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仓库</w:t>
                  </w:r>
                </w:p>
              </w:tc>
              <w:tc>
                <w:tcPr>
                  <w:tcW w:w="3728" w:type="pct"/>
                  <w:vAlign w:val="center"/>
                </w:tcPr>
                <w:p w14:paraId="7DAEF56F">
                  <w:pPr>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分布于六楼、隔层和七楼，用于物料存放。</w:t>
                  </w:r>
                  <w:r>
                    <w:rPr>
                      <w:rFonts w:hint="default" w:ascii="Times New Roman" w:hAnsi="Times New Roman" w:cs="Times New Roman"/>
                      <w:color w:val="auto"/>
                      <w:lang w:val="en-US" w:eastAsia="zh-CN"/>
                    </w:rPr>
                    <w:t>六楼仓库为原料区，隔层和七楼仓库为成品区。</w:t>
                  </w:r>
                </w:p>
              </w:tc>
            </w:tr>
            <w:tr w14:paraId="1FD1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Align w:val="center"/>
                </w:tcPr>
                <w:p w14:paraId="20E6506B">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依托工程</w:t>
                  </w:r>
                </w:p>
              </w:tc>
              <w:tc>
                <w:tcPr>
                  <w:tcW w:w="881" w:type="pct"/>
                  <w:gridSpan w:val="2"/>
                  <w:vAlign w:val="center"/>
                </w:tcPr>
                <w:p w14:paraId="25999ACD">
                  <w:pPr>
                    <w:spacing w:line="240" w:lineRule="auto"/>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w:t>
                  </w:r>
                </w:p>
              </w:tc>
              <w:tc>
                <w:tcPr>
                  <w:tcW w:w="3728" w:type="pct"/>
                  <w:vAlign w:val="center"/>
                </w:tcPr>
                <w:p w14:paraId="7B21BF4F">
                  <w:pPr>
                    <w:spacing w:line="240" w:lineRule="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园洲镇第五污水处理厂</w:t>
                  </w:r>
                </w:p>
              </w:tc>
            </w:tr>
            <w:tr w14:paraId="69D1F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restart"/>
                  <w:vAlign w:val="center"/>
                </w:tcPr>
                <w:p w14:paraId="221D8A46">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环保工程</w:t>
                  </w:r>
                </w:p>
              </w:tc>
              <w:tc>
                <w:tcPr>
                  <w:tcW w:w="881" w:type="pct"/>
                  <w:gridSpan w:val="2"/>
                  <w:vAlign w:val="center"/>
                </w:tcPr>
                <w:p w14:paraId="15DCA929">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污水处理</w:t>
                  </w:r>
                </w:p>
              </w:tc>
              <w:tc>
                <w:tcPr>
                  <w:tcW w:w="3728" w:type="pct"/>
                  <w:vAlign w:val="center"/>
                </w:tcPr>
                <w:p w14:paraId="59E7A0BE">
                  <w:pPr>
                    <w:spacing w:line="240" w:lineRule="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项目</w:t>
                  </w:r>
                  <w:r>
                    <w:rPr>
                      <w:rFonts w:hint="default" w:ascii="Times New Roman" w:hAnsi="Times New Roman" w:cs="Times New Roman"/>
                      <w:color w:val="auto"/>
                      <w:sz w:val="21"/>
                      <w:szCs w:val="21"/>
                      <w:lang w:eastAsia="zh-CN"/>
                    </w:rPr>
                    <w:t>间接冷却废水循环使用不外排</w:t>
                  </w:r>
                  <w:r>
                    <w:rPr>
                      <w:rFonts w:hint="default" w:ascii="Times New Roman" w:hAnsi="Times New Roman" w:cs="Times New Roman"/>
                      <w:color w:val="auto"/>
                      <w:sz w:val="21"/>
                      <w:szCs w:val="21"/>
                    </w:rPr>
                    <w:t>，喷淋废水</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水帘柜废水</w:t>
                  </w:r>
                  <w:r>
                    <w:rPr>
                      <w:rFonts w:hint="default" w:ascii="Times New Roman" w:hAnsi="Times New Roman" w:cs="Times New Roman"/>
                      <w:color w:val="auto"/>
                      <w:sz w:val="21"/>
                      <w:szCs w:val="21"/>
                      <w:lang w:val="en-US" w:eastAsia="zh-CN"/>
                    </w:rPr>
                    <w:t>和喷枪清洗废水</w:t>
                  </w:r>
                  <w:r>
                    <w:rPr>
                      <w:rFonts w:hint="default" w:ascii="Times New Roman" w:hAnsi="Times New Roman" w:cs="Times New Roman"/>
                      <w:color w:val="auto"/>
                      <w:sz w:val="21"/>
                      <w:szCs w:val="21"/>
                    </w:rPr>
                    <w:t>收集后交由有资质的单位处置，生活污水经三级化粪池预处理后纳入市政管网进入</w:t>
                  </w:r>
                  <w:r>
                    <w:rPr>
                      <w:rFonts w:hint="default" w:ascii="Times New Roman" w:hAnsi="Times New Roman" w:cs="Times New Roman"/>
                      <w:color w:val="auto"/>
                      <w:sz w:val="21"/>
                      <w:szCs w:val="21"/>
                      <w:lang w:eastAsia="zh-CN"/>
                    </w:rPr>
                    <w:t>园洲镇第五污水处理厂</w:t>
                  </w:r>
                  <w:r>
                    <w:rPr>
                      <w:rFonts w:hint="default" w:ascii="Times New Roman" w:hAnsi="Times New Roman" w:cs="Times New Roman"/>
                      <w:color w:val="auto"/>
                      <w:sz w:val="21"/>
                      <w:szCs w:val="21"/>
                    </w:rPr>
                    <w:t>处理</w:t>
                  </w:r>
                  <w:r>
                    <w:rPr>
                      <w:rFonts w:hint="default" w:ascii="Times New Roman" w:hAnsi="Times New Roman" w:cs="Times New Roman"/>
                      <w:color w:val="auto"/>
                      <w:sz w:val="21"/>
                      <w:szCs w:val="21"/>
                      <w:lang w:eastAsia="zh-CN"/>
                    </w:rPr>
                    <w:t>。</w:t>
                  </w:r>
                </w:p>
              </w:tc>
            </w:tr>
            <w:tr w14:paraId="10A72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9" w:type="pct"/>
                  <w:vMerge w:val="continue"/>
                  <w:vAlign w:val="center"/>
                </w:tcPr>
                <w:p w14:paraId="34818CC0">
                  <w:pPr>
                    <w:spacing w:line="240" w:lineRule="auto"/>
                    <w:jc w:val="center"/>
                    <w:rPr>
                      <w:rFonts w:hint="default" w:ascii="Times New Roman" w:hAnsi="Times New Roman" w:cs="Times New Roman"/>
                      <w:color w:val="auto"/>
                      <w:sz w:val="21"/>
                      <w:szCs w:val="21"/>
                      <w:lang w:bidi="ar"/>
                    </w:rPr>
                  </w:pPr>
                </w:p>
              </w:tc>
              <w:tc>
                <w:tcPr>
                  <w:tcW w:w="881" w:type="pct"/>
                  <w:gridSpan w:val="2"/>
                  <w:vAlign w:val="center"/>
                </w:tcPr>
                <w:p w14:paraId="15CE090E">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废气处理</w:t>
                  </w:r>
                </w:p>
              </w:tc>
              <w:tc>
                <w:tcPr>
                  <w:tcW w:w="3728" w:type="pct"/>
                  <w:vAlign w:val="center"/>
                </w:tcPr>
                <w:p w14:paraId="36E0EC1B">
                  <w:pPr>
                    <w:spacing w:line="240" w:lineRule="auto"/>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val="en-US" w:eastAsia="zh-CN"/>
                    </w:rPr>
                    <w:t>喷漆工序废气经水帘柜预处理后与调漆、烘烤、移印、密炼及硫化等工序废气收集至“水喷淋+干式过滤+二级活性炭吸附”装置处理后引至排气筒DA001排放。项目注塑废气、液态成型废气</w:t>
                  </w:r>
                  <w:r>
                    <w:rPr>
                      <w:rFonts w:hint="default" w:ascii="Times New Roman" w:hAnsi="Times New Roman" w:cs="Times New Roman"/>
                      <w:color w:val="auto"/>
                      <w:sz w:val="21"/>
                      <w:szCs w:val="20"/>
                      <w:lang w:val="en-US" w:eastAsia="zh-CN"/>
                    </w:rPr>
                    <w:t>收集至</w:t>
                  </w:r>
                  <w:r>
                    <w:rPr>
                      <w:rFonts w:hint="default" w:ascii="Times New Roman" w:hAnsi="Times New Roman" w:cs="Times New Roman"/>
                      <w:color w:val="auto"/>
                      <w:sz w:val="21"/>
                      <w:szCs w:val="20"/>
                    </w:rPr>
                    <w:t>“水喷淋塔+干式过滤棉+</w:t>
                  </w:r>
                  <w:r>
                    <w:rPr>
                      <w:rFonts w:hint="default" w:ascii="Times New Roman" w:hAnsi="Times New Roman" w:cs="Times New Roman"/>
                      <w:color w:val="auto"/>
                      <w:sz w:val="21"/>
                      <w:szCs w:val="20"/>
                      <w:lang w:eastAsia="zh-CN"/>
                    </w:rPr>
                    <w:t>二级活性炭</w:t>
                  </w:r>
                  <w:r>
                    <w:rPr>
                      <w:rFonts w:hint="default" w:ascii="Times New Roman" w:hAnsi="Times New Roman" w:cs="Times New Roman"/>
                      <w:color w:val="auto"/>
                      <w:sz w:val="21"/>
                      <w:szCs w:val="20"/>
                    </w:rPr>
                    <w:t>吸附装置”处理后引至排气筒DA00</w:t>
                  </w:r>
                  <w:r>
                    <w:rPr>
                      <w:rFonts w:hint="default" w:ascii="Times New Roman" w:hAnsi="Times New Roman" w:cs="Times New Roman"/>
                      <w:color w:val="auto"/>
                      <w:sz w:val="21"/>
                      <w:szCs w:val="20"/>
                      <w:lang w:val="en-US" w:eastAsia="zh-CN"/>
                    </w:rPr>
                    <w:t>2</w:t>
                  </w:r>
                  <w:r>
                    <w:rPr>
                      <w:rFonts w:hint="default" w:ascii="Times New Roman" w:hAnsi="Times New Roman" w:cs="Times New Roman"/>
                      <w:color w:val="auto"/>
                      <w:sz w:val="21"/>
                      <w:szCs w:val="20"/>
                    </w:rPr>
                    <w:t>排放</w:t>
                  </w:r>
                  <w:r>
                    <w:rPr>
                      <w:rFonts w:hint="default" w:ascii="Times New Roman" w:hAnsi="Times New Roman" w:cs="Times New Roman"/>
                      <w:color w:val="auto"/>
                      <w:sz w:val="21"/>
                      <w:szCs w:val="20"/>
                      <w:lang w:val="en-US" w:eastAsia="zh-CN"/>
                    </w:rPr>
                    <w:t>，</w:t>
                  </w:r>
                  <w:r>
                    <w:rPr>
                      <w:rFonts w:hint="default" w:ascii="Times New Roman" w:hAnsi="Times New Roman" w:cs="Times New Roman"/>
                      <w:color w:val="auto"/>
                      <w:sz w:val="21"/>
                      <w:szCs w:val="20"/>
                    </w:rPr>
                    <w:t>未被收集的有机废气</w:t>
                  </w:r>
                  <w:r>
                    <w:rPr>
                      <w:rFonts w:hint="default" w:ascii="Times New Roman" w:hAnsi="Times New Roman" w:cs="Times New Roman"/>
                      <w:color w:val="auto"/>
                      <w:sz w:val="21"/>
                      <w:szCs w:val="20"/>
                      <w:lang w:eastAsia="zh-CN"/>
                    </w:rPr>
                    <w:t>（</w:t>
                  </w:r>
                  <w:r>
                    <w:rPr>
                      <w:rFonts w:hint="default" w:ascii="Times New Roman" w:hAnsi="Times New Roman" w:cs="Times New Roman"/>
                      <w:color w:val="auto"/>
                      <w:sz w:val="21"/>
                      <w:szCs w:val="20"/>
                      <w:lang w:val="en-US" w:eastAsia="zh-CN"/>
                    </w:rPr>
                    <w:t>VOCs、非甲烷总烃、颗粒物、臭气</w:t>
                  </w:r>
                  <w:r>
                    <w:rPr>
                      <w:rFonts w:hint="default" w:ascii="Times New Roman" w:hAnsi="Times New Roman" w:cs="Times New Roman"/>
                      <w:color w:val="auto"/>
                      <w:sz w:val="21"/>
                      <w:szCs w:val="20"/>
                      <w:lang w:eastAsia="zh-CN"/>
                    </w:rPr>
                    <w:t>）</w:t>
                  </w:r>
                  <w:r>
                    <w:rPr>
                      <w:rFonts w:hint="default" w:ascii="Times New Roman" w:hAnsi="Times New Roman" w:cs="Times New Roman"/>
                      <w:color w:val="auto"/>
                      <w:sz w:val="21"/>
                      <w:szCs w:val="20"/>
                      <w:lang w:val="en-US" w:eastAsia="zh-CN"/>
                    </w:rPr>
                    <w:t>以及机加工和破碎颗粒物、电火花加工过程废气（颗粒物、非甲烷总烃）在车间无组织排放。</w:t>
                  </w:r>
                </w:p>
              </w:tc>
            </w:tr>
            <w:tr w14:paraId="60CDA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2260E92B">
                  <w:pPr>
                    <w:spacing w:line="240" w:lineRule="auto"/>
                    <w:jc w:val="center"/>
                    <w:rPr>
                      <w:rFonts w:hint="default" w:ascii="Times New Roman" w:hAnsi="Times New Roman" w:cs="Times New Roman"/>
                      <w:color w:val="auto"/>
                      <w:sz w:val="21"/>
                      <w:szCs w:val="21"/>
                    </w:rPr>
                  </w:pPr>
                </w:p>
              </w:tc>
              <w:tc>
                <w:tcPr>
                  <w:tcW w:w="881" w:type="pct"/>
                  <w:gridSpan w:val="2"/>
                  <w:vAlign w:val="center"/>
                </w:tcPr>
                <w:p w14:paraId="27657B4E">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噪声处理</w:t>
                  </w:r>
                </w:p>
              </w:tc>
              <w:tc>
                <w:tcPr>
                  <w:tcW w:w="3728" w:type="pct"/>
                  <w:vAlign w:val="center"/>
                </w:tcPr>
                <w:p w14:paraId="085DBCD8">
                  <w:pPr>
                    <w:spacing w:line="240" w:lineRule="auto"/>
                    <w:rPr>
                      <w:rFonts w:hint="default" w:ascii="Times New Roman" w:hAnsi="Times New Roman" w:eastAsia="宋体" w:cs="Times New Roman"/>
                      <w:color w:val="auto"/>
                      <w:sz w:val="21"/>
                      <w:szCs w:val="21"/>
                      <w:lang w:eastAsia="zh-CN" w:bidi="ar"/>
                    </w:rPr>
                  </w:pPr>
                  <w:r>
                    <w:rPr>
                      <w:rFonts w:hint="default" w:ascii="Times New Roman" w:hAnsi="Times New Roman" w:cs="Times New Roman"/>
                      <w:color w:val="auto"/>
                      <w:sz w:val="21"/>
                      <w:szCs w:val="21"/>
                      <w:lang w:bidi="ar"/>
                    </w:rPr>
                    <w:t>隔声、减振</w:t>
                  </w:r>
                  <w:r>
                    <w:rPr>
                      <w:rFonts w:hint="default" w:ascii="Times New Roman" w:hAnsi="Times New Roman" w:cs="Times New Roman"/>
                      <w:color w:val="auto"/>
                      <w:sz w:val="21"/>
                      <w:szCs w:val="21"/>
                      <w:lang w:eastAsia="zh-CN" w:bidi="ar"/>
                    </w:rPr>
                    <w:t>。</w:t>
                  </w:r>
                </w:p>
              </w:tc>
            </w:tr>
            <w:tr w14:paraId="1A554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0C78AF8B">
                  <w:pPr>
                    <w:spacing w:line="240" w:lineRule="auto"/>
                    <w:jc w:val="center"/>
                    <w:rPr>
                      <w:rFonts w:hint="default" w:ascii="Times New Roman" w:hAnsi="Times New Roman" w:cs="Times New Roman"/>
                      <w:color w:val="auto"/>
                      <w:sz w:val="21"/>
                      <w:szCs w:val="21"/>
                    </w:rPr>
                  </w:pPr>
                </w:p>
              </w:tc>
              <w:tc>
                <w:tcPr>
                  <w:tcW w:w="396" w:type="pct"/>
                  <w:vMerge w:val="restart"/>
                  <w:vAlign w:val="center"/>
                </w:tcPr>
                <w:p w14:paraId="04154AB7">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固体处理</w:t>
                  </w:r>
                </w:p>
              </w:tc>
              <w:tc>
                <w:tcPr>
                  <w:tcW w:w="485" w:type="pct"/>
                  <w:vAlign w:val="center"/>
                </w:tcPr>
                <w:p w14:paraId="5569AA80">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一般固体废物</w:t>
                  </w:r>
                </w:p>
              </w:tc>
              <w:tc>
                <w:tcPr>
                  <w:tcW w:w="3728" w:type="pct"/>
                  <w:vAlign w:val="center"/>
                </w:tcPr>
                <w:p w14:paraId="2E6C251A">
                  <w:pPr>
                    <w:adjustRightInd w:val="0"/>
                    <w:snapToGrid w:val="0"/>
                    <w:spacing w:line="240" w:lineRule="auto"/>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rPr>
                    <w:t>项目设有一个</w:t>
                  </w:r>
                  <w:r>
                    <w:rPr>
                      <w:rFonts w:hint="default" w:ascii="Times New Roman" w:hAnsi="Times New Roman" w:cs="Times New Roman"/>
                      <w:color w:val="auto"/>
                      <w:sz w:val="21"/>
                      <w:szCs w:val="21"/>
                      <w:lang w:val="en-US" w:eastAsia="zh-CN"/>
                    </w:rPr>
                    <w:t>15</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的固废暂存间，位于厂房</w:t>
                  </w:r>
                  <w:r>
                    <w:rPr>
                      <w:rFonts w:hint="default" w:ascii="Times New Roman" w:hAnsi="Times New Roman" w:cs="Times New Roman"/>
                      <w:color w:val="auto"/>
                      <w:sz w:val="21"/>
                      <w:szCs w:val="21"/>
                      <w:lang w:val="en-US" w:eastAsia="zh-CN"/>
                    </w:rPr>
                    <w:t>六楼西南侧</w:t>
                  </w:r>
                  <w:r>
                    <w:rPr>
                      <w:rFonts w:hint="default" w:ascii="Times New Roman" w:hAnsi="Times New Roman" w:cs="Times New Roman"/>
                      <w:color w:val="auto"/>
                      <w:sz w:val="21"/>
                      <w:szCs w:val="21"/>
                    </w:rPr>
                    <w:t>，项目机加工产生的</w:t>
                  </w:r>
                  <w:r>
                    <w:rPr>
                      <w:rFonts w:hint="default" w:ascii="Times New Roman" w:hAnsi="Times New Roman" w:cs="Times New Roman"/>
                      <w:color w:val="auto"/>
                      <w:sz w:val="21"/>
                      <w:szCs w:val="21"/>
                      <w:lang w:val="en-US" w:eastAsia="zh-CN"/>
                    </w:rPr>
                    <w:t>废模具</w:t>
                  </w:r>
                  <w:r>
                    <w:rPr>
                      <w:rFonts w:hint="default" w:ascii="Times New Roman" w:hAnsi="Times New Roman" w:cs="Times New Roman"/>
                      <w:color w:val="auto"/>
                      <w:sz w:val="21"/>
                      <w:szCs w:val="21"/>
                    </w:rPr>
                    <w:t>、质量检验过程产生的不合格品、生产过程废料和包装产生的废包装材料收集后交由专业回收公司回收处理。</w:t>
                  </w:r>
                </w:p>
              </w:tc>
            </w:tr>
            <w:tr w14:paraId="028F5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0C5D1633">
                  <w:pPr>
                    <w:spacing w:line="240" w:lineRule="auto"/>
                    <w:jc w:val="center"/>
                    <w:rPr>
                      <w:rFonts w:hint="default" w:ascii="Times New Roman" w:hAnsi="Times New Roman" w:cs="Times New Roman"/>
                      <w:color w:val="auto"/>
                      <w:sz w:val="21"/>
                      <w:szCs w:val="21"/>
                    </w:rPr>
                  </w:pPr>
                </w:p>
              </w:tc>
              <w:tc>
                <w:tcPr>
                  <w:tcW w:w="396" w:type="pct"/>
                  <w:vMerge w:val="continue"/>
                  <w:vAlign w:val="center"/>
                </w:tcPr>
                <w:p w14:paraId="1E04CD25">
                  <w:pPr>
                    <w:spacing w:line="240" w:lineRule="auto"/>
                    <w:jc w:val="center"/>
                    <w:rPr>
                      <w:rFonts w:hint="default" w:ascii="Times New Roman" w:hAnsi="Times New Roman" w:cs="Times New Roman"/>
                      <w:color w:val="auto"/>
                      <w:sz w:val="21"/>
                      <w:szCs w:val="21"/>
                      <w:lang w:bidi="ar"/>
                    </w:rPr>
                  </w:pPr>
                </w:p>
              </w:tc>
              <w:tc>
                <w:tcPr>
                  <w:tcW w:w="485" w:type="pct"/>
                  <w:vAlign w:val="center"/>
                </w:tcPr>
                <w:p w14:paraId="27DBD634">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危险废物</w:t>
                  </w:r>
                </w:p>
              </w:tc>
              <w:tc>
                <w:tcPr>
                  <w:tcW w:w="3728" w:type="pct"/>
                  <w:vAlign w:val="center"/>
                </w:tcPr>
                <w:p w14:paraId="65079503">
                  <w:pPr>
                    <w:adjustRightInd w:val="0"/>
                    <w:snapToGrid w:val="0"/>
                    <w:spacing w:line="240" w:lineRule="auto"/>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rPr>
                    <w:t>项目设有一个10m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的危废暂存间，位于厂房</w:t>
                  </w:r>
                  <w:r>
                    <w:rPr>
                      <w:rFonts w:hint="default" w:ascii="Times New Roman" w:hAnsi="Times New Roman" w:cs="Times New Roman"/>
                      <w:color w:val="auto"/>
                      <w:sz w:val="21"/>
                      <w:szCs w:val="21"/>
                      <w:lang w:val="en-US" w:eastAsia="zh-CN"/>
                    </w:rPr>
                    <w:t>六楼西南侧</w:t>
                  </w:r>
                  <w:r>
                    <w:rPr>
                      <w:rFonts w:hint="default" w:ascii="Times New Roman" w:hAnsi="Times New Roman" w:cs="Times New Roman"/>
                      <w:color w:val="auto"/>
                      <w:sz w:val="21"/>
                      <w:szCs w:val="21"/>
                    </w:rPr>
                    <w:t>，生产过程产生的废原料桶、废抹布及废手套、废矿物油、</w:t>
                  </w:r>
                  <w:r>
                    <w:rPr>
                      <w:rFonts w:hint="default" w:ascii="Times New Roman" w:hAnsi="Times New Roman" w:cs="Times New Roman"/>
                      <w:color w:val="auto"/>
                      <w:sz w:val="21"/>
                      <w:szCs w:val="21"/>
                      <w:lang w:val="en-US" w:eastAsia="zh-CN"/>
                    </w:rPr>
                    <w:t>漆渣</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eastAsia="zh-CN"/>
                    </w:rPr>
                    <w:t>喷淋废水</w:t>
                  </w:r>
                  <w:r>
                    <w:rPr>
                      <w:rFonts w:hint="default" w:ascii="Times New Roman" w:hAnsi="Times New Roman" w:cs="Times New Roman"/>
                      <w:color w:val="auto"/>
                      <w:sz w:val="21"/>
                      <w:szCs w:val="21"/>
                    </w:rPr>
                    <w:t>、</w:t>
                  </w:r>
                  <w:r>
                    <w:rPr>
                      <w:rFonts w:hint="eastAsia" w:cs="Times New Roman"/>
                      <w:color w:val="auto"/>
                      <w:sz w:val="21"/>
                      <w:szCs w:val="21"/>
                      <w:lang w:val="en-US" w:eastAsia="zh-CN"/>
                    </w:rPr>
                    <w:t>喷枪清洗废水、废网版、</w:t>
                  </w:r>
                  <w:r>
                    <w:rPr>
                      <w:rFonts w:hint="default" w:ascii="Times New Roman" w:hAnsi="Times New Roman" w:cs="Times New Roman"/>
                      <w:color w:val="auto"/>
                      <w:sz w:val="21"/>
                      <w:szCs w:val="21"/>
                    </w:rPr>
                    <w:t>含油金属屑</w:t>
                  </w:r>
                  <w:r>
                    <w:rPr>
                      <w:rFonts w:hint="eastAsia" w:cs="Times New Roman"/>
                      <w:color w:val="auto"/>
                      <w:sz w:val="21"/>
                      <w:szCs w:val="21"/>
                      <w:lang w:eastAsia="zh-CN"/>
                    </w:rPr>
                    <w:t>、</w:t>
                  </w:r>
                  <w:r>
                    <w:rPr>
                      <w:rFonts w:hint="default" w:ascii="Times New Roman" w:hAnsi="Times New Roman" w:cs="Times New Roman"/>
                      <w:color w:val="auto"/>
                      <w:sz w:val="21"/>
                      <w:szCs w:val="21"/>
                    </w:rPr>
                    <w:t>废切削液、废活性炭收集后交由有资质的单位处理。</w:t>
                  </w:r>
                </w:p>
              </w:tc>
            </w:tr>
            <w:tr w14:paraId="1CED2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644A7EDB">
                  <w:pPr>
                    <w:spacing w:line="240" w:lineRule="auto"/>
                    <w:jc w:val="center"/>
                    <w:rPr>
                      <w:rFonts w:hint="default" w:ascii="Times New Roman" w:hAnsi="Times New Roman" w:cs="Times New Roman"/>
                      <w:color w:val="auto"/>
                      <w:sz w:val="21"/>
                      <w:szCs w:val="21"/>
                    </w:rPr>
                  </w:pPr>
                </w:p>
              </w:tc>
              <w:tc>
                <w:tcPr>
                  <w:tcW w:w="396" w:type="pct"/>
                  <w:vMerge w:val="continue"/>
                  <w:vAlign w:val="center"/>
                </w:tcPr>
                <w:p w14:paraId="0C9AB75E">
                  <w:pPr>
                    <w:spacing w:line="240" w:lineRule="auto"/>
                    <w:jc w:val="center"/>
                    <w:rPr>
                      <w:rFonts w:hint="default" w:ascii="Times New Roman" w:hAnsi="Times New Roman" w:cs="Times New Roman"/>
                      <w:color w:val="auto"/>
                      <w:sz w:val="21"/>
                      <w:szCs w:val="21"/>
                      <w:lang w:bidi="ar"/>
                    </w:rPr>
                  </w:pPr>
                </w:p>
              </w:tc>
              <w:tc>
                <w:tcPr>
                  <w:tcW w:w="485" w:type="pct"/>
                  <w:vAlign w:val="center"/>
                </w:tcPr>
                <w:p w14:paraId="40AD0810">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生活垃圾</w:t>
                  </w:r>
                </w:p>
              </w:tc>
              <w:tc>
                <w:tcPr>
                  <w:tcW w:w="3728" w:type="pct"/>
                  <w:vAlign w:val="center"/>
                </w:tcPr>
                <w:p w14:paraId="69AB93B0">
                  <w:pPr>
                    <w:spacing w:line="240" w:lineRule="auto"/>
                    <w:rPr>
                      <w:rFonts w:hint="default" w:ascii="Times New Roman" w:hAnsi="Times New Roman" w:eastAsia="宋体" w:cs="Times New Roman"/>
                      <w:color w:val="auto"/>
                      <w:sz w:val="21"/>
                      <w:szCs w:val="21"/>
                      <w:lang w:eastAsia="zh-CN" w:bidi="ar"/>
                    </w:rPr>
                  </w:pPr>
                  <w:r>
                    <w:rPr>
                      <w:rFonts w:hint="default" w:ascii="Times New Roman" w:hAnsi="Times New Roman" w:cs="Times New Roman"/>
                      <w:color w:val="auto"/>
                      <w:sz w:val="21"/>
                      <w:szCs w:val="21"/>
                    </w:rPr>
                    <w:t>交由环卫部门定期清运</w:t>
                  </w:r>
                  <w:r>
                    <w:rPr>
                      <w:rFonts w:hint="default" w:ascii="Times New Roman" w:hAnsi="Times New Roman" w:cs="Times New Roman"/>
                      <w:color w:val="auto"/>
                      <w:sz w:val="21"/>
                      <w:szCs w:val="21"/>
                      <w:lang w:eastAsia="zh-CN"/>
                    </w:rPr>
                    <w:t>。</w:t>
                  </w:r>
                </w:p>
              </w:tc>
            </w:tr>
          </w:tbl>
          <w:p w14:paraId="64C661FB">
            <w:pPr>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（3）项目产品方案</w:t>
            </w:r>
          </w:p>
          <w:p w14:paraId="23538C60">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项目产品方案见表。</w:t>
            </w:r>
          </w:p>
          <w:p w14:paraId="2894EDC9">
            <w:pPr>
              <w:spacing w:line="240" w:lineRule="auto"/>
              <w:jc w:val="center"/>
              <w:rPr>
                <w:rFonts w:hint="default" w:ascii="Times New Roman" w:hAnsi="Times New Roman" w:cs="Times New Roman"/>
                <w:b/>
                <w:bCs/>
                <w:color w:val="auto"/>
                <w:kern w:val="0"/>
                <w:szCs w:val="22"/>
              </w:rPr>
            </w:pPr>
            <w:r>
              <w:rPr>
                <w:rFonts w:hint="default" w:ascii="Times New Roman" w:hAnsi="Times New Roman" w:cs="Times New Roman"/>
                <w:b/>
                <w:bCs/>
                <w:color w:val="auto"/>
                <w:kern w:val="0"/>
                <w:szCs w:val="22"/>
              </w:rPr>
              <w:t xml:space="preserve">  表</w:t>
            </w:r>
            <w:r>
              <w:rPr>
                <w:rFonts w:hint="default" w:ascii="Times New Roman" w:hAnsi="Times New Roman" w:cs="Times New Roman"/>
                <w:b/>
                <w:bCs/>
                <w:color w:val="auto"/>
                <w:kern w:val="0"/>
                <w:szCs w:val="22"/>
                <w:lang w:val="en-US" w:eastAsia="zh-CN"/>
              </w:rPr>
              <w:t>2-2</w:t>
            </w:r>
            <w:r>
              <w:rPr>
                <w:rFonts w:hint="default" w:ascii="Times New Roman" w:hAnsi="Times New Roman" w:cs="Times New Roman"/>
                <w:b/>
                <w:bCs/>
                <w:color w:val="auto"/>
                <w:kern w:val="0"/>
                <w:szCs w:val="22"/>
              </w:rPr>
              <w:t xml:space="preserve"> 项目产品产能一览表</w:t>
            </w:r>
          </w:p>
          <w:tbl>
            <w:tblPr>
              <w:tblStyle w:val="22"/>
              <w:tblW w:w="48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9"/>
              <w:gridCol w:w="2340"/>
              <w:gridCol w:w="1560"/>
              <w:gridCol w:w="675"/>
              <w:gridCol w:w="2773"/>
            </w:tblGrid>
            <w:tr w14:paraId="1D9E0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3" w:type="pct"/>
                  <w:vAlign w:val="center"/>
                </w:tcPr>
                <w:p w14:paraId="34210C05">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产品名称</w:t>
                  </w:r>
                </w:p>
              </w:tc>
              <w:tc>
                <w:tcPr>
                  <w:tcW w:w="1329" w:type="pct"/>
                  <w:vAlign w:val="center"/>
                </w:tcPr>
                <w:p w14:paraId="11F83DE1">
                  <w:pPr>
                    <w:spacing w:line="24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color w:val="auto"/>
                      <w:sz w:val="21"/>
                      <w:szCs w:val="21"/>
                      <w:lang w:val="en-US" w:eastAsia="zh-CN"/>
                    </w:rPr>
                    <w:t>规格</w:t>
                  </w:r>
                </w:p>
              </w:tc>
              <w:tc>
                <w:tcPr>
                  <w:tcW w:w="886" w:type="pct"/>
                  <w:vAlign w:val="center"/>
                </w:tcPr>
                <w:p w14:paraId="0056722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年产量</w:t>
                  </w:r>
                </w:p>
              </w:tc>
              <w:tc>
                <w:tcPr>
                  <w:tcW w:w="383" w:type="pct"/>
                  <w:vAlign w:val="center"/>
                </w:tcPr>
                <w:p w14:paraId="113D6333">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单位</w:t>
                  </w:r>
                </w:p>
              </w:tc>
              <w:tc>
                <w:tcPr>
                  <w:tcW w:w="1576" w:type="pct"/>
                  <w:vAlign w:val="center"/>
                </w:tcPr>
                <w:p w14:paraId="6D44D45F">
                  <w:pPr>
                    <w:spacing w:line="24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color w:val="auto"/>
                      <w:sz w:val="21"/>
                      <w:szCs w:val="21"/>
                      <w:lang w:val="en-US" w:eastAsia="zh-CN"/>
                    </w:rPr>
                    <w:t>产品照片</w:t>
                  </w:r>
                </w:p>
              </w:tc>
            </w:tr>
            <w:tr w14:paraId="16298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23" w:type="pct"/>
                  <w:vAlign w:val="center"/>
                </w:tcPr>
                <w:p w14:paraId="7E481C7B">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硅胶耳机套</w:t>
                  </w:r>
                </w:p>
              </w:tc>
              <w:tc>
                <w:tcPr>
                  <w:tcW w:w="1329" w:type="pct"/>
                  <w:vAlign w:val="center"/>
                </w:tcPr>
                <w:p w14:paraId="23A420EB">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袋装，2000个/袋 2KG（总重量约600吨）</w:t>
                  </w:r>
                </w:p>
              </w:tc>
              <w:tc>
                <w:tcPr>
                  <w:tcW w:w="886" w:type="pct"/>
                  <w:vAlign w:val="center"/>
                </w:tcPr>
                <w:p w14:paraId="105D4CAF">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383" w:type="pct"/>
                  <w:vAlign w:val="center"/>
                </w:tcPr>
                <w:p w14:paraId="0780C72E">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亿个</w:t>
                  </w:r>
                </w:p>
              </w:tc>
              <w:tc>
                <w:tcPr>
                  <w:tcW w:w="2773" w:type="dxa"/>
                  <w:vAlign w:val="center"/>
                </w:tcPr>
                <w:p w14:paraId="2A3A2FA0">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drawing>
                      <wp:inline distT="0" distB="0" distL="114300" distR="114300">
                        <wp:extent cx="1642110" cy="1199515"/>
                        <wp:effectExtent l="0" t="0" r="15240" b="635"/>
                        <wp:docPr id="69" name="图片 69" descr="b84580b8a15608fe96796504c458a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b84580b8a15608fe96796504c458adf"/>
                                <pic:cNvPicPr>
                                  <a:picLocks noChangeAspect="1"/>
                                </pic:cNvPicPr>
                              </pic:nvPicPr>
                              <pic:blipFill>
                                <a:blip r:embed="rId12"/>
                                <a:stretch>
                                  <a:fillRect/>
                                </a:stretch>
                              </pic:blipFill>
                              <pic:spPr>
                                <a:xfrm>
                                  <a:off x="0" y="0"/>
                                  <a:ext cx="1642110" cy="1199515"/>
                                </a:xfrm>
                                <a:prstGeom prst="rect">
                                  <a:avLst/>
                                </a:prstGeom>
                              </pic:spPr>
                            </pic:pic>
                          </a:graphicData>
                        </a:graphic>
                      </wp:inline>
                    </w:drawing>
                  </w:r>
                </w:p>
              </w:tc>
            </w:tr>
            <w:tr w14:paraId="09DB6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23" w:type="pct"/>
                  <w:vAlign w:val="center"/>
                </w:tcPr>
                <w:p w14:paraId="0C6411A6">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耳挂线</w:t>
                  </w:r>
                </w:p>
              </w:tc>
              <w:tc>
                <w:tcPr>
                  <w:tcW w:w="1329" w:type="pct"/>
                  <w:vAlign w:val="center"/>
                </w:tcPr>
                <w:p w14:paraId="6CAF0124">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两个为一套，一套10g（总重量约</w:t>
                  </w:r>
                  <w:r>
                    <w:rPr>
                      <w:rFonts w:hint="default" w:ascii="Times New Roman" w:hAnsi="Times New Roman"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00吨）</w:t>
                  </w:r>
                </w:p>
              </w:tc>
              <w:tc>
                <w:tcPr>
                  <w:tcW w:w="886" w:type="pct"/>
                  <w:vAlign w:val="center"/>
                </w:tcPr>
                <w:p w14:paraId="0F6DE0EE">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5000</w:t>
                  </w:r>
                </w:p>
              </w:tc>
              <w:tc>
                <w:tcPr>
                  <w:tcW w:w="383" w:type="pct"/>
                  <w:vAlign w:val="center"/>
                </w:tcPr>
                <w:p w14:paraId="11C30A76">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万套</w:t>
                  </w:r>
                </w:p>
              </w:tc>
              <w:tc>
                <w:tcPr>
                  <w:tcW w:w="2773" w:type="dxa"/>
                  <w:vAlign w:val="center"/>
                </w:tcPr>
                <w:p w14:paraId="67E271BC">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drawing>
                      <wp:inline distT="0" distB="0" distL="114300" distR="114300">
                        <wp:extent cx="871220" cy="1162050"/>
                        <wp:effectExtent l="0" t="0" r="5080" b="0"/>
                        <wp:docPr id="71" name="图片 71" descr="3195d1aaaa7358c1dc9b172a06a4d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3195d1aaaa7358c1dc9b172a06a4d9a"/>
                                <pic:cNvPicPr>
                                  <a:picLocks noChangeAspect="1"/>
                                </pic:cNvPicPr>
                              </pic:nvPicPr>
                              <pic:blipFill>
                                <a:blip r:embed="rId13"/>
                                <a:stretch>
                                  <a:fillRect/>
                                </a:stretch>
                              </pic:blipFill>
                              <pic:spPr>
                                <a:xfrm>
                                  <a:off x="0" y="0"/>
                                  <a:ext cx="871220" cy="1162050"/>
                                </a:xfrm>
                                <a:prstGeom prst="rect">
                                  <a:avLst/>
                                </a:prstGeom>
                              </pic:spPr>
                            </pic:pic>
                          </a:graphicData>
                        </a:graphic>
                      </wp:inline>
                    </w:drawing>
                  </w:r>
                </w:p>
              </w:tc>
            </w:tr>
            <w:tr w14:paraId="329DC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23" w:type="pct"/>
                  <w:vAlign w:val="center"/>
                </w:tcPr>
                <w:p w14:paraId="40D124F1">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硅胶音响套</w:t>
                  </w:r>
                </w:p>
              </w:tc>
              <w:tc>
                <w:tcPr>
                  <w:tcW w:w="1329" w:type="pct"/>
                  <w:vAlign w:val="center"/>
                </w:tcPr>
                <w:p w14:paraId="191722AF">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30cm*18cm；120g/个（总重量约240吨）</w:t>
                  </w:r>
                </w:p>
              </w:tc>
              <w:tc>
                <w:tcPr>
                  <w:tcW w:w="886" w:type="pct"/>
                  <w:vAlign w:val="center"/>
                </w:tcPr>
                <w:p w14:paraId="780CB023">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w:t>
                  </w:r>
                </w:p>
              </w:tc>
              <w:tc>
                <w:tcPr>
                  <w:tcW w:w="383" w:type="pct"/>
                  <w:vAlign w:val="center"/>
                </w:tcPr>
                <w:p w14:paraId="6CB97E8B">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万个</w:t>
                  </w:r>
                </w:p>
              </w:tc>
              <w:tc>
                <w:tcPr>
                  <w:tcW w:w="2773" w:type="dxa"/>
                  <w:vAlign w:val="center"/>
                </w:tcPr>
                <w:p w14:paraId="4235A209">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drawing>
                      <wp:inline distT="0" distB="0" distL="114300" distR="114300">
                        <wp:extent cx="1619250" cy="758825"/>
                        <wp:effectExtent l="0" t="0" r="0" b="3175"/>
                        <wp:docPr id="72" name="图片 72" descr="c057efebff1db6a8e5d9d142195b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c057efebff1db6a8e5d9d142195b936"/>
                                <pic:cNvPicPr>
                                  <a:picLocks noChangeAspect="1"/>
                                </pic:cNvPicPr>
                              </pic:nvPicPr>
                              <pic:blipFill>
                                <a:blip r:embed="rId14"/>
                                <a:stretch>
                                  <a:fillRect/>
                                </a:stretch>
                              </pic:blipFill>
                              <pic:spPr>
                                <a:xfrm>
                                  <a:off x="0" y="0"/>
                                  <a:ext cx="1619250" cy="758825"/>
                                </a:xfrm>
                                <a:prstGeom prst="rect">
                                  <a:avLst/>
                                </a:prstGeom>
                              </pic:spPr>
                            </pic:pic>
                          </a:graphicData>
                        </a:graphic>
                      </wp:inline>
                    </w:drawing>
                  </w:r>
                </w:p>
              </w:tc>
            </w:tr>
            <w:tr w14:paraId="08A9D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23" w:type="pct"/>
                  <w:vAlign w:val="center"/>
                </w:tcPr>
                <w:p w14:paraId="5ECBF21B">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模具</w:t>
                  </w:r>
                </w:p>
              </w:tc>
              <w:tc>
                <w:tcPr>
                  <w:tcW w:w="1329" w:type="pct"/>
                  <w:vAlign w:val="center"/>
                </w:tcPr>
                <w:p w14:paraId="397F62D5">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886" w:type="pct"/>
                  <w:vAlign w:val="center"/>
                </w:tcPr>
                <w:p w14:paraId="63F94327">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w:t>
                  </w:r>
                </w:p>
              </w:tc>
              <w:tc>
                <w:tcPr>
                  <w:tcW w:w="383" w:type="pct"/>
                  <w:vAlign w:val="center"/>
                </w:tcPr>
                <w:p w14:paraId="25587C78">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吨</w:t>
                  </w:r>
                </w:p>
              </w:tc>
              <w:tc>
                <w:tcPr>
                  <w:tcW w:w="2773" w:type="dxa"/>
                  <w:vAlign w:val="center"/>
                </w:tcPr>
                <w:p w14:paraId="66F5F535">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注：自用不外售</w:t>
                  </w:r>
                </w:p>
              </w:tc>
            </w:tr>
          </w:tbl>
          <w:p w14:paraId="6BA820DC">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（4）项目原辅材料</w:t>
            </w:r>
          </w:p>
          <w:p w14:paraId="304191D6">
            <w:pPr>
              <w:ind w:firstLine="482" w:firstLineChars="200"/>
              <w:jc w:val="left"/>
              <w:rPr>
                <w:rFonts w:hint="default" w:ascii="Times New Roman" w:hAnsi="Times New Roman" w:cs="Times New Roman"/>
                <w:b/>
                <w:bCs/>
                <w:color w:val="auto"/>
                <w:szCs w:val="20"/>
              </w:rPr>
            </w:pPr>
            <w:r>
              <w:rPr>
                <w:rFonts w:hint="default" w:ascii="Times New Roman" w:hAnsi="Times New Roman" w:cs="Times New Roman"/>
                <w:b/>
                <w:bCs/>
                <w:color w:val="auto"/>
                <w:szCs w:val="20"/>
              </w:rPr>
              <w:t>1）主要原辅材料用量</w:t>
            </w:r>
          </w:p>
          <w:p w14:paraId="3FE8F1A1">
            <w:pPr>
              <w:ind w:firstLine="480" w:firstLineChars="200"/>
              <w:jc w:val="left"/>
              <w:rPr>
                <w:rFonts w:hint="default" w:ascii="Times New Roman" w:hAnsi="Times New Roman" w:cs="Times New Roman"/>
                <w:color w:val="auto"/>
                <w:szCs w:val="20"/>
              </w:rPr>
            </w:pPr>
            <w:r>
              <w:rPr>
                <w:rFonts w:hint="default" w:ascii="Times New Roman" w:hAnsi="Times New Roman" w:cs="Times New Roman"/>
                <w:color w:val="auto"/>
                <w:szCs w:val="20"/>
                <w:lang w:val="en-US" w:eastAsia="zh-CN"/>
              </w:rPr>
              <w:t>项目从事硅胶制品和模具的生产，生产硅胶制品的胶料原料均为</w:t>
            </w:r>
            <w:bookmarkStart w:id="3" w:name="新料"/>
            <w:r>
              <w:rPr>
                <w:rFonts w:hint="default" w:ascii="Times New Roman" w:hAnsi="Times New Roman" w:cs="Times New Roman"/>
                <w:color w:val="auto"/>
                <w:szCs w:val="20"/>
                <w:lang w:val="en-US" w:eastAsia="zh-CN"/>
              </w:rPr>
              <w:t>新料</w:t>
            </w:r>
            <w:bookmarkEnd w:id="3"/>
            <w:r>
              <w:rPr>
                <w:rFonts w:hint="default" w:ascii="Times New Roman" w:hAnsi="Times New Roman" w:cs="Times New Roman"/>
                <w:color w:val="auto"/>
                <w:szCs w:val="20"/>
                <w:lang w:val="en-US" w:eastAsia="zh-CN"/>
              </w:rPr>
              <w:t>，不涉及废旧胶料的回收处理。</w:t>
            </w:r>
            <w:r>
              <w:rPr>
                <w:rFonts w:hint="default" w:ascii="Times New Roman" w:hAnsi="Times New Roman" w:cs="Times New Roman"/>
                <w:color w:val="auto"/>
                <w:szCs w:val="20"/>
              </w:rPr>
              <w:t>项目主要原辅材料</w:t>
            </w:r>
            <w:r>
              <w:rPr>
                <w:rFonts w:hint="default" w:ascii="Times New Roman" w:hAnsi="Times New Roman" w:cs="Times New Roman"/>
                <w:snapToGrid w:val="0"/>
                <w:color w:val="auto"/>
                <w:kern w:val="0"/>
              </w:rPr>
              <w:t>消耗情况</w:t>
            </w:r>
            <w:r>
              <w:rPr>
                <w:rFonts w:hint="default" w:ascii="Times New Roman" w:hAnsi="Times New Roman" w:cs="Times New Roman"/>
                <w:color w:val="auto"/>
                <w:szCs w:val="20"/>
              </w:rPr>
              <w:t>见下表。</w:t>
            </w:r>
          </w:p>
          <w:p w14:paraId="12411BCE">
            <w:pPr>
              <w:spacing w:line="240" w:lineRule="auto"/>
              <w:jc w:val="center"/>
              <w:rPr>
                <w:rFonts w:hint="default" w:ascii="Times New Roman" w:hAnsi="Times New Roman" w:cs="Times New Roman"/>
                <w:b/>
                <w:color w:val="auto"/>
                <w:szCs w:val="22"/>
              </w:rPr>
            </w:pPr>
            <w:r>
              <w:rPr>
                <w:rFonts w:hint="default" w:ascii="Times New Roman" w:hAnsi="Times New Roman" w:cs="Times New Roman"/>
                <w:b/>
                <w:color w:val="auto"/>
                <w:szCs w:val="22"/>
              </w:rPr>
              <w:t>表</w:t>
            </w:r>
            <w:r>
              <w:rPr>
                <w:rFonts w:hint="default" w:ascii="Times New Roman" w:hAnsi="Times New Roman" w:cs="Times New Roman"/>
                <w:b/>
                <w:color w:val="auto"/>
                <w:szCs w:val="22"/>
                <w:lang w:val="en-US" w:eastAsia="zh-CN"/>
              </w:rPr>
              <w:t>2-3</w:t>
            </w:r>
            <w:r>
              <w:rPr>
                <w:rFonts w:hint="default" w:ascii="Times New Roman" w:hAnsi="Times New Roman" w:cs="Times New Roman"/>
                <w:b/>
                <w:color w:val="auto"/>
                <w:kern w:val="0"/>
                <w:szCs w:val="22"/>
                <w:lang w:bidi="ar"/>
              </w:rPr>
              <w:t>项目主要原辅材料消耗一览表</w:t>
            </w:r>
          </w:p>
          <w:tbl>
            <w:tblPr>
              <w:tblStyle w:val="22"/>
              <w:tblW w:w="49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
              <w:gridCol w:w="1669"/>
              <w:gridCol w:w="795"/>
              <w:gridCol w:w="1179"/>
              <w:gridCol w:w="995"/>
              <w:gridCol w:w="687"/>
              <w:gridCol w:w="1729"/>
              <w:gridCol w:w="1442"/>
            </w:tblGrid>
            <w:tr w14:paraId="7066D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6" w:type="pct"/>
                  <w:vAlign w:val="center"/>
                </w:tcPr>
                <w:p w14:paraId="5E758C09">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933" w:type="pct"/>
                  <w:vAlign w:val="center"/>
                </w:tcPr>
                <w:p w14:paraId="7B74C53A">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444" w:type="pct"/>
                  <w:vAlign w:val="center"/>
                </w:tcPr>
                <w:p w14:paraId="1C6CE3AB">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形态</w:t>
                  </w:r>
                </w:p>
              </w:tc>
              <w:tc>
                <w:tcPr>
                  <w:tcW w:w="659" w:type="pct"/>
                  <w:vAlign w:val="center"/>
                </w:tcPr>
                <w:p w14:paraId="2C58655B">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包装规格</w:t>
                  </w:r>
                </w:p>
              </w:tc>
              <w:tc>
                <w:tcPr>
                  <w:tcW w:w="556" w:type="pct"/>
                  <w:vAlign w:val="center"/>
                </w:tcPr>
                <w:p w14:paraId="18A0656A">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年用量</w:t>
                  </w:r>
                </w:p>
              </w:tc>
              <w:tc>
                <w:tcPr>
                  <w:tcW w:w="384" w:type="pct"/>
                  <w:vAlign w:val="center"/>
                </w:tcPr>
                <w:p w14:paraId="73822EBA">
                  <w:pPr>
                    <w:spacing w:line="240" w:lineRule="auto"/>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单位</w:t>
                  </w:r>
                </w:p>
              </w:tc>
              <w:tc>
                <w:tcPr>
                  <w:tcW w:w="967" w:type="pct"/>
                  <w:vAlign w:val="center"/>
                </w:tcPr>
                <w:p w14:paraId="5F61E61F">
                  <w:pPr>
                    <w:spacing w:line="240" w:lineRule="auto"/>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最大储存量</w:t>
                  </w:r>
                </w:p>
              </w:tc>
              <w:tc>
                <w:tcPr>
                  <w:tcW w:w="806" w:type="pct"/>
                  <w:vAlign w:val="center"/>
                </w:tcPr>
                <w:p w14:paraId="386B6A25">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用途</w:t>
                  </w:r>
                </w:p>
              </w:tc>
            </w:tr>
            <w:tr w14:paraId="2D8FB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7AC943F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933" w:type="pct"/>
                  <w:shd w:val="clear" w:color="auto" w:fill="auto"/>
                  <w:vAlign w:val="center"/>
                </w:tcPr>
                <w:p w14:paraId="177BA5B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硅</w:t>
                  </w:r>
                  <w:r>
                    <w:rPr>
                      <w:rFonts w:hint="eastAsia" w:cs="Times New Roman"/>
                      <w:b w:val="0"/>
                      <w:bCs w:val="0"/>
                      <w:color w:val="auto"/>
                      <w:sz w:val="21"/>
                      <w:szCs w:val="21"/>
                      <w:lang w:val="en-US" w:eastAsia="zh-CN"/>
                    </w:rPr>
                    <w:t>橡</w:t>
                  </w:r>
                  <w:r>
                    <w:rPr>
                      <w:rFonts w:hint="default" w:ascii="Times New Roman" w:hAnsi="Times New Roman" w:eastAsia="宋体" w:cs="Times New Roman"/>
                      <w:b w:val="0"/>
                      <w:bCs w:val="0"/>
                      <w:color w:val="auto"/>
                      <w:sz w:val="21"/>
                      <w:szCs w:val="21"/>
                      <w:lang w:val="en-US" w:eastAsia="zh-CN"/>
                    </w:rPr>
                    <w:t>胶</w:t>
                  </w:r>
                </w:p>
              </w:tc>
              <w:tc>
                <w:tcPr>
                  <w:tcW w:w="444" w:type="pct"/>
                  <w:vAlign w:val="center"/>
                </w:tcPr>
                <w:p w14:paraId="4FDC282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固态</w:t>
                  </w:r>
                </w:p>
              </w:tc>
              <w:tc>
                <w:tcPr>
                  <w:tcW w:w="659" w:type="pct"/>
                  <w:shd w:val="clear" w:color="auto" w:fill="auto"/>
                  <w:vAlign w:val="center"/>
                </w:tcPr>
                <w:p w14:paraId="4A79E2E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20kg/袋</w:t>
                  </w:r>
                </w:p>
              </w:tc>
              <w:tc>
                <w:tcPr>
                  <w:tcW w:w="556" w:type="pct"/>
                  <w:vAlign w:val="center"/>
                </w:tcPr>
                <w:p w14:paraId="0500CC59">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600</w:t>
                  </w:r>
                </w:p>
              </w:tc>
              <w:tc>
                <w:tcPr>
                  <w:tcW w:w="384" w:type="pct"/>
                  <w:shd w:val="clear" w:color="auto" w:fill="auto"/>
                  <w:vAlign w:val="center"/>
                </w:tcPr>
                <w:p w14:paraId="2889DD7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0EA6E6A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60</w:t>
                  </w:r>
                </w:p>
              </w:tc>
              <w:tc>
                <w:tcPr>
                  <w:tcW w:w="806" w:type="pct"/>
                  <w:vAlign w:val="center"/>
                </w:tcPr>
                <w:p w14:paraId="6DAD844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密炼</w:t>
                  </w:r>
                </w:p>
              </w:tc>
            </w:tr>
            <w:tr w14:paraId="1C110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1DA12878">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w:t>
                  </w:r>
                </w:p>
              </w:tc>
              <w:tc>
                <w:tcPr>
                  <w:tcW w:w="933" w:type="pct"/>
                  <w:shd w:val="clear" w:color="auto" w:fill="auto"/>
                  <w:vAlign w:val="center"/>
                </w:tcPr>
                <w:p w14:paraId="400B78D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色胶</w:t>
                  </w:r>
                </w:p>
              </w:tc>
              <w:tc>
                <w:tcPr>
                  <w:tcW w:w="444" w:type="pct"/>
                  <w:vAlign w:val="center"/>
                </w:tcPr>
                <w:p w14:paraId="7A61D9F5">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固态</w:t>
                  </w:r>
                </w:p>
              </w:tc>
              <w:tc>
                <w:tcPr>
                  <w:tcW w:w="659" w:type="pct"/>
                  <w:shd w:val="clear" w:color="auto" w:fill="auto"/>
                  <w:vAlign w:val="center"/>
                </w:tcPr>
                <w:p w14:paraId="046BD56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5kg/袋</w:t>
                  </w:r>
                </w:p>
              </w:tc>
              <w:tc>
                <w:tcPr>
                  <w:tcW w:w="556" w:type="pct"/>
                  <w:vAlign w:val="center"/>
                </w:tcPr>
                <w:p w14:paraId="76B894B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10</w:t>
                  </w:r>
                </w:p>
              </w:tc>
              <w:tc>
                <w:tcPr>
                  <w:tcW w:w="384" w:type="pct"/>
                  <w:shd w:val="clear" w:color="auto" w:fill="auto"/>
                  <w:vAlign w:val="center"/>
                </w:tcPr>
                <w:p w14:paraId="293C092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2D59FFC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806" w:type="pct"/>
                  <w:vAlign w:val="center"/>
                </w:tcPr>
                <w:p w14:paraId="5007B3A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密炼</w:t>
                  </w:r>
                </w:p>
              </w:tc>
            </w:tr>
            <w:tr w14:paraId="117DC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5A742014">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w:t>
                  </w:r>
                </w:p>
              </w:tc>
              <w:tc>
                <w:tcPr>
                  <w:tcW w:w="933" w:type="pct"/>
                  <w:shd w:val="clear" w:color="auto" w:fill="auto"/>
                  <w:vAlign w:val="center"/>
                </w:tcPr>
                <w:p w14:paraId="3206819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硫化剂</w:t>
                  </w:r>
                </w:p>
              </w:tc>
              <w:tc>
                <w:tcPr>
                  <w:tcW w:w="444" w:type="pct"/>
                  <w:vAlign w:val="center"/>
                </w:tcPr>
                <w:p w14:paraId="02DB5374">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液态</w:t>
                  </w:r>
                </w:p>
              </w:tc>
              <w:tc>
                <w:tcPr>
                  <w:tcW w:w="659" w:type="pct"/>
                  <w:shd w:val="clear" w:color="auto" w:fill="auto"/>
                  <w:vAlign w:val="center"/>
                </w:tcPr>
                <w:p w14:paraId="78BFF04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16kg/桶</w:t>
                  </w:r>
                </w:p>
              </w:tc>
              <w:tc>
                <w:tcPr>
                  <w:tcW w:w="556" w:type="pct"/>
                  <w:vAlign w:val="center"/>
                </w:tcPr>
                <w:p w14:paraId="12F3DB65">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10</w:t>
                  </w:r>
                </w:p>
              </w:tc>
              <w:tc>
                <w:tcPr>
                  <w:tcW w:w="384" w:type="pct"/>
                  <w:shd w:val="clear" w:color="auto" w:fill="auto"/>
                  <w:vAlign w:val="center"/>
                </w:tcPr>
                <w:p w14:paraId="7D9D92E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40160A8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806" w:type="pct"/>
                  <w:vAlign w:val="center"/>
                </w:tcPr>
                <w:p w14:paraId="6A7CF1A4">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硫化成型</w:t>
                  </w:r>
                </w:p>
              </w:tc>
            </w:tr>
            <w:tr w14:paraId="34B38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268AC1C3">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w:t>
                  </w:r>
                </w:p>
              </w:tc>
              <w:tc>
                <w:tcPr>
                  <w:tcW w:w="933" w:type="pct"/>
                  <w:shd w:val="clear" w:color="auto" w:fill="auto"/>
                  <w:vAlign w:val="center"/>
                </w:tcPr>
                <w:p w14:paraId="6A1F635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水性漆</w:t>
                  </w:r>
                </w:p>
              </w:tc>
              <w:tc>
                <w:tcPr>
                  <w:tcW w:w="444" w:type="pct"/>
                  <w:vAlign w:val="center"/>
                </w:tcPr>
                <w:p w14:paraId="758D249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液态</w:t>
                  </w:r>
                </w:p>
              </w:tc>
              <w:tc>
                <w:tcPr>
                  <w:tcW w:w="659" w:type="pct"/>
                  <w:shd w:val="clear" w:color="auto" w:fill="auto"/>
                  <w:vAlign w:val="center"/>
                </w:tcPr>
                <w:p w14:paraId="616EB6A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25kg/桶</w:t>
                  </w:r>
                </w:p>
              </w:tc>
              <w:tc>
                <w:tcPr>
                  <w:tcW w:w="556" w:type="pct"/>
                  <w:vAlign w:val="center"/>
                </w:tcPr>
                <w:p w14:paraId="50D275C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7.4</w:t>
                  </w:r>
                </w:p>
              </w:tc>
              <w:tc>
                <w:tcPr>
                  <w:tcW w:w="384" w:type="pct"/>
                  <w:shd w:val="clear" w:color="auto" w:fill="auto"/>
                  <w:vAlign w:val="center"/>
                </w:tcPr>
                <w:p w14:paraId="791F15C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p w14:paraId="1E355BAD">
                  <w:pPr>
                    <w:rPr>
                      <w:rFonts w:hint="default" w:ascii="Times New Roman" w:hAnsi="Times New Roman" w:cs="Times New Roman"/>
                      <w:color w:val="auto"/>
                    </w:rPr>
                  </w:pPr>
                </w:p>
              </w:tc>
              <w:tc>
                <w:tcPr>
                  <w:tcW w:w="967" w:type="pct"/>
                  <w:shd w:val="clear" w:color="auto" w:fill="auto"/>
                  <w:vAlign w:val="center"/>
                </w:tcPr>
                <w:p w14:paraId="41101073">
                  <w:pPr>
                    <w:jc w:val="center"/>
                    <w:rPr>
                      <w:rFonts w:hint="default" w:ascii="Times New Roman" w:hAnsi="Times New Roman" w:cs="Times New Roman"/>
                      <w:color w:val="auto"/>
                    </w:rPr>
                  </w:pPr>
                  <w:r>
                    <w:rPr>
                      <w:rFonts w:hint="default" w:ascii="Times New Roman" w:hAnsi="Times New Roman" w:eastAsia="宋体" w:cs="Times New Roman"/>
                      <w:b w:val="0"/>
                      <w:bCs w:val="0"/>
                      <w:color w:val="auto"/>
                      <w:sz w:val="21"/>
                      <w:szCs w:val="21"/>
                      <w:lang w:val="en-US" w:eastAsia="zh-CN"/>
                    </w:rPr>
                    <w:t>2</w:t>
                  </w:r>
                </w:p>
              </w:tc>
              <w:tc>
                <w:tcPr>
                  <w:tcW w:w="806" w:type="pct"/>
                  <w:vAlign w:val="center"/>
                </w:tcPr>
                <w:p w14:paraId="2BBAFA33">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喷漆</w:t>
                  </w:r>
                </w:p>
              </w:tc>
            </w:tr>
            <w:tr w14:paraId="2E5F4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6A2AA258">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w:t>
                  </w:r>
                </w:p>
              </w:tc>
              <w:tc>
                <w:tcPr>
                  <w:tcW w:w="933" w:type="pct"/>
                  <w:shd w:val="clear" w:color="auto" w:fill="auto"/>
                  <w:vAlign w:val="center"/>
                </w:tcPr>
                <w:p w14:paraId="28F0CF2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水性油墨</w:t>
                  </w:r>
                </w:p>
              </w:tc>
              <w:tc>
                <w:tcPr>
                  <w:tcW w:w="444" w:type="pct"/>
                  <w:vAlign w:val="center"/>
                </w:tcPr>
                <w:p w14:paraId="6398479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液态</w:t>
                  </w:r>
                </w:p>
              </w:tc>
              <w:tc>
                <w:tcPr>
                  <w:tcW w:w="659" w:type="pct"/>
                  <w:shd w:val="clear" w:color="auto" w:fill="auto"/>
                  <w:vAlign w:val="center"/>
                </w:tcPr>
                <w:p w14:paraId="1E80EB8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25kg/桶</w:t>
                  </w:r>
                </w:p>
              </w:tc>
              <w:tc>
                <w:tcPr>
                  <w:tcW w:w="556" w:type="pct"/>
                  <w:vAlign w:val="center"/>
                </w:tcPr>
                <w:p w14:paraId="74EEE07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0.5</w:t>
                  </w:r>
                </w:p>
              </w:tc>
              <w:tc>
                <w:tcPr>
                  <w:tcW w:w="384" w:type="pct"/>
                  <w:shd w:val="clear" w:color="auto" w:fill="auto"/>
                  <w:vAlign w:val="center"/>
                </w:tcPr>
                <w:p w14:paraId="2D36080F">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1732E2C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0.1</w:t>
                  </w:r>
                </w:p>
              </w:tc>
              <w:tc>
                <w:tcPr>
                  <w:tcW w:w="806" w:type="pct"/>
                  <w:vAlign w:val="center"/>
                </w:tcPr>
                <w:p w14:paraId="57DA16E3">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移印</w:t>
                  </w:r>
                </w:p>
              </w:tc>
            </w:tr>
            <w:tr w14:paraId="3C58A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6B780B45">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w:t>
                  </w:r>
                </w:p>
              </w:tc>
              <w:tc>
                <w:tcPr>
                  <w:tcW w:w="933" w:type="pct"/>
                  <w:shd w:val="clear" w:color="auto" w:fill="auto"/>
                  <w:vAlign w:val="center"/>
                </w:tcPr>
                <w:p w14:paraId="0C6FE7E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液态胶</w:t>
                  </w:r>
                </w:p>
              </w:tc>
              <w:tc>
                <w:tcPr>
                  <w:tcW w:w="444" w:type="pct"/>
                  <w:vAlign w:val="center"/>
                </w:tcPr>
                <w:p w14:paraId="5FB5A4F7">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液态</w:t>
                  </w:r>
                </w:p>
              </w:tc>
              <w:tc>
                <w:tcPr>
                  <w:tcW w:w="659" w:type="pct"/>
                  <w:shd w:val="clear" w:color="auto" w:fill="auto"/>
                  <w:vAlign w:val="center"/>
                </w:tcPr>
                <w:p w14:paraId="042BD66F">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20kg/桶</w:t>
                  </w:r>
                </w:p>
              </w:tc>
              <w:tc>
                <w:tcPr>
                  <w:tcW w:w="556" w:type="pct"/>
                  <w:vAlign w:val="center"/>
                </w:tcPr>
                <w:p w14:paraId="2E097C2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240</w:t>
                  </w:r>
                </w:p>
              </w:tc>
              <w:tc>
                <w:tcPr>
                  <w:tcW w:w="384" w:type="pct"/>
                  <w:shd w:val="clear" w:color="auto" w:fill="auto"/>
                  <w:vAlign w:val="center"/>
                </w:tcPr>
                <w:p w14:paraId="35B89A4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5C5CADE8">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w:t>
                  </w:r>
                </w:p>
              </w:tc>
              <w:tc>
                <w:tcPr>
                  <w:tcW w:w="806" w:type="pct"/>
                  <w:vAlign w:val="center"/>
                </w:tcPr>
                <w:p w14:paraId="521CDFE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液态成型</w:t>
                  </w:r>
                </w:p>
              </w:tc>
            </w:tr>
            <w:tr w14:paraId="57342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5A7BDF5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w:t>
                  </w:r>
                </w:p>
              </w:tc>
              <w:tc>
                <w:tcPr>
                  <w:tcW w:w="933" w:type="pct"/>
                  <w:shd w:val="clear" w:color="auto" w:fill="auto"/>
                  <w:vAlign w:val="center"/>
                </w:tcPr>
                <w:p w14:paraId="7B46150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尼龙</w:t>
                  </w:r>
                </w:p>
              </w:tc>
              <w:tc>
                <w:tcPr>
                  <w:tcW w:w="444" w:type="pct"/>
                  <w:vAlign w:val="center"/>
                </w:tcPr>
                <w:p w14:paraId="340BD413">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固态</w:t>
                  </w:r>
                </w:p>
              </w:tc>
              <w:tc>
                <w:tcPr>
                  <w:tcW w:w="659" w:type="pct"/>
                  <w:shd w:val="clear" w:color="auto" w:fill="auto"/>
                  <w:vAlign w:val="center"/>
                </w:tcPr>
                <w:p w14:paraId="2BA4B675">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20kg/袋</w:t>
                  </w:r>
                </w:p>
              </w:tc>
              <w:tc>
                <w:tcPr>
                  <w:tcW w:w="556" w:type="pct"/>
                  <w:vAlign w:val="center"/>
                </w:tcPr>
                <w:p w14:paraId="4A91821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10</w:t>
                  </w:r>
                </w:p>
              </w:tc>
              <w:tc>
                <w:tcPr>
                  <w:tcW w:w="384" w:type="pct"/>
                  <w:shd w:val="clear" w:color="auto" w:fill="auto"/>
                  <w:vAlign w:val="center"/>
                </w:tcPr>
                <w:p w14:paraId="13E303A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1BC653B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w:t>
                  </w:r>
                </w:p>
              </w:tc>
              <w:tc>
                <w:tcPr>
                  <w:tcW w:w="806" w:type="pct"/>
                  <w:vAlign w:val="center"/>
                </w:tcPr>
                <w:p w14:paraId="2460F546">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注塑</w:t>
                  </w:r>
                </w:p>
              </w:tc>
            </w:tr>
            <w:tr w14:paraId="1E521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4D6FCAB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8</w:t>
                  </w:r>
                </w:p>
              </w:tc>
              <w:tc>
                <w:tcPr>
                  <w:tcW w:w="933" w:type="pct"/>
                  <w:shd w:val="clear" w:color="auto" w:fill="auto"/>
                  <w:vAlign w:val="center"/>
                </w:tcPr>
                <w:p w14:paraId="2B173DD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PP塑胶粒</w:t>
                  </w:r>
                </w:p>
              </w:tc>
              <w:tc>
                <w:tcPr>
                  <w:tcW w:w="444" w:type="pct"/>
                  <w:vAlign w:val="center"/>
                </w:tcPr>
                <w:p w14:paraId="30B29CF5">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固态</w:t>
                  </w:r>
                </w:p>
              </w:tc>
              <w:tc>
                <w:tcPr>
                  <w:tcW w:w="659" w:type="pct"/>
                  <w:shd w:val="clear" w:color="auto" w:fill="auto"/>
                  <w:vAlign w:val="center"/>
                </w:tcPr>
                <w:p w14:paraId="2D7F3BB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25kg/袋</w:t>
                  </w:r>
                </w:p>
              </w:tc>
              <w:tc>
                <w:tcPr>
                  <w:tcW w:w="556" w:type="pct"/>
                  <w:vAlign w:val="center"/>
                </w:tcPr>
                <w:p w14:paraId="09F5648E">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100</w:t>
                  </w:r>
                </w:p>
              </w:tc>
              <w:tc>
                <w:tcPr>
                  <w:tcW w:w="384" w:type="pct"/>
                  <w:shd w:val="clear" w:color="auto" w:fill="auto"/>
                  <w:vAlign w:val="center"/>
                </w:tcPr>
                <w:p w14:paraId="12A1656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6023C048">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10</w:t>
                  </w:r>
                </w:p>
              </w:tc>
              <w:tc>
                <w:tcPr>
                  <w:tcW w:w="806" w:type="pct"/>
                  <w:vAlign w:val="center"/>
                </w:tcPr>
                <w:p w14:paraId="0D517FE4">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注塑</w:t>
                  </w:r>
                </w:p>
              </w:tc>
            </w:tr>
            <w:tr w14:paraId="32944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55E5605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w:t>
                  </w:r>
                </w:p>
              </w:tc>
              <w:tc>
                <w:tcPr>
                  <w:tcW w:w="933" w:type="pct"/>
                  <w:shd w:val="clear" w:color="auto" w:fill="auto"/>
                  <w:vAlign w:val="center"/>
                </w:tcPr>
                <w:p w14:paraId="067B89F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ABS塑胶粒</w:t>
                  </w:r>
                </w:p>
              </w:tc>
              <w:tc>
                <w:tcPr>
                  <w:tcW w:w="444" w:type="pct"/>
                  <w:vAlign w:val="center"/>
                </w:tcPr>
                <w:p w14:paraId="02BA677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固态</w:t>
                  </w:r>
                </w:p>
              </w:tc>
              <w:tc>
                <w:tcPr>
                  <w:tcW w:w="659" w:type="pct"/>
                  <w:shd w:val="clear" w:color="auto" w:fill="auto"/>
                  <w:vAlign w:val="center"/>
                </w:tcPr>
                <w:p w14:paraId="7053D05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25kg/袋</w:t>
                  </w:r>
                </w:p>
              </w:tc>
              <w:tc>
                <w:tcPr>
                  <w:tcW w:w="556" w:type="pct"/>
                  <w:vAlign w:val="center"/>
                </w:tcPr>
                <w:p w14:paraId="683EDEC7">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300</w:t>
                  </w:r>
                </w:p>
              </w:tc>
              <w:tc>
                <w:tcPr>
                  <w:tcW w:w="384" w:type="pct"/>
                  <w:shd w:val="clear" w:color="auto" w:fill="auto"/>
                  <w:vAlign w:val="center"/>
                </w:tcPr>
                <w:p w14:paraId="65F1E5E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5611A427">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30</w:t>
                  </w:r>
                </w:p>
              </w:tc>
              <w:tc>
                <w:tcPr>
                  <w:tcW w:w="806" w:type="pct"/>
                  <w:vAlign w:val="center"/>
                </w:tcPr>
                <w:p w14:paraId="4AFAF1FF">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注塑</w:t>
                  </w:r>
                </w:p>
              </w:tc>
            </w:tr>
            <w:tr w14:paraId="0F408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6046C8D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10</w:t>
                  </w:r>
                </w:p>
              </w:tc>
              <w:tc>
                <w:tcPr>
                  <w:tcW w:w="933" w:type="pct"/>
                  <w:shd w:val="clear" w:color="auto" w:fill="auto"/>
                  <w:vAlign w:val="center"/>
                </w:tcPr>
                <w:p w14:paraId="049908F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PE塑胶粒</w:t>
                  </w:r>
                </w:p>
              </w:tc>
              <w:tc>
                <w:tcPr>
                  <w:tcW w:w="444" w:type="pct"/>
                  <w:vAlign w:val="center"/>
                </w:tcPr>
                <w:p w14:paraId="00BD9E9F">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固态</w:t>
                  </w:r>
                </w:p>
              </w:tc>
              <w:tc>
                <w:tcPr>
                  <w:tcW w:w="659" w:type="pct"/>
                  <w:shd w:val="clear" w:color="auto" w:fill="auto"/>
                  <w:vAlign w:val="center"/>
                </w:tcPr>
                <w:p w14:paraId="0C2F824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25kg/袋</w:t>
                  </w:r>
                </w:p>
              </w:tc>
              <w:tc>
                <w:tcPr>
                  <w:tcW w:w="556" w:type="pct"/>
                  <w:vAlign w:val="center"/>
                </w:tcPr>
                <w:p w14:paraId="5C0BA245">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100</w:t>
                  </w:r>
                </w:p>
              </w:tc>
              <w:tc>
                <w:tcPr>
                  <w:tcW w:w="384" w:type="pct"/>
                  <w:shd w:val="clear" w:color="auto" w:fill="auto"/>
                  <w:vAlign w:val="center"/>
                </w:tcPr>
                <w:p w14:paraId="60D4DC8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4987307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10</w:t>
                  </w:r>
                </w:p>
              </w:tc>
              <w:tc>
                <w:tcPr>
                  <w:tcW w:w="806" w:type="pct"/>
                  <w:vAlign w:val="center"/>
                </w:tcPr>
                <w:p w14:paraId="011A5A7E">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注塑</w:t>
                  </w:r>
                </w:p>
              </w:tc>
            </w:tr>
            <w:tr w14:paraId="15114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5785AE1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11</w:t>
                  </w:r>
                </w:p>
              </w:tc>
              <w:tc>
                <w:tcPr>
                  <w:tcW w:w="933" w:type="pct"/>
                  <w:shd w:val="clear" w:color="auto" w:fill="auto"/>
                  <w:vAlign w:val="center"/>
                </w:tcPr>
                <w:p w14:paraId="721F5B54">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钢材</w:t>
                  </w:r>
                </w:p>
              </w:tc>
              <w:tc>
                <w:tcPr>
                  <w:tcW w:w="444" w:type="pct"/>
                  <w:vAlign w:val="center"/>
                </w:tcPr>
                <w:p w14:paraId="7BF1CAA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固态</w:t>
                  </w:r>
                </w:p>
              </w:tc>
              <w:tc>
                <w:tcPr>
                  <w:tcW w:w="659" w:type="pct"/>
                  <w:shd w:val="clear" w:color="auto" w:fill="auto"/>
                  <w:vAlign w:val="center"/>
                </w:tcPr>
                <w:p w14:paraId="324C2257">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w:t>
                  </w:r>
                </w:p>
              </w:tc>
              <w:tc>
                <w:tcPr>
                  <w:tcW w:w="556" w:type="pct"/>
                  <w:vAlign w:val="center"/>
                </w:tcPr>
                <w:p w14:paraId="01F6C57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25</w:t>
                  </w:r>
                </w:p>
              </w:tc>
              <w:tc>
                <w:tcPr>
                  <w:tcW w:w="384" w:type="pct"/>
                  <w:shd w:val="clear" w:color="auto" w:fill="auto"/>
                  <w:vAlign w:val="center"/>
                </w:tcPr>
                <w:p w14:paraId="60C8F8A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t</w:t>
                  </w:r>
                </w:p>
              </w:tc>
              <w:tc>
                <w:tcPr>
                  <w:tcW w:w="967" w:type="pct"/>
                  <w:shd w:val="clear" w:color="auto" w:fill="auto"/>
                  <w:vAlign w:val="center"/>
                </w:tcPr>
                <w:p w14:paraId="415F9D9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5</w:t>
                  </w:r>
                </w:p>
              </w:tc>
              <w:tc>
                <w:tcPr>
                  <w:tcW w:w="806" w:type="pct"/>
                  <w:vAlign w:val="center"/>
                </w:tcPr>
                <w:p w14:paraId="1947D253">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模具制作</w:t>
                  </w:r>
                </w:p>
              </w:tc>
            </w:tr>
            <w:tr w14:paraId="39C9D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shd w:val="clear" w:color="auto" w:fill="auto"/>
                  <w:vAlign w:val="center"/>
                </w:tcPr>
                <w:p w14:paraId="6513597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r>
                    <w:rPr>
                      <w:rFonts w:hint="default" w:ascii="Times New Roman" w:hAnsi="Times New Roman" w:cs="Times New Roman"/>
                      <w:b w:val="0"/>
                      <w:bCs w:val="0"/>
                      <w:color w:val="auto"/>
                      <w:sz w:val="21"/>
                      <w:szCs w:val="21"/>
                      <w:lang w:val="en-US" w:eastAsia="zh-CN"/>
                    </w:rPr>
                    <w:t>2</w:t>
                  </w:r>
                </w:p>
              </w:tc>
              <w:tc>
                <w:tcPr>
                  <w:tcW w:w="933" w:type="pct"/>
                  <w:shd w:val="clear" w:color="auto" w:fill="auto"/>
                  <w:vAlign w:val="center"/>
                </w:tcPr>
                <w:p w14:paraId="78014103">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色母粒</w:t>
                  </w:r>
                </w:p>
              </w:tc>
              <w:tc>
                <w:tcPr>
                  <w:tcW w:w="444" w:type="pct"/>
                  <w:vAlign w:val="center"/>
                </w:tcPr>
                <w:p w14:paraId="38CFE28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固态</w:t>
                  </w:r>
                </w:p>
              </w:tc>
              <w:tc>
                <w:tcPr>
                  <w:tcW w:w="659" w:type="pct"/>
                  <w:shd w:val="clear" w:color="auto" w:fill="auto"/>
                  <w:vAlign w:val="center"/>
                </w:tcPr>
                <w:p w14:paraId="457FC2F6">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25kg/袋</w:t>
                  </w:r>
                </w:p>
              </w:tc>
              <w:tc>
                <w:tcPr>
                  <w:tcW w:w="556" w:type="pct"/>
                  <w:vAlign w:val="center"/>
                </w:tcPr>
                <w:p w14:paraId="0BB93533">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w:t>
                  </w:r>
                </w:p>
              </w:tc>
              <w:tc>
                <w:tcPr>
                  <w:tcW w:w="384" w:type="pct"/>
                  <w:shd w:val="clear" w:color="auto" w:fill="auto"/>
                  <w:vAlign w:val="center"/>
                </w:tcPr>
                <w:p w14:paraId="35B8275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5BF68D57">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0.5</w:t>
                  </w:r>
                </w:p>
              </w:tc>
              <w:tc>
                <w:tcPr>
                  <w:tcW w:w="806" w:type="pct"/>
                  <w:vAlign w:val="center"/>
                </w:tcPr>
                <w:p w14:paraId="1DFDB57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注塑</w:t>
                  </w:r>
                </w:p>
              </w:tc>
            </w:tr>
            <w:tr w14:paraId="6A3A6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vAlign w:val="center"/>
                </w:tcPr>
                <w:p w14:paraId="7D521A9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13</w:t>
                  </w:r>
                </w:p>
              </w:tc>
              <w:tc>
                <w:tcPr>
                  <w:tcW w:w="933" w:type="pct"/>
                  <w:shd w:val="clear" w:color="auto" w:fill="auto"/>
                  <w:vAlign w:val="center"/>
                </w:tcPr>
                <w:p w14:paraId="21D93C44">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切削液</w:t>
                  </w:r>
                </w:p>
              </w:tc>
              <w:tc>
                <w:tcPr>
                  <w:tcW w:w="795" w:type="dxa"/>
                  <w:vAlign w:val="center"/>
                </w:tcPr>
                <w:p w14:paraId="31D1F6B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液态</w:t>
                  </w:r>
                </w:p>
              </w:tc>
              <w:tc>
                <w:tcPr>
                  <w:tcW w:w="1179" w:type="dxa"/>
                  <w:shd w:val="clear" w:color="auto" w:fill="auto"/>
                  <w:vAlign w:val="center"/>
                </w:tcPr>
                <w:p w14:paraId="446A362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20kg/桶</w:t>
                  </w:r>
                </w:p>
              </w:tc>
              <w:tc>
                <w:tcPr>
                  <w:tcW w:w="995" w:type="dxa"/>
                  <w:vAlign w:val="center"/>
                </w:tcPr>
                <w:p w14:paraId="324FC39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0.5</w:t>
                  </w:r>
                </w:p>
              </w:tc>
              <w:tc>
                <w:tcPr>
                  <w:tcW w:w="687" w:type="dxa"/>
                  <w:vAlign w:val="center"/>
                </w:tcPr>
                <w:p w14:paraId="3C1F369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1729" w:type="dxa"/>
                  <w:shd w:val="clear" w:color="auto" w:fill="auto"/>
                  <w:vAlign w:val="center"/>
                </w:tcPr>
                <w:p w14:paraId="01F1FA6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0.1</w:t>
                  </w:r>
                </w:p>
              </w:tc>
              <w:tc>
                <w:tcPr>
                  <w:tcW w:w="1442" w:type="dxa"/>
                  <w:vAlign w:val="center"/>
                </w:tcPr>
                <w:p w14:paraId="111BA19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模具</w:t>
                  </w:r>
                  <w:r>
                    <w:rPr>
                      <w:rFonts w:hint="default" w:ascii="Times New Roman" w:hAnsi="Times New Roman" w:cs="Times New Roman"/>
                      <w:b w:val="0"/>
                      <w:bCs w:val="0"/>
                      <w:color w:val="auto"/>
                      <w:sz w:val="21"/>
                      <w:szCs w:val="21"/>
                      <w:lang w:val="en-US" w:eastAsia="zh-CN"/>
                    </w:rPr>
                    <w:t>制作</w:t>
                  </w:r>
                </w:p>
              </w:tc>
            </w:tr>
            <w:tr w14:paraId="1BE8D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vAlign w:val="center"/>
                </w:tcPr>
                <w:p w14:paraId="50B5AF6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r>
                    <w:rPr>
                      <w:rFonts w:hint="default" w:ascii="Times New Roman" w:hAnsi="Times New Roman" w:cs="Times New Roman"/>
                      <w:b w:val="0"/>
                      <w:bCs w:val="0"/>
                      <w:color w:val="auto"/>
                      <w:sz w:val="21"/>
                      <w:szCs w:val="21"/>
                      <w:lang w:val="en-US" w:eastAsia="zh-CN"/>
                    </w:rPr>
                    <w:t>4</w:t>
                  </w:r>
                </w:p>
              </w:tc>
              <w:tc>
                <w:tcPr>
                  <w:tcW w:w="933" w:type="pct"/>
                  <w:shd w:val="clear" w:color="auto" w:fill="auto"/>
                  <w:vAlign w:val="center"/>
                </w:tcPr>
                <w:p w14:paraId="321232A8">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火花油</w:t>
                  </w:r>
                </w:p>
              </w:tc>
              <w:tc>
                <w:tcPr>
                  <w:tcW w:w="444" w:type="pct"/>
                  <w:vAlign w:val="center"/>
                </w:tcPr>
                <w:p w14:paraId="146E6C15">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液态</w:t>
                  </w:r>
                </w:p>
              </w:tc>
              <w:tc>
                <w:tcPr>
                  <w:tcW w:w="659" w:type="pct"/>
                  <w:shd w:val="clear" w:color="auto" w:fill="auto"/>
                  <w:vAlign w:val="center"/>
                </w:tcPr>
                <w:p w14:paraId="4E37E8E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20kg/桶</w:t>
                  </w:r>
                </w:p>
              </w:tc>
              <w:tc>
                <w:tcPr>
                  <w:tcW w:w="556" w:type="pct"/>
                  <w:vAlign w:val="center"/>
                </w:tcPr>
                <w:p w14:paraId="019E03C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0.5</w:t>
                  </w:r>
                </w:p>
              </w:tc>
              <w:tc>
                <w:tcPr>
                  <w:tcW w:w="384" w:type="pct"/>
                  <w:vAlign w:val="center"/>
                </w:tcPr>
                <w:p w14:paraId="780BE78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53392C1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0.1</w:t>
                  </w:r>
                </w:p>
              </w:tc>
              <w:tc>
                <w:tcPr>
                  <w:tcW w:w="806" w:type="pct"/>
                  <w:vAlign w:val="center"/>
                </w:tcPr>
                <w:p w14:paraId="2CFF5996">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模具</w:t>
                  </w:r>
                  <w:r>
                    <w:rPr>
                      <w:rFonts w:hint="default" w:ascii="Times New Roman" w:hAnsi="Times New Roman" w:cs="Times New Roman"/>
                      <w:b w:val="0"/>
                      <w:bCs w:val="0"/>
                      <w:color w:val="auto"/>
                      <w:sz w:val="21"/>
                      <w:szCs w:val="21"/>
                      <w:lang w:val="en-US" w:eastAsia="zh-CN"/>
                    </w:rPr>
                    <w:t>制作</w:t>
                  </w:r>
                </w:p>
              </w:tc>
            </w:tr>
            <w:tr w14:paraId="1E5EA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46" w:type="pct"/>
                  <w:vAlign w:val="center"/>
                </w:tcPr>
                <w:p w14:paraId="3CE1916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15</w:t>
                  </w:r>
                </w:p>
              </w:tc>
              <w:tc>
                <w:tcPr>
                  <w:tcW w:w="933" w:type="pct"/>
                  <w:shd w:val="clear" w:color="auto" w:fill="auto"/>
                  <w:vAlign w:val="center"/>
                </w:tcPr>
                <w:p w14:paraId="7606E5B9">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润滑油</w:t>
                  </w:r>
                </w:p>
              </w:tc>
              <w:tc>
                <w:tcPr>
                  <w:tcW w:w="444" w:type="pct"/>
                  <w:vAlign w:val="center"/>
                </w:tcPr>
                <w:p w14:paraId="1612BF8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液态</w:t>
                  </w:r>
                </w:p>
              </w:tc>
              <w:tc>
                <w:tcPr>
                  <w:tcW w:w="659" w:type="pct"/>
                  <w:shd w:val="clear" w:color="auto" w:fill="auto"/>
                  <w:vAlign w:val="center"/>
                </w:tcPr>
                <w:p w14:paraId="60D22D53">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20kg/桶</w:t>
                  </w:r>
                </w:p>
              </w:tc>
              <w:tc>
                <w:tcPr>
                  <w:tcW w:w="556" w:type="pct"/>
                  <w:vAlign w:val="center"/>
                </w:tcPr>
                <w:p w14:paraId="6B03AD71">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0.8</w:t>
                  </w:r>
                </w:p>
              </w:tc>
              <w:tc>
                <w:tcPr>
                  <w:tcW w:w="384" w:type="pct"/>
                  <w:vAlign w:val="center"/>
                </w:tcPr>
                <w:p w14:paraId="4DC9028C">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t</w:t>
                  </w:r>
                </w:p>
              </w:tc>
              <w:tc>
                <w:tcPr>
                  <w:tcW w:w="967" w:type="pct"/>
                  <w:shd w:val="clear" w:color="auto" w:fill="auto"/>
                  <w:vAlign w:val="center"/>
                </w:tcPr>
                <w:p w14:paraId="589EBA2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0.2</w:t>
                  </w:r>
                </w:p>
              </w:tc>
              <w:tc>
                <w:tcPr>
                  <w:tcW w:w="806" w:type="pct"/>
                  <w:vAlign w:val="center"/>
                </w:tcPr>
                <w:p w14:paraId="0D9A26D0">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模具维修</w:t>
                  </w:r>
                </w:p>
              </w:tc>
            </w:tr>
          </w:tbl>
          <w:p w14:paraId="08F9F651">
            <w:pPr>
              <w:ind w:firstLine="482" w:firstLineChars="200"/>
              <w:jc w:val="left"/>
              <w:rPr>
                <w:rFonts w:hint="default" w:ascii="Times New Roman" w:hAnsi="Times New Roman" w:cs="Times New Roman"/>
                <w:b/>
                <w:bCs/>
                <w:color w:val="auto"/>
                <w:szCs w:val="20"/>
              </w:rPr>
            </w:pPr>
            <w:r>
              <w:rPr>
                <w:rFonts w:hint="default" w:ascii="Times New Roman" w:hAnsi="Times New Roman" w:cs="Times New Roman"/>
                <w:b/>
                <w:bCs/>
                <w:color w:val="auto"/>
                <w:szCs w:val="20"/>
              </w:rPr>
              <w:t>2）主要原辅材料理化性质</w:t>
            </w:r>
          </w:p>
          <w:p w14:paraId="4D39788B">
            <w:pPr>
              <w:ind w:firstLine="480" w:firstLineChars="200"/>
              <w:jc w:val="left"/>
              <w:rPr>
                <w:rFonts w:hint="default" w:ascii="Times New Roman" w:hAnsi="Times New Roman" w:cs="Times New Roman"/>
                <w:color w:val="auto"/>
                <w:szCs w:val="20"/>
              </w:rPr>
            </w:pPr>
            <w:r>
              <w:rPr>
                <w:rFonts w:hint="default" w:ascii="Times New Roman" w:hAnsi="Times New Roman" w:cs="Times New Roman"/>
                <w:color w:val="auto"/>
                <w:szCs w:val="20"/>
              </w:rPr>
              <w:t>项目主要原辅材料理化性质见下表。</w:t>
            </w:r>
          </w:p>
          <w:p w14:paraId="4383B54D">
            <w:pPr>
              <w:spacing w:line="240" w:lineRule="auto"/>
              <w:jc w:val="center"/>
              <w:rPr>
                <w:rFonts w:hint="default" w:ascii="Times New Roman" w:hAnsi="Times New Roman" w:cs="Times New Roman"/>
                <w:b/>
                <w:color w:val="auto"/>
                <w:szCs w:val="22"/>
              </w:rPr>
            </w:pPr>
            <w:r>
              <w:rPr>
                <w:rFonts w:hint="default" w:ascii="Times New Roman" w:hAnsi="Times New Roman" w:cs="Times New Roman"/>
                <w:b/>
                <w:color w:val="auto"/>
                <w:szCs w:val="22"/>
              </w:rPr>
              <w:t>表</w:t>
            </w:r>
            <w:r>
              <w:rPr>
                <w:rFonts w:hint="default" w:ascii="Times New Roman" w:hAnsi="Times New Roman" w:cs="Times New Roman"/>
                <w:b/>
                <w:color w:val="auto"/>
                <w:szCs w:val="22"/>
                <w:lang w:val="en-US" w:eastAsia="zh-CN"/>
              </w:rPr>
              <w:t>2-4</w:t>
            </w:r>
            <w:r>
              <w:rPr>
                <w:rFonts w:hint="default" w:ascii="Times New Roman" w:hAnsi="Times New Roman" w:cs="Times New Roman"/>
                <w:b/>
                <w:color w:val="auto"/>
                <w:szCs w:val="22"/>
              </w:rPr>
              <w:t xml:space="preserve">  项目主要原辅材料理化性质</w:t>
            </w:r>
          </w:p>
          <w:tbl>
            <w:tblPr>
              <w:tblStyle w:val="22"/>
              <w:tblW w:w="88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98"/>
              <w:gridCol w:w="7201"/>
            </w:tblGrid>
            <w:tr w14:paraId="28A3F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98" w:type="dxa"/>
                  <w:vAlign w:val="center"/>
                </w:tcPr>
                <w:p w14:paraId="1597A353">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名称</w:t>
                  </w:r>
                </w:p>
              </w:tc>
              <w:tc>
                <w:tcPr>
                  <w:tcW w:w="7201" w:type="dxa"/>
                  <w:vAlign w:val="center"/>
                </w:tcPr>
                <w:p w14:paraId="7B269DC7">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理化性质</w:t>
                  </w:r>
                </w:p>
              </w:tc>
            </w:tr>
            <w:tr w14:paraId="39AB60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1698" w:type="dxa"/>
                  <w:vAlign w:val="center"/>
                </w:tcPr>
                <w:p w14:paraId="1563E192">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硅橡胶</w:t>
                  </w:r>
                </w:p>
              </w:tc>
              <w:tc>
                <w:tcPr>
                  <w:tcW w:w="7201" w:type="dxa"/>
                  <w:vAlign w:val="center"/>
                </w:tcPr>
                <w:p w14:paraId="3A3553B3">
                  <w:pPr>
                    <w:keepNext w:val="0"/>
                    <w:keepLines w:val="0"/>
                    <w:widowControl/>
                    <w:suppressLineNumbers w:val="0"/>
                    <w:spacing w:before="0" w:beforeAutospacing="0" w:after="0" w:afterAutospacing="0" w:line="240" w:lineRule="auto"/>
                    <w:ind w:left="0" w:leftChars="0" w:right="0" w:rightChars="0" w:firstLine="0" w:firstLineChars="0"/>
                    <w:jc w:val="both"/>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是指主链由硅和氧原子交替构成，硅原子上通常连有两个有机基团的橡胶。根据其MSDS，主要成分有生胶（甲基乙烯基聚硅氧烷）50-70%、白炭黑（二氧化硅）15%-40%、硅油1%-6.5%。产品外观为半透明，相对密度（水=1）为1.14±0.1，稳定性良好，适用于生产普通硅橡胶制品和杂件，普通硅橡胶按键基胶，尤其适用于加颜色制品，适用于模压工艺。</w:t>
                  </w:r>
                </w:p>
              </w:tc>
            </w:tr>
            <w:tr w14:paraId="1E5C6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1698" w:type="dxa"/>
                  <w:vAlign w:val="center"/>
                </w:tcPr>
                <w:p w14:paraId="50495F07">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硫化剂</w:t>
                  </w:r>
                </w:p>
              </w:tc>
              <w:tc>
                <w:tcPr>
                  <w:tcW w:w="7201" w:type="dxa"/>
                  <w:vAlign w:val="center"/>
                </w:tcPr>
                <w:p w14:paraId="11080534">
                  <w:pPr>
                    <w:keepNext w:val="0"/>
                    <w:keepLines w:val="0"/>
                    <w:widowControl/>
                    <w:suppressLineNumbers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由30%活化过氧化物、20%化合物、50%有机硅聚合物组成，有挥发性透明胶状，熔点8℃，密度0.78g/ml，自加速分解温度(SADT):80℃，</w:t>
                  </w:r>
                  <w:r>
                    <w:rPr>
                      <w:rFonts w:hint="default" w:ascii="Times New Roman" w:hAnsi="Times New Roman" w:eastAsia="宋体" w:cs="Times New Roman"/>
                      <w:color w:val="auto"/>
                      <w:sz w:val="21"/>
                      <w:szCs w:val="21"/>
                      <w:highlight w:val="none"/>
                      <w:lang w:val="en-US" w:eastAsia="zh-CN"/>
                    </w:rPr>
                    <w:t>无气味，不溶于水，易溶于苯类，酯类等非极性溶剂。铂金硫化剂具有硫化温度低，硫化速度快等特点，主要用于硅橡胶制品生产。过氧化物硫化剂在使用过程中易产生异味，铂金硫化剂与过氧化物相比，具有快速、节能、卫生级别高、不需要二次硫化且无味等优势。</w:t>
                  </w:r>
                  <w:r>
                    <w:rPr>
                      <w:rFonts w:hint="default" w:ascii="Times New Roman" w:hAnsi="Times New Roman" w:cs="Times New Roman"/>
                      <w:color w:val="auto"/>
                      <w:sz w:val="21"/>
                      <w:szCs w:val="21"/>
                      <w:highlight w:val="none"/>
                      <w:lang w:val="en-US" w:eastAsia="zh-CN"/>
                    </w:rPr>
                    <w:t>危害性类别：第5.2类有机硅烷类，遇明火、高温、强氧化剂时，或其他点火源时有发生着火爆炸的风险，对眼睛和皮肤有刺激性，不能和促进剂及任何可燃物质停放在一起，不可以与含氮、硫、磷化合物及重金属氧化物及延迟剂相接触，金属盐、过氧化物、氧化剂或强酸皆可能引发其分解，强酸强碱会使其温度压力升高。</w:t>
                  </w:r>
                </w:p>
              </w:tc>
            </w:tr>
            <w:tr w14:paraId="63DAC0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1698" w:type="dxa"/>
                  <w:vAlign w:val="center"/>
                </w:tcPr>
                <w:p w14:paraId="0F1304B5">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液态胶</w:t>
                  </w:r>
                </w:p>
              </w:tc>
              <w:tc>
                <w:tcPr>
                  <w:tcW w:w="7201" w:type="dxa"/>
                  <w:vAlign w:val="center"/>
                </w:tcPr>
                <w:p w14:paraId="2D794E87">
                  <w:pPr>
                    <w:keepNext w:val="0"/>
                    <w:keepLines w:val="0"/>
                    <w:widowControl w:val="0"/>
                    <w:suppressLineNumbers w:val="0"/>
                    <w:wordWrap/>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根据其MSDS，主要成分有</w:t>
                  </w:r>
                  <w:r>
                    <w:rPr>
                      <w:rFonts w:hint="default" w:ascii="Times New Roman" w:hAnsi="Times New Roman" w:cs="Times New Roman"/>
                      <w:color w:val="auto"/>
                      <w:sz w:val="21"/>
                      <w:szCs w:val="21"/>
                      <w:shd w:val="clear" w:color="auto" w:fill="FFFFFF"/>
                      <w:lang w:val="en-US" w:eastAsia="zh-CN"/>
                    </w:rPr>
                    <w:t>聚有机硅氧烷、填料、添加剂混合物，无有害成分</w:t>
                  </w:r>
                  <w:r>
                    <w:rPr>
                      <w:rFonts w:hint="default" w:ascii="Times New Roman" w:hAnsi="Times New Roman" w:eastAsia="宋体" w:cs="Times New Roman"/>
                      <w:color w:val="auto"/>
                      <w:sz w:val="21"/>
                      <w:szCs w:val="21"/>
                      <w:shd w:val="clear" w:color="auto" w:fill="FFFFFF"/>
                      <w:lang w:val="en-US" w:eastAsia="zh-CN"/>
                    </w:rPr>
                    <w:t>，稳定性良好。具有流动性好，硫化快，更安全环保，可完全达到食品级要求。液态硅胶具有优异的抗撕裂强度、回弹性、抗变黄性、热稳定性、耐热老化性，主要用于幼儿用品、医疗用品及电子产品(按键)。</w:t>
                  </w:r>
                </w:p>
              </w:tc>
            </w:tr>
            <w:tr w14:paraId="15A5E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1698" w:type="dxa"/>
                  <w:vAlign w:val="center"/>
                </w:tcPr>
                <w:p w14:paraId="4AA76B0A">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水性漆</w:t>
                  </w:r>
                </w:p>
              </w:tc>
              <w:tc>
                <w:tcPr>
                  <w:tcW w:w="7201" w:type="dxa"/>
                  <w:vAlign w:val="center"/>
                </w:tcPr>
                <w:p w14:paraId="51160DBC">
                  <w:pPr>
                    <w:keepNext w:val="0"/>
                    <w:keepLines w:val="0"/>
                    <w:widowControl w:val="0"/>
                    <w:suppressLineNumbers w:val="0"/>
                    <w:wordWrap/>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淡黄色，液态，密度1.3g/cm</w:t>
                  </w:r>
                  <w:r>
                    <w:rPr>
                      <w:rFonts w:hint="default" w:ascii="Times New Roman" w:hAnsi="Times New Roman" w:eastAsia="宋体" w:cs="Times New Roman"/>
                      <w:color w:val="auto"/>
                      <w:sz w:val="21"/>
                      <w:szCs w:val="21"/>
                      <w:shd w:val="clear" w:color="auto" w:fill="FFFFFF"/>
                      <w:vertAlign w:val="superscript"/>
                      <w:lang w:val="en-US" w:eastAsia="zh-CN"/>
                    </w:rPr>
                    <w:t>3</w:t>
                  </w:r>
                  <w:r>
                    <w:rPr>
                      <w:rFonts w:hint="default" w:ascii="Times New Roman" w:hAnsi="Times New Roman" w:eastAsia="宋体" w:cs="Times New Roman"/>
                      <w:color w:val="auto"/>
                      <w:sz w:val="21"/>
                      <w:szCs w:val="21"/>
                      <w:shd w:val="clear" w:color="auto" w:fill="FFFFFF"/>
                      <w:lang w:val="en-US" w:eastAsia="zh-CN"/>
                    </w:rPr>
                    <w:t>。主要成分：水溶性硅丙树脂25%、水性氨基固化剂7.8%、丙二醇甲醚1.5%、正丁醇1.2%、乙醇2%、钛白粉12%、流平剂0.1%、无机氧化铁黄2%、水48.4%。</w:t>
                  </w:r>
                </w:p>
                <w:p w14:paraId="5761FEFC">
                  <w:pPr>
                    <w:keepNext w:val="0"/>
                    <w:keepLines w:val="0"/>
                    <w:widowControl w:val="0"/>
                    <w:suppressLineNumbers w:val="0"/>
                    <w:wordWrap/>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根据水性漆的VOC检测报告，水性漆的挥发性有机化合物含量为62g/L，符合《低挥发性有机化合物含量涂料产品技术要求》（GB/T38597-2020）的要求（表1水性涂料中玩具涂料VOC含量≤420g/L）。</w:t>
                  </w:r>
                </w:p>
                <w:p w14:paraId="42AC9BD5">
                  <w:pPr>
                    <w:keepNext w:val="0"/>
                    <w:keepLines w:val="0"/>
                    <w:widowControl w:val="0"/>
                    <w:suppressLineNumbers w:val="0"/>
                    <w:wordWrap/>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水性漆与水按5:1的比例调配后使用，调配后涂料密度为1.25g/cm</w:t>
                  </w:r>
                  <w:r>
                    <w:rPr>
                      <w:rFonts w:hint="default" w:ascii="Times New Roman" w:hAnsi="Times New Roman" w:eastAsia="宋体" w:cs="Times New Roman"/>
                      <w:color w:val="auto"/>
                      <w:sz w:val="21"/>
                      <w:szCs w:val="21"/>
                      <w:shd w:val="clear" w:color="auto" w:fill="FFFFFF"/>
                      <w:vertAlign w:val="superscript"/>
                      <w:lang w:val="en-US" w:eastAsia="zh-CN"/>
                    </w:rPr>
                    <w:t>3</w:t>
                  </w:r>
                  <w:r>
                    <w:rPr>
                      <w:rFonts w:hint="default" w:ascii="Times New Roman" w:hAnsi="Times New Roman" w:eastAsia="宋体" w:cs="Times New Roman"/>
                      <w:color w:val="auto"/>
                      <w:sz w:val="21"/>
                      <w:szCs w:val="21"/>
                      <w:shd w:val="clear" w:color="auto" w:fill="FFFFFF"/>
                      <w:lang w:val="en-US" w:eastAsia="zh-CN"/>
                    </w:rPr>
                    <w:t>。</w:t>
                  </w:r>
                </w:p>
              </w:tc>
            </w:tr>
            <w:tr w14:paraId="1C1CC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1698" w:type="dxa"/>
                  <w:vAlign w:val="center"/>
                </w:tcPr>
                <w:p w14:paraId="32ABE090">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shd w:val="clear" w:color="auto" w:fill="FFFFFF"/>
                      <w:lang w:val="en-US" w:eastAsia="zh-CN"/>
                    </w:rPr>
                    <w:t>水性油墨</w:t>
                  </w:r>
                </w:p>
              </w:tc>
              <w:tc>
                <w:tcPr>
                  <w:tcW w:w="7201" w:type="dxa"/>
                  <w:vAlign w:val="center"/>
                </w:tcPr>
                <w:p w14:paraId="59B66F48">
                  <w:pPr>
                    <w:keepNext w:val="0"/>
                    <w:keepLines w:val="0"/>
                    <w:widowControl w:val="0"/>
                    <w:suppressLineNumbers w:val="0"/>
                    <w:wordWrap/>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根据水性油墨的MSDS报告，主要成分为丙烯酸乳液32%、丙二醇5%、防腐剂0.6%、滑石粉6%、颜料4.4%、去离子水52%，稍有气味的液体，密度1.05-1.1g/cm</w:t>
                  </w:r>
                  <w:r>
                    <w:rPr>
                      <w:rFonts w:hint="default" w:ascii="Times New Roman" w:hAnsi="Times New Roman" w:eastAsia="宋体" w:cs="Times New Roman"/>
                      <w:color w:val="auto"/>
                      <w:sz w:val="21"/>
                      <w:szCs w:val="21"/>
                      <w:shd w:val="clear" w:color="auto" w:fill="FFFFFF"/>
                      <w:vertAlign w:val="superscript"/>
                      <w:lang w:val="en-US" w:eastAsia="zh-CN"/>
                    </w:rPr>
                    <w:t>3</w:t>
                  </w:r>
                  <w:r>
                    <w:rPr>
                      <w:rFonts w:hint="default" w:ascii="Times New Roman" w:hAnsi="Times New Roman" w:eastAsia="宋体" w:cs="Times New Roman"/>
                      <w:color w:val="auto"/>
                      <w:sz w:val="21"/>
                      <w:szCs w:val="21"/>
                      <w:shd w:val="clear" w:color="auto" w:fill="FFFFFF"/>
                      <w:lang w:val="en-US" w:eastAsia="zh-CN"/>
                    </w:rPr>
                    <w:t>。由上可知水性油墨固含量为43%。</w:t>
                  </w:r>
                </w:p>
                <w:p w14:paraId="26C01A0A">
                  <w:pPr>
                    <w:keepNext w:val="0"/>
                    <w:keepLines w:val="0"/>
                    <w:widowControl w:val="0"/>
                    <w:suppressLineNumbers w:val="0"/>
                    <w:wordWrap/>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根据水性油墨的VOC检测报告可知，水性油墨的挥发性有机化合物含量为4.5%，符合《油墨中可挥发性有机化合物（VOCs）含量的限值》（GB 38507-2020）表1水性油墨-凹印油墨-非吸收性承印物-30%的要求。</w:t>
                  </w:r>
                </w:p>
              </w:tc>
            </w:tr>
            <w:tr w14:paraId="566ED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1698" w:type="dxa"/>
                  <w:vAlign w:val="center"/>
                </w:tcPr>
                <w:p w14:paraId="739C1144">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kern w:val="0"/>
                      <w:sz w:val="21"/>
                      <w:szCs w:val="21"/>
                    </w:rPr>
                    <w:t>ABS</w:t>
                  </w:r>
                  <w:r>
                    <w:rPr>
                      <w:rFonts w:hint="default" w:ascii="Times New Roman" w:hAnsi="Times New Roman" w:cs="Times New Roman"/>
                      <w:color w:val="auto"/>
                      <w:kern w:val="0"/>
                      <w:sz w:val="21"/>
                      <w:szCs w:val="21"/>
                      <w:lang w:val="en-US" w:eastAsia="zh-CN"/>
                    </w:rPr>
                    <w:t>塑料粒</w:t>
                  </w:r>
                </w:p>
              </w:tc>
              <w:tc>
                <w:tcPr>
                  <w:tcW w:w="7201" w:type="dxa"/>
                  <w:vAlign w:val="center"/>
                </w:tcPr>
                <w:p w14:paraId="1CF1110F">
                  <w:pPr>
                    <w:keepNext w:val="0"/>
                    <w:keepLines w:val="0"/>
                    <w:suppressLineNumbers w:val="0"/>
                    <w:spacing w:before="0" w:beforeAutospacing="0" w:after="0" w:afterAutospacing="0" w:line="240" w:lineRule="auto"/>
                    <w:ind w:left="0" w:leftChars="0" w:right="0" w:rightChars="0"/>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cs="Times New Roman"/>
                      <w:color w:val="auto"/>
                      <w:sz w:val="21"/>
                      <w:szCs w:val="21"/>
                    </w:rPr>
                    <w:t>是丙烯腈（A）、丁二烯（B）、苯乙烯（S）三种单体的三元共聚物，兼有三种组元的共同性能，丙烯腈可以使其耐化学腐蚀、耐热，并具有一定的表面硬度，丁二烯可以使其具有高弹性和韧性，苯乙烯可以使其具有热塑性塑料的加工成型特性，并改善电性能，因此，ABS塑料是一种原料易得、综合性能良好、价格便宜、用途广泛的材料，应用于机械、电气、纺织、汽车、飞机、轮船等行业。ABS塑料无毒无味，</w:t>
                  </w:r>
                  <w:r>
                    <w:rPr>
                      <w:rFonts w:hint="default" w:ascii="Times New Roman" w:hAnsi="Times New Roman" w:cs="Times New Roman"/>
                      <w:color w:val="auto"/>
                      <w:sz w:val="21"/>
                      <w:szCs w:val="21"/>
                      <w:lang w:val="en-US" w:eastAsia="zh-CN"/>
                    </w:rPr>
                    <w:t>外观呈象牙色半透明或透明颗粒</w:t>
                  </w:r>
                  <w:r>
                    <w:rPr>
                      <w:rFonts w:hint="default" w:ascii="Times New Roman" w:hAnsi="Times New Roman" w:cs="Times New Roman"/>
                      <w:color w:val="auto"/>
                      <w:sz w:val="21"/>
                      <w:szCs w:val="21"/>
                    </w:rPr>
                    <w:t>，具有高光泽度，吸水率低，易燃，火焰呈黄色，有黑烟，烧焦后不滴落并有特殊肉桂味。ABS冲击强度高，耐磨耐油，无明显熔点，溶体粘度较高，流动性查，热变形温度为70-107°C，分解温度为250°C以上，成型温度为180-240℃，电绝缘性较好，可溶于酮类、醛类及氯代烃。</w:t>
                  </w:r>
                </w:p>
              </w:tc>
            </w:tr>
            <w:tr w14:paraId="2F1CF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1698" w:type="dxa"/>
                  <w:vAlign w:val="center"/>
                </w:tcPr>
                <w:p w14:paraId="20DF3CB3">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PP塑料粒</w:t>
                  </w:r>
                </w:p>
              </w:tc>
              <w:tc>
                <w:tcPr>
                  <w:tcW w:w="7201" w:type="dxa"/>
                  <w:vAlign w:val="center"/>
                </w:tcPr>
                <w:p w14:paraId="26002736">
                  <w:pPr>
                    <w:keepNext w:val="0"/>
                    <w:keepLines w:val="0"/>
                    <w:suppressLineNumbers w:val="0"/>
                    <w:spacing w:before="0" w:beforeAutospacing="0" w:after="0" w:afterAutospacing="0" w:line="240" w:lineRule="auto"/>
                    <w:ind w:left="0" w:leftChars="0" w:right="0" w:right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PP塑料粒（聚丙烯）是一种热塑性聚合物，具有优异的理化性质。其密度为0.89-0.91 g/cm³，是常见塑料中最轻的一种；熔点在160-170℃之间，热变形温度约100-120℃，短期使用温度可达120℃，低温脆化温度为-10至-20℃。；PP分解温度为350-380℃，成型温度为160-220℃</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PP具有较高的刚性（弯曲模量约1.5-2 GPa）和良好的抗冲击性，但低温下易脆。化学稳定性突出，耐酸、碱及多种有机溶剂，但易被强氧化剂侵蚀。吸水率极低（&lt;0.01%），电绝缘性能优异，透光率可达90%以上（改性后）。此外，PP具有优良的耐应力开裂性和加工流动性（熔体流动指数1-50 g/10min），但易受紫外线影响，需添加稳定剂改善耐候性。这些特性使其广泛应用于包装、汽车、电子电器等领域。</w:t>
                  </w:r>
                </w:p>
              </w:tc>
            </w:tr>
            <w:tr w14:paraId="6E193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1698" w:type="dxa"/>
                  <w:vAlign w:val="center"/>
                </w:tcPr>
                <w:p w14:paraId="42A8658B">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PE塑料粒</w:t>
                  </w:r>
                </w:p>
              </w:tc>
              <w:tc>
                <w:tcPr>
                  <w:tcW w:w="7201" w:type="dxa"/>
                  <w:vAlign w:val="center"/>
                </w:tcPr>
                <w:p w14:paraId="261BBCCC">
                  <w:pPr>
                    <w:keepNext w:val="0"/>
                    <w:keepLines w:val="0"/>
                    <w:suppressLineNumbers w:val="0"/>
                    <w:spacing w:before="0" w:beforeAutospacing="0" w:after="0" w:afterAutospacing="0" w:line="240" w:lineRule="auto"/>
                    <w:ind w:left="0" w:leftChars="0" w:right="0" w:rightChars="0"/>
                    <w:rPr>
                      <w:rFonts w:hint="default" w:ascii="Times New Roman" w:hAnsi="Times New Roman" w:cs="Times New Roman"/>
                      <w:b/>
                      <w:bCs/>
                      <w:color w:val="auto"/>
                      <w:sz w:val="21"/>
                      <w:szCs w:val="21"/>
                    </w:rPr>
                  </w:pPr>
                  <w:r>
                    <w:rPr>
                      <w:rFonts w:hint="default" w:ascii="Times New Roman" w:hAnsi="Times New Roman" w:cs="Times New Roman"/>
                      <w:b w:val="0"/>
                      <w:bCs w:val="0"/>
                      <w:color w:val="auto"/>
                      <w:sz w:val="21"/>
                      <w:szCs w:val="21"/>
                    </w:rPr>
                    <w:t>PE塑料粒（聚乙烯）是一种热塑性聚合物，具有优异的理化性质。其密度根据类型不同而变化：LDPE（低密度聚乙烯）为0.91-0.94 g/cm³，HDPE（高密度聚乙烯）为0.94-0.97 g/cm³，而LLDPE（线性低密度聚乙烯）**介于两者之间。PE分解温度为300°C，成型温度为200-220℃，具有良好的耐低温性能（脆化温度可达-70℃以下）。化学稳定性极佳，耐酸、碱及大多数有机溶剂，但在高温下会被强氧化剂侵蚀。PE的吸水率极低（&lt;0.01%），电绝缘性能优异，且具有较高的柔韧性和抗冲击性（尤其是LLDPE）。其机械强度适中，HDPE的拉伸强度较高（20-30 MPa），而LDPE较软（10-20 MPa）。PE耐候性一般，长期暴露于紫外线会老化，需添加稳定剂改善。加工性能良好，熔体流动指数（MFI）范围广（0.1-50 g/10min），适用于吹塑、注塑、挤出等多种成型工艺。PE广泛应用于包装、薄膜、管材、日用品等领域。</w:t>
                  </w:r>
                </w:p>
              </w:tc>
            </w:tr>
            <w:tr w14:paraId="0EA4CF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98" w:type="dxa"/>
                  <w:vAlign w:val="center"/>
                </w:tcPr>
                <w:p w14:paraId="56583554">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shd w:val="clear" w:color="auto" w:fill="FFFFFF"/>
                      <w:lang w:val="en-US" w:eastAsia="zh-CN"/>
                    </w:rPr>
                    <w:t>润滑油</w:t>
                  </w:r>
                </w:p>
              </w:tc>
              <w:tc>
                <w:tcPr>
                  <w:tcW w:w="7201" w:type="dxa"/>
                  <w:vAlign w:val="center"/>
                </w:tcPr>
                <w:p w14:paraId="2484EDFD">
                  <w:pPr>
                    <w:keepNext w:val="0"/>
                    <w:keepLines w:val="0"/>
                    <w:widowControl w:val="0"/>
                    <w:suppressLineNumbers w:val="0"/>
                    <w:wordWrap/>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一般由基础油和添加剂两部分组成。基础油是润滑油的主要成分，矿物基础油的化学成分包括高沸点、高分子量烃类和非烃类混合物。润滑油是用在各种类型机械设备上以减少摩擦，保护机械及加工件的液体或半固体润滑剂，主要起润滑、辅助冷却、防锈、清洁、密封和缓冲等作用。</w:t>
                  </w:r>
                </w:p>
              </w:tc>
            </w:tr>
            <w:tr w14:paraId="59B9C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98" w:type="dxa"/>
                  <w:vAlign w:val="center"/>
                </w:tcPr>
                <w:p w14:paraId="7452A48B">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shd w:val="clear" w:color="auto" w:fill="FFFFFF"/>
                      <w:lang w:val="en-US" w:eastAsia="zh-CN"/>
                    </w:rPr>
                  </w:pPr>
                  <w:bookmarkStart w:id="4" w:name="硅胶手感油用量核算"/>
                  <w:r>
                    <w:rPr>
                      <w:rFonts w:hint="default" w:ascii="Times New Roman" w:hAnsi="Times New Roman" w:cs="Times New Roman"/>
                      <w:color w:val="auto"/>
                      <w:sz w:val="21"/>
                      <w:szCs w:val="21"/>
                      <w:shd w:val="clear" w:color="auto" w:fill="FFFFFF"/>
                      <w:lang w:val="en-US" w:eastAsia="zh-CN"/>
                    </w:rPr>
                    <w:t>切削液</w:t>
                  </w:r>
                </w:p>
              </w:tc>
              <w:tc>
                <w:tcPr>
                  <w:tcW w:w="7201" w:type="dxa"/>
                  <w:vAlign w:val="center"/>
                </w:tcPr>
                <w:p w14:paraId="518B5C83">
                  <w:pPr>
                    <w:keepNext w:val="0"/>
                    <w:keepLines w:val="0"/>
                    <w:widowControl w:val="0"/>
                    <w:suppressLineNumbers w:val="0"/>
                    <w:wordWrap/>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一种用于金属加工过程中的冷却润滑介质，主要分为水基和油基两大类。其理化性质包括：‌密度‌通常在0.8-1.1 g/cm³之间（水基接近水，油基更低）；‌pH值‌为7.5-10.5（水基偏碱性以抑制腐蚀）；‌粘度‌较低（便于流动和渗透）；‌闪点‌油基可达80-200°C（水基无闪点）；‌导热性‌良好（水基优于油基）。此外，切削液需具备‌防锈性‌（含缓蚀剂）、‌稳定性‌（抗微生物分解）及‌低泡沫性‌，同时可能含极压添加剂（如硫、氯）以增强高温润滑性能。</w:t>
                  </w:r>
                </w:p>
              </w:tc>
            </w:tr>
            <w:tr w14:paraId="32D8A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 w:hRule="atLeast"/>
                <w:jc w:val="center"/>
              </w:trPr>
              <w:tc>
                <w:tcPr>
                  <w:tcW w:w="1698" w:type="dxa"/>
                  <w:vAlign w:val="center"/>
                </w:tcPr>
                <w:p w14:paraId="4E0483E1">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火花油</w:t>
                  </w:r>
                </w:p>
              </w:tc>
              <w:tc>
                <w:tcPr>
                  <w:tcW w:w="7201" w:type="dxa"/>
                  <w:vAlign w:val="center"/>
                </w:tcPr>
                <w:p w14:paraId="20A10788">
                  <w:pPr>
                    <w:keepNext w:val="0"/>
                    <w:keepLines w:val="0"/>
                    <w:widowControl w:val="0"/>
                    <w:suppressLineNumbers w:val="0"/>
                    <w:wordWrap/>
                    <w:adjustRightIn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是一种电火花机加工不可缺少的放电介质液体，电火花机油能够绝缘消电离、冷却电火花机加工时的高温、排除碳渣。火花油的成分通常是由经过高度精炼的煤油组分或合成基础油组成，具有低粘度，高闪点（大于110℃）等特征。</w:t>
                  </w:r>
                </w:p>
              </w:tc>
            </w:tr>
          </w:tbl>
          <w:p w14:paraId="7B675CEA">
            <w:pPr>
              <w:ind w:firstLine="482" w:firstLineChars="200"/>
              <w:jc w:val="left"/>
              <w:rPr>
                <w:rFonts w:hint="default" w:ascii="Times New Roman" w:hAnsi="Times New Roman" w:eastAsia="宋体" w:cs="Times New Roman"/>
                <w:b/>
                <w:bCs/>
                <w:color w:val="auto"/>
                <w:szCs w:val="20"/>
                <w:lang w:val="en-US" w:eastAsia="zh-CN"/>
              </w:rPr>
            </w:pPr>
            <w:r>
              <w:rPr>
                <w:rFonts w:hint="default" w:ascii="Times New Roman" w:hAnsi="Times New Roman" w:cs="Times New Roman"/>
                <w:b/>
                <w:bCs/>
                <w:color w:val="auto"/>
                <w:szCs w:val="20"/>
                <w:lang w:val="en-US" w:eastAsia="zh-CN"/>
              </w:rPr>
              <w:t>3</w:t>
            </w:r>
            <w:r>
              <w:rPr>
                <w:rFonts w:hint="default" w:ascii="Times New Roman" w:hAnsi="Times New Roman" w:cs="Times New Roman"/>
                <w:b/>
                <w:bCs/>
                <w:color w:val="auto"/>
                <w:szCs w:val="20"/>
              </w:rPr>
              <w:t>）</w:t>
            </w:r>
            <w:r>
              <w:rPr>
                <w:rFonts w:hint="default" w:ascii="Times New Roman" w:hAnsi="Times New Roman" w:cs="Times New Roman"/>
                <w:b/>
                <w:bCs/>
                <w:color w:val="auto"/>
                <w:szCs w:val="20"/>
                <w:lang w:val="en-US" w:eastAsia="zh-CN"/>
              </w:rPr>
              <w:t>水性漆用量核算</w:t>
            </w:r>
            <w:bookmarkEnd w:id="4"/>
          </w:p>
          <w:p w14:paraId="1D41DF11">
            <w:pPr>
              <w:keepNext/>
              <w:keepLines/>
              <w:ind w:firstLine="480" w:firstLineChars="200"/>
              <w:jc w:val="left"/>
              <w:outlineLvl w:val="2"/>
              <w:rPr>
                <w:rFonts w:hint="default" w:ascii="Times New Roman" w:hAnsi="Times New Roman" w:cs="Times New Roman"/>
                <w:color w:val="auto"/>
                <w:szCs w:val="20"/>
                <w:lang w:val="en-US" w:eastAsia="zh-CN"/>
              </w:rPr>
            </w:pPr>
            <w:r>
              <w:rPr>
                <w:rFonts w:hint="default" w:ascii="Times New Roman" w:hAnsi="Times New Roman" w:cs="Times New Roman"/>
                <w:color w:val="auto"/>
                <w:szCs w:val="20"/>
                <w:lang w:val="en-US" w:eastAsia="zh-CN"/>
              </w:rPr>
              <w:t>根据建设单位提供的资料，项目仅有3%的产品需要喷漆，需要喷2道油，因项目产品规格根据客户要求而定，需要喷漆的硅胶制品形状大小各不同，因此本环评仅列出部分产品尺寸及近似表面积，喷涂面积按平均表面积计。</w:t>
            </w:r>
          </w:p>
          <w:p w14:paraId="0C294FB2">
            <w:pPr>
              <w:spacing w:line="240" w:lineRule="auto"/>
              <w:jc w:val="center"/>
              <w:rPr>
                <w:rFonts w:hint="default" w:ascii="Times New Roman" w:hAnsi="Times New Roman" w:eastAsia="宋体" w:cs="Times New Roman"/>
                <w:b/>
                <w:color w:val="auto"/>
                <w:szCs w:val="22"/>
                <w:lang w:val="en-US" w:eastAsia="zh-CN"/>
              </w:rPr>
            </w:pPr>
            <w:r>
              <w:rPr>
                <w:rFonts w:hint="default" w:ascii="Times New Roman" w:hAnsi="Times New Roman" w:cs="Times New Roman"/>
                <w:b/>
                <w:color w:val="auto"/>
                <w:szCs w:val="22"/>
              </w:rPr>
              <w:t>表</w:t>
            </w:r>
            <w:r>
              <w:rPr>
                <w:rFonts w:hint="default" w:ascii="Times New Roman" w:hAnsi="Times New Roman" w:cs="Times New Roman"/>
                <w:b/>
                <w:color w:val="auto"/>
                <w:szCs w:val="22"/>
                <w:lang w:val="en-US" w:eastAsia="zh-CN"/>
              </w:rPr>
              <w:t xml:space="preserve">2-5 </w:t>
            </w:r>
            <w:r>
              <w:rPr>
                <w:rFonts w:hint="default" w:ascii="Times New Roman" w:hAnsi="Times New Roman" w:cs="Times New Roman"/>
                <w:b/>
                <w:color w:val="auto"/>
                <w:kern w:val="0"/>
                <w:szCs w:val="22"/>
                <w:lang w:val="en-US" w:eastAsia="zh-CN" w:bidi="ar"/>
              </w:rPr>
              <w:t>项目部分硅胶制品尺寸及表面积一览表</w:t>
            </w:r>
          </w:p>
          <w:tbl>
            <w:tblPr>
              <w:tblStyle w:val="22"/>
              <w:tblW w:w="8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464"/>
              <w:gridCol w:w="2069"/>
              <w:gridCol w:w="928"/>
              <w:gridCol w:w="928"/>
              <w:gridCol w:w="928"/>
              <w:gridCol w:w="928"/>
              <w:gridCol w:w="928"/>
            </w:tblGrid>
            <w:tr w14:paraId="64A14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417" w:type="pct"/>
                  <w:vAlign w:val="center"/>
                </w:tcPr>
                <w:p w14:paraId="1B67A78C">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产品类别</w:t>
                  </w:r>
                </w:p>
              </w:tc>
              <w:tc>
                <w:tcPr>
                  <w:tcW w:w="820" w:type="pct"/>
                  <w:vAlign w:val="center"/>
                </w:tcPr>
                <w:p w14:paraId="12B922C5">
                  <w:pPr>
                    <w:spacing w:line="240" w:lineRule="auto"/>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图片</w:t>
                  </w:r>
                </w:p>
              </w:tc>
              <w:tc>
                <w:tcPr>
                  <w:tcW w:w="1160" w:type="pct"/>
                  <w:vAlign w:val="center"/>
                </w:tcPr>
                <w:p w14:paraId="3F9796D8">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尺寸</w:t>
                  </w:r>
                </w:p>
              </w:tc>
              <w:tc>
                <w:tcPr>
                  <w:tcW w:w="520" w:type="pct"/>
                  <w:vAlign w:val="center"/>
                </w:tcPr>
                <w:p w14:paraId="7DEF6308">
                  <w:pPr>
                    <w:spacing w:line="240" w:lineRule="auto"/>
                    <w:jc w:val="center"/>
                    <w:rPr>
                      <w:rFonts w:hint="default" w:ascii="Times New Roman" w:hAnsi="Times New Roman"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近似表面积</w:t>
                  </w:r>
                </w:p>
                <w:p w14:paraId="0B47F5CE">
                  <w:pPr>
                    <w:spacing w:line="240" w:lineRule="auto"/>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（m</w:t>
                  </w:r>
                  <w:r>
                    <w:rPr>
                      <w:rFonts w:hint="default" w:ascii="Times New Roman" w:hAnsi="Times New Roman" w:cs="Times New Roman"/>
                      <w:b/>
                      <w:bCs/>
                      <w:color w:val="auto"/>
                      <w:kern w:val="2"/>
                      <w:sz w:val="21"/>
                      <w:szCs w:val="21"/>
                      <w:vertAlign w:val="superscript"/>
                      <w:lang w:val="en-US" w:eastAsia="zh-CN" w:bidi="ar-SA"/>
                    </w:rPr>
                    <w:t>2</w:t>
                  </w:r>
                  <w:r>
                    <w:rPr>
                      <w:rFonts w:hint="default" w:ascii="Times New Roman" w:hAnsi="Times New Roman" w:cs="Times New Roman"/>
                      <w:b/>
                      <w:bCs/>
                      <w:color w:val="auto"/>
                      <w:kern w:val="2"/>
                      <w:sz w:val="21"/>
                      <w:szCs w:val="21"/>
                      <w:lang w:val="en-US" w:eastAsia="zh-CN" w:bidi="ar-SA"/>
                    </w:rPr>
                    <w:t>）</w:t>
                  </w:r>
                </w:p>
              </w:tc>
              <w:tc>
                <w:tcPr>
                  <w:tcW w:w="520" w:type="pct"/>
                  <w:vAlign w:val="center"/>
                </w:tcPr>
                <w:p w14:paraId="254D9123">
                  <w:pPr>
                    <w:spacing w:line="240" w:lineRule="auto"/>
                    <w:jc w:val="center"/>
                    <w:rPr>
                      <w:rFonts w:hint="default" w:ascii="Times New Roman" w:hAnsi="Times New Roman"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产品个数（个）</w:t>
                  </w:r>
                </w:p>
              </w:tc>
              <w:tc>
                <w:tcPr>
                  <w:tcW w:w="520" w:type="pct"/>
                  <w:vAlign w:val="center"/>
                </w:tcPr>
                <w:p w14:paraId="399348C9">
                  <w:pPr>
                    <w:spacing w:line="240" w:lineRule="auto"/>
                    <w:jc w:val="center"/>
                    <w:rPr>
                      <w:rFonts w:hint="default" w:ascii="Times New Roman" w:hAnsi="Times New Roman"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总表面积（m</w:t>
                  </w:r>
                  <w:r>
                    <w:rPr>
                      <w:rFonts w:hint="default" w:ascii="Times New Roman" w:hAnsi="Times New Roman" w:cs="Times New Roman"/>
                      <w:b/>
                      <w:bCs/>
                      <w:color w:val="auto"/>
                      <w:kern w:val="2"/>
                      <w:sz w:val="21"/>
                      <w:szCs w:val="21"/>
                      <w:vertAlign w:val="superscript"/>
                      <w:lang w:val="en-US" w:eastAsia="zh-CN" w:bidi="ar-SA"/>
                    </w:rPr>
                    <w:t>2</w:t>
                  </w:r>
                  <w:r>
                    <w:rPr>
                      <w:rFonts w:hint="default" w:ascii="Times New Roman" w:hAnsi="Times New Roman" w:cs="Times New Roman"/>
                      <w:b/>
                      <w:bCs/>
                      <w:color w:val="auto"/>
                      <w:kern w:val="2"/>
                      <w:sz w:val="21"/>
                      <w:szCs w:val="21"/>
                      <w:lang w:val="en-US" w:eastAsia="zh-CN" w:bidi="ar-SA"/>
                    </w:rPr>
                    <w:t>）</w:t>
                  </w:r>
                </w:p>
              </w:tc>
              <w:tc>
                <w:tcPr>
                  <w:tcW w:w="520" w:type="pct"/>
                  <w:vAlign w:val="center"/>
                </w:tcPr>
                <w:p w14:paraId="54AD5912">
                  <w:pPr>
                    <w:spacing w:line="240" w:lineRule="auto"/>
                    <w:jc w:val="center"/>
                    <w:rPr>
                      <w:rFonts w:hint="default" w:ascii="Times New Roman" w:hAnsi="Times New Roman"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需要喷涂的产品（个）</w:t>
                  </w:r>
                </w:p>
              </w:tc>
              <w:tc>
                <w:tcPr>
                  <w:tcW w:w="520" w:type="pct"/>
                  <w:vAlign w:val="center"/>
                </w:tcPr>
                <w:p w14:paraId="3729F60D">
                  <w:pPr>
                    <w:spacing w:line="240" w:lineRule="auto"/>
                    <w:jc w:val="center"/>
                    <w:rPr>
                      <w:rFonts w:hint="default" w:ascii="Times New Roman" w:hAnsi="Times New Roman"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需喷涂产品总表面积（m</w:t>
                  </w:r>
                  <w:r>
                    <w:rPr>
                      <w:rFonts w:hint="default" w:ascii="Times New Roman" w:hAnsi="Times New Roman" w:cs="Times New Roman"/>
                      <w:b/>
                      <w:bCs/>
                      <w:color w:val="auto"/>
                      <w:kern w:val="2"/>
                      <w:sz w:val="21"/>
                      <w:szCs w:val="21"/>
                      <w:vertAlign w:val="superscript"/>
                      <w:lang w:val="en-US" w:eastAsia="zh-CN" w:bidi="ar-SA"/>
                    </w:rPr>
                    <w:t>2</w:t>
                  </w:r>
                  <w:r>
                    <w:rPr>
                      <w:rFonts w:hint="default" w:ascii="Times New Roman" w:hAnsi="Times New Roman" w:cs="Times New Roman"/>
                      <w:b/>
                      <w:bCs/>
                      <w:color w:val="auto"/>
                      <w:kern w:val="2"/>
                      <w:sz w:val="21"/>
                      <w:szCs w:val="21"/>
                      <w:lang w:val="en-US" w:eastAsia="zh-CN" w:bidi="ar-SA"/>
                    </w:rPr>
                    <w:t>）</w:t>
                  </w:r>
                </w:p>
              </w:tc>
            </w:tr>
            <w:tr w14:paraId="28F21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417" w:type="pct"/>
                  <w:vAlign w:val="center"/>
                </w:tcPr>
                <w:p w14:paraId="1A125BC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硅胶耳机套</w:t>
                  </w:r>
                </w:p>
              </w:tc>
              <w:tc>
                <w:tcPr>
                  <w:tcW w:w="820" w:type="pct"/>
                  <w:vAlign w:val="center"/>
                </w:tcPr>
                <w:p w14:paraId="566A39D0">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drawing>
                      <wp:inline distT="0" distB="0" distL="114300" distR="114300">
                        <wp:extent cx="827405" cy="605155"/>
                        <wp:effectExtent l="0" t="0" r="10795" b="4445"/>
                        <wp:docPr id="16" name="图片 16" descr="b84580b8a15608fe96796504c458a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b84580b8a15608fe96796504c458adf"/>
                                <pic:cNvPicPr>
                                  <a:picLocks noChangeAspect="1"/>
                                </pic:cNvPicPr>
                              </pic:nvPicPr>
                              <pic:blipFill>
                                <a:blip r:embed="rId12"/>
                                <a:stretch>
                                  <a:fillRect/>
                                </a:stretch>
                              </pic:blipFill>
                              <pic:spPr>
                                <a:xfrm>
                                  <a:off x="0" y="0"/>
                                  <a:ext cx="827405" cy="605155"/>
                                </a:xfrm>
                                <a:prstGeom prst="rect">
                                  <a:avLst/>
                                </a:prstGeom>
                              </pic:spPr>
                            </pic:pic>
                          </a:graphicData>
                        </a:graphic>
                      </wp:inline>
                    </w:drawing>
                  </w:r>
                </w:p>
              </w:tc>
              <w:tc>
                <w:tcPr>
                  <w:tcW w:w="1160" w:type="pct"/>
                  <w:vAlign w:val="center"/>
                </w:tcPr>
                <w:p w14:paraId="0A04FD64">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上直径8mm，下直径14mm，高12mm，表面积为π（4+7）*12/1000000=0.000414m</w:t>
                  </w:r>
                  <w:r>
                    <w:rPr>
                      <w:rFonts w:hint="default" w:ascii="Times New Roman" w:hAnsi="Times New Roman" w:cs="Times New Roman"/>
                      <w:b w:val="0"/>
                      <w:bCs w:val="0"/>
                      <w:color w:val="auto"/>
                      <w:sz w:val="21"/>
                      <w:szCs w:val="21"/>
                      <w:vertAlign w:val="superscript"/>
                      <w:lang w:val="en-US" w:eastAsia="zh-CN"/>
                    </w:rPr>
                    <w:t>2</w:t>
                  </w:r>
                </w:p>
              </w:tc>
              <w:tc>
                <w:tcPr>
                  <w:tcW w:w="520" w:type="pct"/>
                  <w:vAlign w:val="center"/>
                </w:tcPr>
                <w:p w14:paraId="3A1B2714">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0.000414</w:t>
                  </w:r>
                </w:p>
              </w:tc>
              <w:tc>
                <w:tcPr>
                  <w:tcW w:w="520" w:type="pct"/>
                  <w:vAlign w:val="center"/>
                </w:tcPr>
                <w:p w14:paraId="47476B90">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6亿</w:t>
                  </w:r>
                </w:p>
              </w:tc>
              <w:tc>
                <w:tcPr>
                  <w:tcW w:w="520" w:type="pct"/>
                  <w:vAlign w:val="center"/>
                </w:tcPr>
                <w:p w14:paraId="47C62D1E">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248400</w:t>
                  </w:r>
                </w:p>
              </w:tc>
              <w:tc>
                <w:tcPr>
                  <w:tcW w:w="520" w:type="pct"/>
                  <w:vAlign w:val="center"/>
                </w:tcPr>
                <w:p w14:paraId="44AA34ED">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1800万</w:t>
                  </w:r>
                </w:p>
              </w:tc>
              <w:tc>
                <w:tcPr>
                  <w:tcW w:w="520" w:type="pct"/>
                  <w:vAlign w:val="center"/>
                </w:tcPr>
                <w:p w14:paraId="41063C9B">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7452</w:t>
                  </w:r>
                </w:p>
              </w:tc>
            </w:tr>
            <w:tr w14:paraId="15067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2" w:hRule="atLeast"/>
                <w:jc w:val="center"/>
              </w:trPr>
              <w:tc>
                <w:tcPr>
                  <w:tcW w:w="417" w:type="pct"/>
                  <w:vAlign w:val="center"/>
                </w:tcPr>
                <w:p w14:paraId="576D548D">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耳挂线</w:t>
                  </w:r>
                </w:p>
              </w:tc>
              <w:tc>
                <w:tcPr>
                  <w:tcW w:w="820" w:type="pct"/>
                  <w:vAlign w:val="center"/>
                </w:tcPr>
                <w:p w14:paraId="01149CA9">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drawing>
                      <wp:inline distT="0" distB="0" distL="114300" distR="114300">
                        <wp:extent cx="871220" cy="1162050"/>
                        <wp:effectExtent l="0" t="0" r="5080" b="0"/>
                        <wp:docPr id="17" name="图片 17" descr="3195d1aaaa7358c1dc9b172a06a4d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3195d1aaaa7358c1dc9b172a06a4d9a"/>
                                <pic:cNvPicPr>
                                  <a:picLocks noChangeAspect="1"/>
                                </pic:cNvPicPr>
                              </pic:nvPicPr>
                              <pic:blipFill>
                                <a:blip r:embed="rId13"/>
                                <a:stretch>
                                  <a:fillRect/>
                                </a:stretch>
                              </pic:blipFill>
                              <pic:spPr>
                                <a:xfrm>
                                  <a:off x="0" y="0"/>
                                  <a:ext cx="871220" cy="1162050"/>
                                </a:xfrm>
                                <a:prstGeom prst="rect">
                                  <a:avLst/>
                                </a:prstGeom>
                              </pic:spPr>
                            </pic:pic>
                          </a:graphicData>
                        </a:graphic>
                      </wp:inline>
                    </w:drawing>
                  </w:r>
                </w:p>
              </w:tc>
              <w:tc>
                <w:tcPr>
                  <w:tcW w:w="1160" w:type="pct"/>
                  <w:vAlign w:val="center"/>
                </w:tcPr>
                <w:p w14:paraId="69B6B659">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线体部分：长度27mm，线径1.5mm。</w:t>
                  </w:r>
                </w:p>
                <w:p w14:paraId="674171C0">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颈挂段：长度350mm，直径17mm</w:t>
                  </w:r>
                </w:p>
                <w:p w14:paraId="201C1193">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表面积为（π*1.5*27+3.14*17*350=）/1000000=0.0188m</w:t>
                  </w:r>
                  <w:r>
                    <w:rPr>
                      <w:rFonts w:hint="default" w:ascii="Times New Roman" w:hAnsi="Times New Roman" w:cs="Times New Roman"/>
                      <w:b w:val="0"/>
                      <w:bCs w:val="0"/>
                      <w:color w:val="auto"/>
                      <w:sz w:val="21"/>
                      <w:szCs w:val="21"/>
                      <w:vertAlign w:val="superscript"/>
                      <w:lang w:val="en-US" w:eastAsia="zh-CN"/>
                    </w:rPr>
                    <w:t>2</w:t>
                  </w:r>
                </w:p>
              </w:tc>
              <w:tc>
                <w:tcPr>
                  <w:tcW w:w="520" w:type="pct"/>
                  <w:vAlign w:val="center"/>
                </w:tcPr>
                <w:p w14:paraId="2EE37D2E">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0.0188</w:t>
                  </w:r>
                </w:p>
              </w:tc>
              <w:tc>
                <w:tcPr>
                  <w:tcW w:w="520" w:type="pct"/>
                  <w:vAlign w:val="center"/>
                </w:tcPr>
                <w:p w14:paraId="14E4FC51">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5000万</w:t>
                  </w:r>
                </w:p>
              </w:tc>
              <w:tc>
                <w:tcPr>
                  <w:tcW w:w="520" w:type="pct"/>
                  <w:vAlign w:val="center"/>
                </w:tcPr>
                <w:p w14:paraId="6656C8A2">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940000</w:t>
                  </w:r>
                </w:p>
              </w:tc>
              <w:tc>
                <w:tcPr>
                  <w:tcW w:w="520" w:type="pct"/>
                  <w:vAlign w:val="center"/>
                </w:tcPr>
                <w:p w14:paraId="7457EDD0">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150万</w:t>
                  </w:r>
                </w:p>
              </w:tc>
              <w:tc>
                <w:tcPr>
                  <w:tcW w:w="520" w:type="pct"/>
                  <w:vAlign w:val="center"/>
                </w:tcPr>
                <w:p w14:paraId="538272E0">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28200</w:t>
                  </w:r>
                </w:p>
              </w:tc>
            </w:tr>
            <w:tr w14:paraId="6DDBF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4479" w:type="pct"/>
                  <w:gridSpan w:val="7"/>
                  <w:vAlign w:val="center"/>
                </w:tcPr>
                <w:p w14:paraId="0976F664">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合计</w:t>
                  </w:r>
                </w:p>
              </w:tc>
              <w:tc>
                <w:tcPr>
                  <w:tcW w:w="520" w:type="pct"/>
                  <w:vAlign w:val="center"/>
                </w:tcPr>
                <w:p w14:paraId="6AF53030">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35652</w:t>
                  </w:r>
                </w:p>
              </w:tc>
            </w:tr>
            <w:tr w14:paraId="11113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000" w:type="pct"/>
                  <w:gridSpan w:val="8"/>
                  <w:vAlign w:val="center"/>
                </w:tcPr>
                <w:p w14:paraId="0E96686D">
                  <w:pPr>
                    <w:spacing w:line="240" w:lineRule="auto"/>
                    <w:jc w:val="both"/>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注：需喷涂的硅胶耳机套产品量=6亿个*3%=1800万个；</w:t>
                  </w:r>
                  <w:r>
                    <w:rPr>
                      <w:rFonts w:hint="default" w:ascii="Times New Roman" w:hAnsi="Times New Roman" w:cs="Times New Roman"/>
                      <w:b w:val="0"/>
                      <w:bCs w:val="0"/>
                      <w:color w:val="auto"/>
                      <w:kern w:val="2"/>
                      <w:sz w:val="21"/>
                      <w:szCs w:val="21"/>
                      <w:lang w:val="en-US" w:eastAsia="zh-CN" w:bidi="ar-SA"/>
                    </w:rPr>
                    <w:br w:type="textWrapping"/>
                  </w:r>
                  <w:r>
                    <w:rPr>
                      <w:rFonts w:hint="default" w:ascii="Times New Roman" w:hAnsi="Times New Roman" w:cs="Times New Roman"/>
                      <w:b w:val="0"/>
                      <w:bCs w:val="0"/>
                      <w:color w:val="auto"/>
                      <w:kern w:val="2"/>
                      <w:sz w:val="21"/>
                      <w:szCs w:val="21"/>
                      <w:lang w:val="en-US" w:eastAsia="zh-CN" w:bidi="ar-SA"/>
                    </w:rPr>
                    <w:t>需喷涂的耳挂线产品量=5000万个*3%=150万个。</w:t>
                  </w:r>
                </w:p>
              </w:tc>
            </w:tr>
          </w:tbl>
          <w:p w14:paraId="018D807D">
            <w:pPr>
              <w:keepNext/>
              <w:keepLines/>
              <w:ind w:firstLine="480" w:firstLineChars="200"/>
              <w:jc w:val="left"/>
              <w:outlineLvl w:val="2"/>
              <w:rPr>
                <w:rFonts w:hint="default" w:ascii="Times New Roman" w:hAnsi="Times New Roman" w:cs="Times New Roman"/>
                <w:color w:val="auto"/>
                <w:szCs w:val="20"/>
                <w:lang w:val="en-US" w:eastAsia="zh-CN"/>
              </w:rPr>
            </w:pPr>
            <w:r>
              <w:rPr>
                <w:rFonts w:hint="default" w:ascii="Times New Roman" w:hAnsi="Times New Roman" w:cs="Times New Roman"/>
                <w:color w:val="auto"/>
                <w:szCs w:val="20"/>
                <w:lang w:val="en-US" w:eastAsia="zh-CN"/>
              </w:rPr>
              <w:t>由上表可得需喷涂产品总表面积为35652m</w:t>
            </w:r>
            <w:r>
              <w:rPr>
                <w:rFonts w:hint="default" w:ascii="Times New Roman" w:hAnsi="Times New Roman" w:cs="Times New Roman"/>
                <w:color w:val="auto"/>
                <w:szCs w:val="20"/>
                <w:vertAlign w:val="superscript"/>
                <w:lang w:val="en-US" w:eastAsia="zh-CN"/>
              </w:rPr>
              <w:t>2</w:t>
            </w:r>
            <w:r>
              <w:rPr>
                <w:rFonts w:hint="default" w:ascii="Times New Roman" w:hAnsi="Times New Roman" w:cs="Times New Roman"/>
                <w:color w:val="auto"/>
                <w:szCs w:val="20"/>
                <w:lang w:val="en-US" w:eastAsia="zh-CN"/>
              </w:rPr>
              <w:t>。根据喷涂行业对涂料使用量的计算公式对项目水性漆使用量进行核算，计算公式为：</w:t>
            </w:r>
          </w:p>
          <w:p w14:paraId="0B00D152">
            <w:pPr>
              <w:keepNext/>
              <w:keepLines/>
              <w:jc w:val="center"/>
              <w:outlineLvl w:val="2"/>
              <w:rPr>
                <w:rFonts w:hint="default" w:ascii="Times New Roman" w:hAnsi="Times New Roman" w:cs="Times New Roman"/>
                <w:color w:val="auto"/>
                <w:szCs w:val="20"/>
                <w:lang w:val="en-US" w:eastAsia="zh-CN"/>
              </w:rPr>
            </w:pPr>
            <w:r>
              <w:rPr>
                <w:rFonts w:hint="default" w:ascii="Times New Roman" w:hAnsi="Times New Roman" w:cs="Times New Roman"/>
                <w:color w:val="auto"/>
                <w:szCs w:val="20"/>
                <w:lang w:val="en-US" w:eastAsia="zh-CN"/>
              </w:rPr>
              <w:t>油漆用量=湿膜厚度×喷涂面积×油漆密度/1000/附着率</w:t>
            </w:r>
          </w:p>
          <w:p w14:paraId="12F210FD">
            <w:pPr>
              <w:keepNext/>
              <w:keepLines/>
              <w:ind w:firstLine="480" w:firstLineChars="200"/>
              <w:jc w:val="left"/>
              <w:outlineLvl w:val="2"/>
              <w:rPr>
                <w:rFonts w:hint="default" w:ascii="Times New Roman" w:hAnsi="Times New Roman" w:cs="Times New Roman"/>
                <w:color w:val="auto"/>
                <w:szCs w:val="20"/>
              </w:rPr>
            </w:pPr>
            <w:r>
              <w:rPr>
                <w:rFonts w:hint="default" w:ascii="Times New Roman" w:hAnsi="Times New Roman" w:cs="Times New Roman"/>
                <w:color w:val="auto"/>
                <w:szCs w:val="20"/>
                <w:lang w:val="en-US" w:eastAsia="zh-CN"/>
              </w:rPr>
              <w:t>计算结果见下表</w:t>
            </w:r>
            <w:r>
              <w:rPr>
                <w:rFonts w:hint="default" w:ascii="Times New Roman" w:hAnsi="Times New Roman" w:cs="Times New Roman"/>
                <w:color w:val="auto"/>
                <w:szCs w:val="20"/>
              </w:rPr>
              <w:t>。</w:t>
            </w:r>
          </w:p>
          <w:p w14:paraId="6E18C37A">
            <w:pPr>
              <w:spacing w:line="240" w:lineRule="auto"/>
              <w:jc w:val="center"/>
              <w:rPr>
                <w:rFonts w:hint="default" w:ascii="Times New Roman" w:hAnsi="Times New Roman" w:eastAsia="宋体" w:cs="Times New Roman"/>
                <w:b/>
                <w:color w:val="auto"/>
                <w:szCs w:val="22"/>
                <w:lang w:val="en-US" w:eastAsia="zh-CN"/>
              </w:rPr>
            </w:pPr>
            <w:r>
              <w:rPr>
                <w:rFonts w:hint="default" w:ascii="Times New Roman" w:hAnsi="Times New Roman" w:cs="Times New Roman"/>
                <w:b/>
                <w:color w:val="auto"/>
                <w:szCs w:val="22"/>
              </w:rPr>
              <w:t>表</w:t>
            </w:r>
            <w:r>
              <w:rPr>
                <w:rFonts w:hint="default" w:ascii="Times New Roman" w:hAnsi="Times New Roman" w:cs="Times New Roman"/>
                <w:b/>
                <w:color w:val="auto"/>
                <w:szCs w:val="22"/>
                <w:lang w:val="en-US" w:eastAsia="zh-CN"/>
              </w:rPr>
              <w:t>2-6</w:t>
            </w:r>
            <w:r>
              <w:rPr>
                <w:rFonts w:hint="default" w:ascii="Times New Roman" w:hAnsi="Times New Roman" w:cs="Times New Roman"/>
                <w:b/>
                <w:color w:val="auto"/>
                <w:szCs w:val="22"/>
              </w:rPr>
              <w:t xml:space="preserve"> </w:t>
            </w:r>
            <w:r>
              <w:rPr>
                <w:rFonts w:hint="default" w:ascii="Times New Roman" w:hAnsi="Times New Roman" w:cs="Times New Roman"/>
                <w:b/>
                <w:color w:val="auto"/>
                <w:kern w:val="0"/>
                <w:szCs w:val="22"/>
                <w:lang w:val="en-US" w:eastAsia="zh-CN" w:bidi="ar"/>
              </w:rPr>
              <w:t>项目水性漆用量核算一览表</w:t>
            </w:r>
          </w:p>
          <w:tbl>
            <w:tblPr>
              <w:tblStyle w:val="22"/>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6"/>
              <w:gridCol w:w="1572"/>
              <w:gridCol w:w="1516"/>
              <w:gridCol w:w="1687"/>
              <w:gridCol w:w="1211"/>
              <w:gridCol w:w="1454"/>
            </w:tblGrid>
            <w:tr w14:paraId="4B5FC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846" w:type="pct"/>
                  <w:vAlign w:val="center"/>
                </w:tcPr>
                <w:p w14:paraId="500E6E7D">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工艺</w:t>
                  </w:r>
                </w:p>
              </w:tc>
              <w:tc>
                <w:tcPr>
                  <w:tcW w:w="877" w:type="pct"/>
                  <w:vAlign w:val="center"/>
                </w:tcPr>
                <w:p w14:paraId="1114D9F4">
                  <w:pPr>
                    <w:spacing w:line="240" w:lineRule="auto"/>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喷涂面积</w:t>
                  </w:r>
                </w:p>
                <w:p w14:paraId="4FAC4FBA">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（m</w:t>
                  </w:r>
                  <w:r>
                    <w:rPr>
                      <w:rFonts w:hint="default" w:ascii="Times New Roman" w:hAnsi="Times New Roman" w:cs="Times New Roman"/>
                      <w:b/>
                      <w:bCs/>
                      <w:color w:val="auto"/>
                      <w:sz w:val="21"/>
                      <w:szCs w:val="21"/>
                      <w:vertAlign w:val="superscript"/>
                      <w:lang w:val="en-US" w:eastAsia="zh-CN"/>
                    </w:rPr>
                    <w:t>2</w:t>
                  </w:r>
                  <w:r>
                    <w:rPr>
                      <w:rFonts w:hint="default" w:ascii="Times New Roman" w:hAnsi="Times New Roman" w:cs="Times New Roman"/>
                      <w:b/>
                      <w:bCs/>
                      <w:color w:val="auto"/>
                      <w:sz w:val="21"/>
                      <w:szCs w:val="21"/>
                      <w:lang w:val="en-US" w:eastAsia="zh-CN"/>
                    </w:rPr>
                    <w:t>）</w:t>
                  </w:r>
                </w:p>
              </w:tc>
              <w:tc>
                <w:tcPr>
                  <w:tcW w:w="846" w:type="pct"/>
                  <w:vAlign w:val="center"/>
                </w:tcPr>
                <w:p w14:paraId="672303F4">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密度</w:t>
                  </w:r>
                </w:p>
                <w:p w14:paraId="43F17779">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w:t>
                  </w:r>
                  <w:r>
                    <w:rPr>
                      <w:rFonts w:hint="default" w:ascii="Times New Roman" w:hAnsi="Times New Roman" w:cs="Times New Roman"/>
                      <w:b/>
                      <w:bCs/>
                      <w:color w:val="auto"/>
                      <w:sz w:val="21"/>
                      <w:szCs w:val="16"/>
                      <w:lang w:val="en-US" w:eastAsia="zh-CN"/>
                    </w:rPr>
                    <w:t>g/cm</w:t>
                  </w:r>
                  <w:r>
                    <w:rPr>
                      <w:rFonts w:hint="default" w:ascii="Times New Roman" w:hAnsi="Times New Roman" w:cs="Times New Roman"/>
                      <w:b/>
                      <w:bCs/>
                      <w:color w:val="auto"/>
                      <w:sz w:val="21"/>
                      <w:szCs w:val="16"/>
                      <w:vertAlign w:val="superscript"/>
                      <w:lang w:val="en-US" w:eastAsia="zh-CN"/>
                    </w:rPr>
                    <w:t>3</w:t>
                  </w:r>
                  <w:r>
                    <w:rPr>
                      <w:rFonts w:hint="default" w:ascii="Times New Roman" w:hAnsi="Times New Roman" w:eastAsia="宋体" w:cs="Times New Roman"/>
                      <w:b/>
                      <w:bCs/>
                      <w:color w:val="auto"/>
                      <w:sz w:val="21"/>
                      <w:szCs w:val="21"/>
                      <w:lang w:val="en-US" w:eastAsia="zh-CN"/>
                    </w:rPr>
                    <w:t>）</w:t>
                  </w:r>
                </w:p>
              </w:tc>
              <w:tc>
                <w:tcPr>
                  <w:tcW w:w="941" w:type="pct"/>
                  <w:vAlign w:val="center"/>
                </w:tcPr>
                <w:p w14:paraId="330B1652">
                  <w:pPr>
                    <w:spacing w:line="240" w:lineRule="auto"/>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湿膜总厚度</w:t>
                  </w:r>
                </w:p>
                <w:p w14:paraId="76385AE0">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（mm）</w:t>
                  </w:r>
                </w:p>
              </w:tc>
              <w:tc>
                <w:tcPr>
                  <w:tcW w:w="676" w:type="pct"/>
                  <w:vAlign w:val="center"/>
                </w:tcPr>
                <w:p w14:paraId="687CCF6E">
                  <w:pPr>
                    <w:spacing w:line="240" w:lineRule="auto"/>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附着率</w:t>
                  </w:r>
                </w:p>
              </w:tc>
              <w:tc>
                <w:tcPr>
                  <w:tcW w:w="811" w:type="pct"/>
                  <w:vAlign w:val="center"/>
                </w:tcPr>
                <w:p w14:paraId="19228AF9">
                  <w:pPr>
                    <w:spacing w:line="24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color w:val="auto"/>
                      <w:sz w:val="21"/>
                      <w:szCs w:val="21"/>
                      <w:lang w:val="en-US" w:eastAsia="zh-CN"/>
                    </w:rPr>
                    <w:t>用量（t/a）</w:t>
                  </w:r>
                </w:p>
              </w:tc>
            </w:tr>
            <w:tr w14:paraId="6CABA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846" w:type="pct"/>
                  <w:vAlign w:val="center"/>
                </w:tcPr>
                <w:p w14:paraId="658BB85B">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喷</w:t>
                  </w:r>
                  <w:r>
                    <w:rPr>
                      <w:rFonts w:hint="default" w:ascii="Times New Roman" w:hAnsi="Times New Roman"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lang w:val="en-US" w:eastAsia="zh-CN"/>
                    </w:rPr>
                    <w:t>道油</w:t>
                  </w:r>
                </w:p>
              </w:tc>
              <w:tc>
                <w:tcPr>
                  <w:tcW w:w="877" w:type="pct"/>
                  <w:vAlign w:val="center"/>
                </w:tcPr>
                <w:p w14:paraId="5A9E765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35652</w:t>
                  </w:r>
                </w:p>
              </w:tc>
              <w:tc>
                <w:tcPr>
                  <w:tcW w:w="846" w:type="pct"/>
                  <w:vAlign w:val="center"/>
                </w:tcPr>
                <w:p w14:paraId="28730E29">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1.3</w:t>
                  </w:r>
                </w:p>
              </w:tc>
              <w:tc>
                <w:tcPr>
                  <w:tcW w:w="941" w:type="pct"/>
                  <w:vAlign w:val="center"/>
                </w:tcPr>
                <w:p w14:paraId="0860E052">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0.115</w:t>
                  </w:r>
                </w:p>
              </w:tc>
              <w:tc>
                <w:tcPr>
                  <w:tcW w:w="676" w:type="pct"/>
                  <w:vAlign w:val="center"/>
                </w:tcPr>
                <w:p w14:paraId="1273181E">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60%</w:t>
                  </w:r>
                </w:p>
              </w:tc>
              <w:tc>
                <w:tcPr>
                  <w:tcW w:w="811" w:type="pct"/>
                  <w:vAlign w:val="center"/>
                </w:tcPr>
                <w:p w14:paraId="7675152A">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8.9</w:t>
                  </w:r>
                </w:p>
              </w:tc>
            </w:tr>
          </w:tbl>
          <w:p w14:paraId="52CB76B9">
            <w:pPr>
              <w:keepNext/>
              <w:keepLines/>
              <w:ind w:firstLine="480" w:firstLineChars="200"/>
              <w:jc w:val="left"/>
              <w:outlineLvl w:val="2"/>
              <w:rPr>
                <w:rFonts w:hint="default" w:ascii="Times New Roman" w:hAnsi="Times New Roman" w:cs="Times New Roman"/>
                <w:color w:val="auto"/>
                <w:szCs w:val="20"/>
              </w:rPr>
            </w:pPr>
            <w:r>
              <w:rPr>
                <w:rFonts w:hint="default" w:ascii="Times New Roman" w:hAnsi="Times New Roman" w:eastAsia="宋体" w:cs="Times New Roman"/>
                <w:b w:val="0"/>
                <w:bCs w:val="0"/>
                <w:color w:val="auto"/>
                <w:lang w:val="en-US" w:eastAsia="zh-CN"/>
              </w:rPr>
              <w:t>由上表计算得出，调配后的水性漆使用量为8.9t/a，水性漆需和水以5:1的比例调配后使用，换算得到未调配的水性漆使用量为7.4t/a，使用的调配用水量为1.5t/a。</w:t>
            </w:r>
          </w:p>
          <w:p w14:paraId="690BDC97">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（5）项目设备清单</w:t>
            </w:r>
          </w:p>
          <w:p w14:paraId="48561EF8">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项目主要设备清单详见下表。</w:t>
            </w:r>
          </w:p>
          <w:p w14:paraId="2F172A92">
            <w:pPr>
              <w:spacing w:line="240" w:lineRule="auto"/>
              <w:jc w:val="center"/>
              <w:rPr>
                <w:rFonts w:hint="default" w:ascii="Times New Roman" w:hAnsi="Times New Roman" w:cs="Times New Roman"/>
                <w:b/>
                <w:color w:val="auto"/>
                <w:szCs w:val="22"/>
              </w:rPr>
            </w:pPr>
            <w:bookmarkStart w:id="5" w:name="项目主要设备清单"/>
            <w:r>
              <w:rPr>
                <w:rFonts w:hint="default" w:ascii="Times New Roman" w:hAnsi="Times New Roman" w:cs="Times New Roman"/>
                <w:b/>
                <w:color w:val="auto"/>
                <w:szCs w:val="22"/>
              </w:rPr>
              <w:t>表</w:t>
            </w:r>
            <w:r>
              <w:rPr>
                <w:rFonts w:hint="default" w:ascii="Times New Roman" w:hAnsi="Times New Roman" w:cs="Times New Roman"/>
                <w:b/>
                <w:color w:val="auto"/>
                <w:szCs w:val="22"/>
                <w:lang w:val="en-US" w:eastAsia="zh-CN"/>
              </w:rPr>
              <w:t>2-7</w:t>
            </w:r>
            <w:r>
              <w:rPr>
                <w:rFonts w:hint="default" w:ascii="Times New Roman" w:hAnsi="Times New Roman" w:cs="Times New Roman"/>
                <w:b/>
                <w:color w:val="auto"/>
                <w:szCs w:val="22"/>
              </w:rPr>
              <w:t xml:space="preserve"> 项目主要设备清单</w:t>
            </w:r>
          </w:p>
          <w:bookmarkEnd w:id="5"/>
          <w:tbl>
            <w:tblPr>
              <w:tblStyle w:val="22"/>
              <w:tblW w:w="496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1785"/>
              <w:gridCol w:w="875"/>
              <w:gridCol w:w="925"/>
              <w:gridCol w:w="2325"/>
              <w:gridCol w:w="2238"/>
            </w:tblGrid>
            <w:tr w14:paraId="4903F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Align w:val="center"/>
                </w:tcPr>
                <w:p w14:paraId="4274E8FD">
                  <w:pPr>
                    <w:spacing w:line="240" w:lineRule="auto"/>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序号</w:t>
                  </w:r>
                </w:p>
              </w:tc>
              <w:tc>
                <w:tcPr>
                  <w:tcW w:w="1001" w:type="pct"/>
                  <w:vAlign w:val="center"/>
                </w:tcPr>
                <w:p w14:paraId="067192DF">
                  <w:pPr>
                    <w:spacing w:line="240" w:lineRule="auto"/>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设备名称</w:t>
                  </w:r>
                </w:p>
              </w:tc>
              <w:tc>
                <w:tcPr>
                  <w:tcW w:w="490" w:type="pct"/>
                  <w:vAlign w:val="center"/>
                </w:tcPr>
                <w:p w14:paraId="4E1C306E">
                  <w:pPr>
                    <w:spacing w:line="240" w:lineRule="auto"/>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单位</w:t>
                  </w:r>
                </w:p>
              </w:tc>
              <w:tc>
                <w:tcPr>
                  <w:tcW w:w="518" w:type="pct"/>
                  <w:vAlign w:val="center"/>
                </w:tcPr>
                <w:p w14:paraId="2A7AC760">
                  <w:pPr>
                    <w:spacing w:line="240" w:lineRule="auto"/>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数量</w:t>
                  </w:r>
                </w:p>
              </w:tc>
              <w:tc>
                <w:tcPr>
                  <w:tcW w:w="1303" w:type="pct"/>
                  <w:shd w:val="clear" w:color="auto" w:fill="auto"/>
                  <w:vAlign w:val="center"/>
                </w:tcPr>
                <w:p w14:paraId="433F786E">
                  <w:pPr>
                    <w:spacing w:line="240" w:lineRule="auto"/>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使用工序</w:t>
                  </w:r>
                </w:p>
              </w:tc>
              <w:tc>
                <w:tcPr>
                  <w:tcW w:w="1255" w:type="pct"/>
                  <w:shd w:val="clear" w:color="auto" w:fill="auto"/>
                  <w:vAlign w:val="center"/>
                </w:tcPr>
                <w:p w14:paraId="49662AB0">
                  <w:pPr>
                    <w:spacing w:line="240" w:lineRule="auto"/>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设备参数</w:t>
                  </w:r>
                </w:p>
              </w:tc>
            </w:tr>
            <w:tr w14:paraId="09A9D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Align w:val="center"/>
                </w:tcPr>
                <w:p w14:paraId="0FBD8A8B">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w:t>
                  </w:r>
                </w:p>
              </w:tc>
              <w:tc>
                <w:tcPr>
                  <w:tcW w:w="1001" w:type="pct"/>
                  <w:vAlign w:val="center"/>
                </w:tcPr>
                <w:p w14:paraId="52F88730">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密炼机</w:t>
                  </w:r>
                </w:p>
              </w:tc>
              <w:tc>
                <w:tcPr>
                  <w:tcW w:w="490" w:type="pct"/>
                  <w:vAlign w:val="center"/>
                </w:tcPr>
                <w:p w14:paraId="23671262">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4438FA31">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4</w:t>
                  </w:r>
                </w:p>
              </w:tc>
              <w:tc>
                <w:tcPr>
                  <w:tcW w:w="1303" w:type="pct"/>
                  <w:shd w:val="clear" w:color="auto" w:fill="auto"/>
                  <w:vAlign w:val="center"/>
                </w:tcPr>
                <w:p w14:paraId="58E2F34E">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密炼使用</w:t>
                  </w:r>
                </w:p>
              </w:tc>
              <w:tc>
                <w:tcPr>
                  <w:tcW w:w="1255" w:type="pct"/>
                  <w:shd w:val="clear" w:color="auto" w:fill="auto"/>
                  <w:vAlign w:val="center"/>
                </w:tcPr>
                <w:p w14:paraId="1B11BFC6">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处理能力：</w:t>
                  </w:r>
                  <w:r>
                    <w:rPr>
                      <w:rFonts w:hint="default" w:ascii="Times New Roman" w:hAnsi="Times New Roman" w:cs="Times New Roman"/>
                      <w:color w:val="auto"/>
                      <w:lang w:val="en-US" w:eastAsia="zh-CN"/>
                    </w:rPr>
                    <w:t>70</w:t>
                  </w:r>
                  <w:r>
                    <w:rPr>
                      <w:rFonts w:hint="default" w:ascii="Times New Roman" w:hAnsi="Times New Roman" w:cs="Times New Roman"/>
                      <w:b w:val="0"/>
                      <w:bCs w:val="0"/>
                      <w:color w:val="auto"/>
                      <w:sz w:val="21"/>
                      <w:szCs w:val="21"/>
                      <w:vertAlign w:val="baseline"/>
                      <w:lang w:val="en-US" w:eastAsia="zh-CN"/>
                    </w:rPr>
                    <w:t>kg/h</w:t>
                  </w:r>
                </w:p>
              </w:tc>
            </w:tr>
            <w:tr w14:paraId="55081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Align w:val="center"/>
                </w:tcPr>
                <w:p w14:paraId="76397FB4">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2</w:t>
                  </w:r>
                </w:p>
              </w:tc>
              <w:tc>
                <w:tcPr>
                  <w:tcW w:w="1001" w:type="pct"/>
                  <w:vAlign w:val="center"/>
                </w:tcPr>
                <w:p w14:paraId="5D55D49F">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切料机</w:t>
                  </w:r>
                </w:p>
              </w:tc>
              <w:tc>
                <w:tcPr>
                  <w:tcW w:w="490" w:type="pct"/>
                  <w:vAlign w:val="center"/>
                </w:tcPr>
                <w:p w14:paraId="40CABEA3">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3D005C1D">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2</w:t>
                  </w:r>
                </w:p>
              </w:tc>
              <w:tc>
                <w:tcPr>
                  <w:tcW w:w="1303" w:type="pct"/>
                  <w:shd w:val="clear" w:color="auto" w:fill="auto"/>
                  <w:vAlign w:val="center"/>
                </w:tcPr>
                <w:p w14:paraId="51DAA9C3">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切料使用</w:t>
                  </w:r>
                </w:p>
              </w:tc>
              <w:tc>
                <w:tcPr>
                  <w:tcW w:w="1255" w:type="pct"/>
                  <w:shd w:val="clear" w:color="auto" w:fill="auto"/>
                  <w:vAlign w:val="center"/>
                </w:tcPr>
                <w:p w14:paraId="1FF783E0">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功率：3kW</w:t>
                  </w:r>
                </w:p>
              </w:tc>
            </w:tr>
            <w:tr w14:paraId="7ED09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shd w:val="clear" w:color="auto" w:fill="auto"/>
                  <w:vAlign w:val="center"/>
                </w:tcPr>
                <w:p w14:paraId="67CAF1C0">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3</w:t>
                  </w:r>
                </w:p>
              </w:tc>
              <w:tc>
                <w:tcPr>
                  <w:tcW w:w="1001" w:type="pct"/>
                  <w:shd w:val="clear" w:color="auto" w:fill="auto"/>
                  <w:vAlign w:val="center"/>
                </w:tcPr>
                <w:p w14:paraId="290D7798">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平板硫化机</w:t>
                  </w:r>
                </w:p>
              </w:tc>
              <w:tc>
                <w:tcPr>
                  <w:tcW w:w="490" w:type="pct"/>
                  <w:shd w:val="clear" w:color="auto" w:fill="auto"/>
                  <w:vAlign w:val="center"/>
                </w:tcPr>
                <w:p w14:paraId="04B1D013">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套</w:t>
                  </w:r>
                </w:p>
              </w:tc>
              <w:tc>
                <w:tcPr>
                  <w:tcW w:w="518" w:type="pct"/>
                  <w:shd w:val="clear" w:color="auto" w:fill="auto"/>
                  <w:vAlign w:val="center"/>
                </w:tcPr>
                <w:p w14:paraId="348811D0">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10</w:t>
                  </w:r>
                </w:p>
              </w:tc>
              <w:tc>
                <w:tcPr>
                  <w:tcW w:w="1303" w:type="pct"/>
                  <w:shd w:val="clear" w:color="auto" w:fill="auto"/>
                  <w:vAlign w:val="center"/>
                </w:tcPr>
                <w:p w14:paraId="63203925">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硫化成型使用</w:t>
                  </w:r>
                </w:p>
              </w:tc>
              <w:tc>
                <w:tcPr>
                  <w:tcW w:w="1255" w:type="pct"/>
                  <w:shd w:val="clear" w:color="auto" w:fill="auto"/>
                  <w:vAlign w:val="center"/>
                </w:tcPr>
                <w:p w14:paraId="5ED4C52D">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处理能力：</w:t>
                  </w:r>
                  <w:r>
                    <w:rPr>
                      <w:rFonts w:hint="default" w:ascii="Times New Roman" w:hAnsi="Times New Roman" w:cs="Times New Roman"/>
                      <w:b w:val="0"/>
                      <w:bCs w:val="0"/>
                      <w:color w:val="auto"/>
                      <w:sz w:val="21"/>
                      <w:szCs w:val="21"/>
                      <w:vertAlign w:val="baseline"/>
                      <w:lang w:val="en-US" w:eastAsia="zh-CN"/>
                    </w:rPr>
                    <w:t>13kg/h</w:t>
                  </w:r>
                </w:p>
              </w:tc>
            </w:tr>
            <w:tr w14:paraId="23D4C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Align w:val="center"/>
                </w:tcPr>
                <w:p w14:paraId="70724C8E">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4</w:t>
                  </w:r>
                </w:p>
              </w:tc>
              <w:tc>
                <w:tcPr>
                  <w:tcW w:w="1001" w:type="pct"/>
                  <w:vAlign w:val="center"/>
                </w:tcPr>
                <w:p w14:paraId="6F6E2DB1">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水帘柜</w:t>
                  </w:r>
                </w:p>
              </w:tc>
              <w:tc>
                <w:tcPr>
                  <w:tcW w:w="490" w:type="pct"/>
                  <w:vAlign w:val="center"/>
                </w:tcPr>
                <w:p w14:paraId="70DBE319">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3EA42367">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2</w:t>
                  </w:r>
                </w:p>
              </w:tc>
              <w:tc>
                <w:tcPr>
                  <w:tcW w:w="1303" w:type="pct"/>
                  <w:shd w:val="clear" w:color="auto" w:fill="auto"/>
                  <w:vAlign w:val="center"/>
                </w:tcPr>
                <w:p w14:paraId="39EF00DB">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每个喷枪配1台</w:t>
                  </w:r>
                </w:p>
              </w:tc>
              <w:tc>
                <w:tcPr>
                  <w:tcW w:w="1255" w:type="pct"/>
                  <w:shd w:val="clear" w:color="auto" w:fill="auto"/>
                  <w:vAlign w:val="center"/>
                </w:tcPr>
                <w:p w14:paraId="3227EB44">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3*2*1米（有效水深0.5米）</w:t>
                  </w:r>
                </w:p>
              </w:tc>
            </w:tr>
            <w:tr w14:paraId="68363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shd w:val="clear" w:color="auto" w:fill="auto"/>
                  <w:vAlign w:val="center"/>
                </w:tcPr>
                <w:p w14:paraId="73B50B23">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5</w:t>
                  </w:r>
                </w:p>
              </w:tc>
              <w:tc>
                <w:tcPr>
                  <w:tcW w:w="1001" w:type="pct"/>
                  <w:vAlign w:val="center"/>
                </w:tcPr>
                <w:p w14:paraId="7E467DB2">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喷枪</w:t>
                  </w:r>
                </w:p>
              </w:tc>
              <w:tc>
                <w:tcPr>
                  <w:tcW w:w="490" w:type="pct"/>
                  <w:vAlign w:val="center"/>
                </w:tcPr>
                <w:p w14:paraId="1CA26497">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支</w:t>
                  </w:r>
                </w:p>
              </w:tc>
              <w:tc>
                <w:tcPr>
                  <w:tcW w:w="518" w:type="pct"/>
                  <w:vAlign w:val="center"/>
                </w:tcPr>
                <w:p w14:paraId="6251C918">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2</w:t>
                  </w:r>
                </w:p>
              </w:tc>
              <w:tc>
                <w:tcPr>
                  <w:tcW w:w="1303" w:type="pct"/>
                  <w:shd w:val="clear" w:color="auto" w:fill="auto"/>
                  <w:vAlign w:val="center"/>
                </w:tcPr>
                <w:p w14:paraId="51A5C2DD">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喷漆使用</w:t>
                  </w:r>
                </w:p>
              </w:tc>
              <w:tc>
                <w:tcPr>
                  <w:tcW w:w="1255" w:type="pct"/>
                  <w:shd w:val="clear" w:color="auto" w:fill="auto"/>
                  <w:vAlign w:val="center"/>
                </w:tcPr>
                <w:p w14:paraId="54294A1D">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流速：</w:t>
                  </w:r>
                  <w:r>
                    <w:rPr>
                      <w:rFonts w:hint="default" w:ascii="Times New Roman" w:hAnsi="Times New Roman" w:cs="Times New Roman"/>
                      <w:i w:val="0"/>
                      <w:iCs w:val="0"/>
                      <w:color w:val="auto"/>
                      <w:sz w:val="21"/>
                      <w:szCs w:val="21"/>
                      <w:u w:val="none"/>
                      <w:lang w:val="en-US" w:eastAsia="zh-CN"/>
                    </w:rPr>
                    <w:t>0.024L/min</w:t>
                  </w:r>
                </w:p>
              </w:tc>
            </w:tr>
            <w:tr w14:paraId="76D04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shd w:val="clear" w:color="auto" w:fill="auto"/>
                  <w:vAlign w:val="center"/>
                </w:tcPr>
                <w:p w14:paraId="37841887">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6</w:t>
                  </w:r>
                </w:p>
              </w:tc>
              <w:tc>
                <w:tcPr>
                  <w:tcW w:w="1001" w:type="pct"/>
                  <w:vAlign w:val="center"/>
                </w:tcPr>
                <w:p w14:paraId="4751C66F">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烘烤炉</w:t>
                  </w:r>
                </w:p>
              </w:tc>
              <w:tc>
                <w:tcPr>
                  <w:tcW w:w="490" w:type="pct"/>
                  <w:vAlign w:val="center"/>
                </w:tcPr>
                <w:p w14:paraId="273665D2">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条</w:t>
                  </w:r>
                </w:p>
              </w:tc>
              <w:tc>
                <w:tcPr>
                  <w:tcW w:w="518" w:type="pct"/>
                  <w:vAlign w:val="center"/>
                </w:tcPr>
                <w:p w14:paraId="6CECE66E">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w:t>
                  </w:r>
                </w:p>
              </w:tc>
              <w:tc>
                <w:tcPr>
                  <w:tcW w:w="1303" w:type="pct"/>
                  <w:shd w:val="clear" w:color="auto" w:fill="auto"/>
                  <w:vAlign w:val="center"/>
                </w:tcPr>
                <w:p w14:paraId="5750EC31">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烘烤使用，使用电能</w:t>
                  </w:r>
                </w:p>
              </w:tc>
              <w:tc>
                <w:tcPr>
                  <w:tcW w:w="1255" w:type="pct"/>
                  <w:vAlign w:val="center"/>
                </w:tcPr>
                <w:p w14:paraId="4A064A28">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功率：30kW</w:t>
                  </w:r>
                </w:p>
              </w:tc>
            </w:tr>
            <w:tr w14:paraId="05070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shd w:val="clear" w:color="auto" w:fill="auto"/>
                  <w:vAlign w:val="center"/>
                </w:tcPr>
                <w:p w14:paraId="3DC88902">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7</w:t>
                  </w:r>
                </w:p>
              </w:tc>
              <w:tc>
                <w:tcPr>
                  <w:tcW w:w="1001" w:type="pct"/>
                  <w:vAlign w:val="center"/>
                </w:tcPr>
                <w:p w14:paraId="63A11CB0">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移印机</w:t>
                  </w:r>
                </w:p>
              </w:tc>
              <w:tc>
                <w:tcPr>
                  <w:tcW w:w="490" w:type="pct"/>
                  <w:vAlign w:val="center"/>
                </w:tcPr>
                <w:p w14:paraId="36D6816D">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5E30053E">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10</w:t>
                  </w:r>
                </w:p>
              </w:tc>
              <w:tc>
                <w:tcPr>
                  <w:tcW w:w="1303" w:type="pct"/>
                  <w:shd w:val="clear" w:color="auto" w:fill="auto"/>
                  <w:vAlign w:val="center"/>
                </w:tcPr>
                <w:p w14:paraId="734602C6">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复膜使用</w:t>
                  </w:r>
                </w:p>
              </w:tc>
              <w:tc>
                <w:tcPr>
                  <w:tcW w:w="1255" w:type="pct"/>
                  <w:vAlign w:val="center"/>
                </w:tcPr>
                <w:p w14:paraId="44EB4719">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处理能力：15000个/h</w:t>
                  </w:r>
                </w:p>
              </w:tc>
            </w:tr>
            <w:tr w14:paraId="27F98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shd w:val="clear" w:color="auto" w:fill="auto"/>
                  <w:vAlign w:val="center"/>
                </w:tcPr>
                <w:p w14:paraId="2D860518">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8</w:t>
                  </w:r>
                </w:p>
              </w:tc>
              <w:tc>
                <w:tcPr>
                  <w:tcW w:w="1001" w:type="pct"/>
                  <w:vAlign w:val="center"/>
                </w:tcPr>
                <w:p w14:paraId="4B2FD246">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 xml:space="preserve">液态机 </w:t>
                  </w:r>
                </w:p>
              </w:tc>
              <w:tc>
                <w:tcPr>
                  <w:tcW w:w="490" w:type="pct"/>
                  <w:vAlign w:val="center"/>
                </w:tcPr>
                <w:p w14:paraId="04A292F6">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6BEC9E70">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8</w:t>
                  </w:r>
                </w:p>
              </w:tc>
              <w:tc>
                <w:tcPr>
                  <w:tcW w:w="1303" w:type="pct"/>
                  <w:shd w:val="clear" w:color="auto" w:fill="auto"/>
                  <w:vAlign w:val="center"/>
                </w:tcPr>
                <w:p w14:paraId="6F871BEE">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液态成型使用</w:t>
                  </w:r>
                </w:p>
              </w:tc>
              <w:tc>
                <w:tcPr>
                  <w:tcW w:w="1255" w:type="pct"/>
                  <w:vAlign w:val="center"/>
                </w:tcPr>
                <w:p w14:paraId="79447AE9">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功率：15kW</w:t>
                  </w:r>
                </w:p>
              </w:tc>
            </w:tr>
            <w:tr w14:paraId="0BD71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shd w:val="clear" w:color="auto" w:fill="auto"/>
                  <w:vAlign w:val="center"/>
                </w:tcPr>
                <w:p w14:paraId="5DA3EFBF">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9</w:t>
                  </w:r>
                </w:p>
              </w:tc>
              <w:tc>
                <w:tcPr>
                  <w:tcW w:w="1001" w:type="pct"/>
                  <w:vAlign w:val="center"/>
                </w:tcPr>
                <w:p w14:paraId="132374F2">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卧室注塑机</w:t>
                  </w:r>
                </w:p>
              </w:tc>
              <w:tc>
                <w:tcPr>
                  <w:tcW w:w="490" w:type="pct"/>
                  <w:vAlign w:val="center"/>
                </w:tcPr>
                <w:p w14:paraId="524A10D3">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7E744F3B">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28</w:t>
                  </w:r>
                </w:p>
              </w:tc>
              <w:tc>
                <w:tcPr>
                  <w:tcW w:w="1303" w:type="pct"/>
                  <w:shd w:val="clear" w:color="auto" w:fill="auto"/>
                  <w:vAlign w:val="center"/>
                </w:tcPr>
                <w:p w14:paraId="4F108FCE">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注塑成型</w:t>
                  </w:r>
                </w:p>
              </w:tc>
              <w:tc>
                <w:tcPr>
                  <w:tcW w:w="1255" w:type="pct"/>
                  <w:vAlign w:val="center"/>
                </w:tcPr>
                <w:p w14:paraId="73981A67">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处理能力：</w:t>
                  </w:r>
                  <w:r>
                    <w:rPr>
                      <w:rFonts w:hint="default" w:ascii="Times New Roman" w:hAnsi="Times New Roman" w:cs="Times New Roman"/>
                      <w:b w:val="0"/>
                      <w:bCs w:val="0"/>
                      <w:color w:val="auto"/>
                      <w:sz w:val="21"/>
                      <w:szCs w:val="21"/>
                      <w:vertAlign w:val="baseline"/>
                      <w:lang w:val="en-US" w:eastAsia="zh-CN"/>
                    </w:rPr>
                    <w:t>3.2kg/h</w:t>
                  </w:r>
                </w:p>
              </w:tc>
            </w:tr>
            <w:tr w14:paraId="0D8FC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shd w:val="clear" w:color="auto" w:fill="auto"/>
                  <w:vAlign w:val="center"/>
                </w:tcPr>
                <w:p w14:paraId="0614AB27">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10</w:t>
                  </w:r>
                </w:p>
              </w:tc>
              <w:tc>
                <w:tcPr>
                  <w:tcW w:w="1001" w:type="pct"/>
                  <w:vAlign w:val="center"/>
                </w:tcPr>
                <w:p w14:paraId="51E9D6B4">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立式注塑机</w:t>
                  </w:r>
                </w:p>
              </w:tc>
              <w:tc>
                <w:tcPr>
                  <w:tcW w:w="490" w:type="pct"/>
                  <w:vAlign w:val="center"/>
                </w:tcPr>
                <w:p w14:paraId="12DE9BA6">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0105E422">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10</w:t>
                  </w:r>
                </w:p>
              </w:tc>
              <w:tc>
                <w:tcPr>
                  <w:tcW w:w="1303" w:type="pct"/>
                  <w:shd w:val="clear" w:color="auto" w:fill="auto"/>
                  <w:vAlign w:val="center"/>
                </w:tcPr>
                <w:p w14:paraId="5A0DA200">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注塑成型</w:t>
                  </w:r>
                </w:p>
              </w:tc>
              <w:tc>
                <w:tcPr>
                  <w:tcW w:w="1255" w:type="pct"/>
                  <w:vAlign w:val="center"/>
                </w:tcPr>
                <w:p w14:paraId="56916DF9">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处理能力：</w:t>
                  </w:r>
                  <w:r>
                    <w:rPr>
                      <w:rFonts w:hint="default" w:ascii="Times New Roman" w:hAnsi="Times New Roman" w:cs="Times New Roman"/>
                      <w:b w:val="0"/>
                      <w:bCs w:val="0"/>
                      <w:color w:val="auto"/>
                      <w:sz w:val="21"/>
                      <w:szCs w:val="21"/>
                      <w:vertAlign w:val="baseline"/>
                      <w:lang w:val="en-US" w:eastAsia="zh-CN"/>
                    </w:rPr>
                    <w:t>3.2kg/h</w:t>
                  </w:r>
                </w:p>
              </w:tc>
            </w:tr>
            <w:tr w14:paraId="45FCE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shd w:val="clear" w:color="auto" w:fill="auto"/>
                  <w:vAlign w:val="center"/>
                </w:tcPr>
                <w:p w14:paraId="2022B80B">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11</w:t>
                  </w:r>
                </w:p>
              </w:tc>
              <w:tc>
                <w:tcPr>
                  <w:tcW w:w="1001" w:type="pct"/>
                  <w:vAlign w:val="center"/>
                </w:tcPr>
                <w:p w14:paraId="4FDD8BA5">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破碎机</w:t>
                  </w:r>
                </w:p>
              </w:tc>
              <w:tc>
                <w:tcPr>
                  <w:tcW w:w="490" w:type="pct"/>
                  <w:vAlign w:val="center"/>
                </w:tcPr>
                <w:p w14:paraId="10D1CC18">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2E9E4250">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6</w:t>
                  </w:r>
                </w:p>
              </w:tc>
              <w:tc>
                <w:tcPr>
                  <w:tcW w:w="1303" w:type="pct"/>
                  <w:shd w:val="clear" w:color="auto" w:fill="auto"/>
                  <w:vAlign w:val="center"/>
                </w:tcPr>
                <w:p w14:paraId="401C0CE1">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破碎</w:t>
                  </w:r>
                </w:p>
              </w:tc>
              <w:tc>
                <w:tcPr>
                  <w:tcW w:w="1255" w:type="pct"/>
                  <w:vAlign w:val="center"/>
                </w:tcPr>
                <w:p w14:paraId="78D87ECD">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Cs/>
                      <w:color w:val="auto"/>
                      <w:sz w:val="21"/>
                      <w:szCs w:val="21"/>
                      <w:lang w:val="en-US" w:eastAsia="zh-CN"/>
                    </w:rPr>
                    <w:t>功率：10KW</w:t>
                  </w:r>
                </w:p>
              </w:tc>
            </w:tr>
            <w:tr w14:paraId="1BC61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shd w:val="clear" w:color="auto" w:fill="auto"/>
                  <w:vAlign w:val="center"/>
                </w:tcPr>
                <w:p w14:paraId="4AD4B166">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12</w:t>
                  </w:r>
                </w:p>
              </w:tc>
              <w:tc>
                <w:tcPr>
                  <w:tcW w:w="1001" w:type="pct"/>
                  <w:vAlign w:val="center"/>
                </w:tcPr>
                <w:p w14:paraId="78C58988">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拌料机</w:t>
                  </w:r>
                </w:p>
              </w:tc>
              <w:tc>
                <w:tcPr>
                  <w:tcW w:w="490" w:type="pct"/>
                  <w:vAlign w:val="center"/>
                </w:tcPr>
                <w:p w14:paraId="0D3CC888">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42B8C3E3">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4</w:t>
                  </w:r>
                </w:p>
              </w:tc>
              <w:tc>
                <w:tcPr>
                  <w:tcW w:w="1303" w:type="pct"/>
                  <w:shd w:val="clear" w:color="auto" w:fill="auto"/>
                  <w:vAlign w:val="center"/>
                </w:tcPr>
                <w:p w14:paraId="4AC2FFB8">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拌料</w:t>
                  </w:r>
                </w:p>
              </w:tc>
              <w:tc>
                <w:tcPr>
                  <w:tcW w:w="1255" w:type="pct"/>
                  <w:vAlign w:val="center"/>
                </w:tcPr>
                <w:p w14:paraId="7A070B2A">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功率：2.5kW</w:t>
                  </w:r>
                </w:p>
              </w:tc>
            </w:tr>
            <w:tr w14:paraId="2F658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shd w:val="clear" w:color="auto" w:fill="auto"/>
                  <w:vAlign w:val="center"/>
                </w:tcPr>
                <w:p w14:paraId="525D399F">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13</w:t>
                  </w:r>
                </w:p>
              </w:tc>
              <w:tc>
                <w:tcPr>
                  <w:tcW w:w="1001" w:type="pct"/>
                  <w:vAlign w:val="center"/>
                </w:tcPr>
                <w:p w14:paraId="4181F9F6">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CNC</w:t>
                  </w:r>
                </w:p>
              </w:tc>
              <w:tc>
                <w:tcPr>
                  <w:tcW w:w="490" w:type="pct"/>
                  <w:vAlign w:val="center"/>
                </w:tcPr>
                <w:p w14:paraId="2620434F">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4B046DB5">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6</w:t>
                  </w:r>
                </w:p>
              </w:tc>
              <w:tc>
                <w:tcPr>
                  <w:tcW w:w="1303" w:type="pct"/>
                  <w:vMerge w:val="restart"/>
                  <w:shd w:val="clear" w:color="auto" w:fill="auto"/>
                  <w:vAlign w:val="center"/>
                </w:tcPr>
                <w:p w14:paraId="3F9A7665">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机加工</w:t>
                  </w:r>
                </w:p>
              </w:tc>
              <w:tc>
                <w:tcPr>
                  <w:tcW w:w="1255" w:type="pct"/>
                  <w:vAlign w:val="center"/>
                </w:tcPr>
                <w:p w14:paraId="5823F258">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处理能力：</w:t>
                  </w:r>
                  <w:r>
                    <w:rPr>
                      <w:rFonts w:hint="default" w:ascii="Times New Roman" w:hAnsi="Times New Roman" w:cs="Times New Roman"/>
                      <w:b w:val="0"/>
                      <w:bCs w:val="0"/>
                      <w:color w:val="auto"/>
                      <w:sz w:val="21"/>
                      <w:szCs w:val="21"/>
                      <w:vertAlign w:val="baseline"/>
                      <w:lang w:val="en-US" w:eastAsia="zh-CN"/>
                    </w:rPr>
                    <w:t>1kg/h</w:t>
                  </w:r>
                </w:p>
              </w:tc>
            </w:tr>
            <w:tr w14:paraId="4A3B5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8" w:type="dxa"/>
                  <w:shd w:val="clear" w:color="auto" w:fill="auto"/>
                  <w:vAlign w:val="center"/>
                </w:tcPr>
                <w:p w14:paraId="3D6C9B9D">
                  <w:pPr>
                    <w:spacing w:line="240" w:lineRule="auto"/>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14</w:t>
                  </w:r>
                </w:p>
              </w:tc>
              <w:tc>
                <w:tcPr>
                  <w:tcW w:w="1001" w:type="pct"/>
                  <w:vAlign w:val="center"/>
                </w:tcPr>
                <w:p w14:paraId="2A96D5B2">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气动冲床</w:t>
                  </w:r>
                </w:p>
              </w:tc>
              <w:tc>
                <w:tcPr>
                  <w:tcW w:w="490" w:type="pct"/>
                  <w:vAlign w:val="center"/>
                </w:tcPr>
                <w:p w14:paraId="735C6F92">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台</w:t>
                  </w:r>
                </w:p>
              </w:tc>
              <w:tc>
                <w:tcPr>
                  <w:tcW w:w="518" w:type="pct"/>
                  <w:vAlign w:val="center"/>
                </w:tcPr>
                <w:p w14:paraId="455AA5FA">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2</w:t>
                  </w:r>
                </w:p>
              </w:tc>
              <w:tc>
                <w:tcPr>
                  <w:tcW w:w="1303" w:type="pct"/>
                  <w:vMerge w:val="continue"/>
                  <w:shd w:val="clear" w:color="auto" w:fill="auto"/>
                  <w:vAlign w:val="center"/>
                </w:tcPr>
                <w:p w14:paraId="7BA7AB20">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p>
              </w:tc>
              <w:tc>
                <w:tcPr>
                  <w:tcW w:w="1255" w:type="pct"/>
                  <w:vAlign w:val="center"/>
                </w:tcPr>
                <w:p w14:paraId="073412EE">
                  <w:pPr>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功率：6KW</w:t>
                  </w:r>
                </w:p>
              </w:tc>
            </w:tr>
            <w:tr w14:paraId="70A7B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8" w:type="dxa"/>
                  <w:shd w:val="clear" w:color="auto" w:fill="auto"/>
                  <w:vAlign w:val="center"/>
                </w:tcPr>
                <w:p w14:paraId="5A2A1A87">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15</w:t>
                  </w:r>
                </w:p>
              </w:tc>
              <w:tc>
                <w:tcPr>
                  <w:tcW w:w="1001" w:type="pct"/>
                  <w:vAlign w:val="center"/>
                </w:tcPr>
                <w:p w14:paraId="03C12CA1">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铣床</w:t>
                  </w:r>
                </w:p>
              </w:tc>
              <w:tc>
                <w:tcPr>
                  <w:tcW w:w="490" w:type="pct"/>
                  <w:vAlign w:val="center"/>
                </w:tcPr>
                <w:p w14:paraId="3AFA0883">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03BD2E9A">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2</w:t>
                  </w:r>
                </w:p>
              </w:tc>
              <w:tc>
                <w:tcPr>
                  <w:tcW w:w="1303" w:type="pct"/>
                  <w:vMerge w:val="continue"/>
                  <w:shd w:val="clear" w:color="auto" w:fill="auto"/>
                  <w:vAlign w:val="center"/>
                </w:tcPr>
                <w:p w14:paraId="1CEC8AF6">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p>
              </w:tc>
              <w:tc>
                <w:tcPr>
                  <w:tcW w:w="1255" w:type="pct"/>
                  <w:vAlign w:val="center"/>
                </w:tcPr>
                <w:p w14:paraId="34B24EFB">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Cs/>
                      <w:color w:val="auto"/>
                      <w:sz w:val="21"/>
                      <w:szCs w:val="21"/>
                      <w:lang w:val="en-US" w:eastAsia="zh-CN"/>
                    </w:rPr>
                    <w:t>功率：6KW</w:t>
                  </w:r>
                </w:p>
              </w:tc>
            </w:tr>
            <w:tr w14:paraId="18366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8" w:type="dxa"/>
                  <w:shd w:val="clear" w:color="auto" w:fill="auto"/>
                  <w:vAlign w:val="center"/>
                </w:tcPr>
                <w:p w14:paraId="5B96DA8F">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16</w:t>
                  </w:r>
                </w:p>
              </w:tc>
              <w:tc>
                <w:tcPr>
                  <w:tcW w:w="1001" w:type="pct"/>
                  <w:vAlign w:val="center"/>
                </w:tcPr>
                <w:p w14:paraId="305AAB0C">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火花机</w:t>
                  </w:r>
                </w:p>
              </w:tc>
              <w:tc>
                <w:tcPr>
                  <w:tcW w:w="490" w:type="pct"/>
                  <w:vAlign w:val="center"/>
                </w:tcPr>
                <w:p w14:paraId="50D989F7">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7E857B6D">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2</w:t>
                  </w:r>
                </w:p>
              </w:tc>
              <w:tc>
                <w:tcPr>
                  <w:tcW w:w="1303" w:type="pct"/>
                  <w:vMerge w:val="continue"/>
                  <w:shd w:val="clear" w:color="auto" w:fill="auto"/>
                  <w:vAlign w:val="center"/>
                </w:tcPr>
                <w:p w14:paraId="661EA38A">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p>
              </w:tc>
              <w:tc>
                <w:tcPr>
                  <w:tcW w:w="1255" w:type="pct"/>
                  <w:vAlign w:val="center"/>
                </w:tcPr>
                <w:p w14:paraId="1B88008C">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Cs/>
                      <w:color w:val="auto"/>
                      <w:sz w:val="21"/>
                      <w:szCs w:val="21"/>
                      <w:lang w:val="en-US" w:eastAsia="zh-CN"/>
                    </w:rPr>
                    <w:t>功率：0.8KW</w:t>
                  </w:r>
                </w:p>
              </w:tc>
            </w:tr>
            <w:tr w14:paraId="2B392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8" w:type="dxa"/>
                  <w:shd w:val="clear" w:color="auto" w:fill="auto"/>
                  <w:vAlign w:val="center"/>
                </w:tcPr>
                <w:p w14:paraId="5F27C5BA">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17</w:t>
                  </w:r>
                </w:p>
              </w:tc>
              <w:tc>
                <w:tcPr>
                  <w:tcW w:w="1001" w:type="pct"/>
                  <w:vAlign w:val="center"/>
                </w:tcPr>
                <w:p w14:paraId="6301BABA">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车床</w:t>
                  </w:r>
                </w:p>
              </w:tc>
              <w:tc>
                <w:tcPr>
                  <w:tcW w:w="490" w:type="pct"/>
                  <w:vAlign w:val="center"/>
                </w:tcPr>
                <w:p w14:paraId="5271CE91">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342DAE9B">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2</w:t>
                  </w:r>
                </w:p>
              </w:tc>
              <w:tc>
                <w:tcPr>
                  <w:tcW w:w="1303" w:type="pct"/>
                  <w:vMerge w:val="continue"/>
                  <w:shd w:val="clear" w:color="auto" w:fill="auto"/>
                  <w:vAlign w:val="center"/>
                </w:tcPr>
                <w:p w14:paraId="72427C15">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p>
              </w:tc>
              <w:tc>
                <w:tcPr>
                  <w:tcW w:w="1255" w:type="pct"/>
                  <w:vAlign w:val="center"/>
                </w:tcPr>
                <w:p w14:paraId="4B8C523D">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Cs/>
                      <w:color w:val="auto"/>
                      <w:sz w:val="21"/>
                      <w:szCs w:val="21"/>
                      <w:lang w:val="en-US" w:eastAsia="zh-CN"/>
                    </w:rPr>
                    <w:t>功率：10KW</w:t>
                  </w:r>
                </w:p>
              </w:tc>
            </w:tr>
            <w:tr w14:paraId="6AA8E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8" w:type="dxa"/>
                  <w:shd w:val="clear" w:color="auto" w:fill="auto"/>
                  <w:vAlign w:val="center"/>
                </w:tcPr>
                <w:p w14:paraId="378785DB">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18</w:t>
                  </w:r>
                </w:p>
              </w:tc>
              <w:tc>
                <w:tcPr>
                  <w:tcW w:w="1001" w:type="pct"/>
                  <w:vAlign w:val="center"/>
                </w:tcPr>
                <w:p w14:paraId="6F3C7813">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空压机</w:t>
                  </w:r>
                </w:p>
              </w:tc>
              <w:tc>
                <w:tcPr>
                  <w:tcW w:w="490" w:type="pct"/>
                  <w:vAlign w:val="center"/>
                </w:tcPr>
                <w:p w14:paraId="639DDDBF">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246C2529">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2</w:t>
                  </w:r>
                </w:p>
              </w:tc>
              <w:tc>
                <w:tcPr>
                  <w:tcW w:w="1303" w:type="pct"/>
                  <w:shd w:val="clear" w:color="auto" w:fill="auto"/>
                  <w:vAlign w:val="center"/>
                </w:tcPr>
                <w:p w14:paraId="798319F4">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辅助设备</w:t>
                  </w:r>
                </w:p>
              </w:tc>
              <w:tc>
                <w:tcPr>
                  <w:tcW w:w="1255" w:type="pct"/>
                  <w:vAlign w:val="center"/>
                </w:tcPr>
                <w:p w14:paraId="17CCEE61">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功率：</w:t>
                  </w:r>
                  <w:r>
                    <w:rPr>
                      <w:rFonts w:hint="default" w:ascii="Times New Roman" w:hAnsi="Times New Roman" w:eastAsia="宋体" w:cs="Times New Roman"/>
                      <w:b w:val="0"/>
                      <w:bCs w:val="0"/>
                      <w:color w:val="auto"/>
                      <w:kern w:val="2"/>
                      <w:sz w:val="21"/>
                      <w:szCs w:val="21"/>
                      <w:lang w:val="en-US" w:eastAsia="zh-CN" w:bidi="ar-SA"/>
                    </w:rPr>
                    <w:t>5</w:t>
                  </w:r>
                  <w:r>
                    <w:rPr>
                      <w:rFonts w:hint="default" w:ascii="Times New Roman" w:hAnsi="Times New Roman" w:cs="Times New Roman"/>
                      <w:b w:val="0"/>
                      <w:bCs w:val="0"/>
                      <w:color w:val="auto"/>
                      <w:kern w:val="2"/>
                      <w:sz w:val="21"/>
                      <w:szCs w:val="21"/>
                      <w:lang w:val="en-US" w:eastAsia="zh-CN" w:bidi="ar-SA"/>
                    </w:rPr>
                    <w:t>k</w:t>
                  </w:r>
                  <w:r>
                    <w:rPr>
                      <w:rFonts w:hint="default" w:ascii="Times New Roman" w:hAnsi="Times New Roman" w:eastAsia="宋体" w:cs="Times New Roman"/>
                      <w:b w:val="0"/>
                      <w:bCs w:val="0"/>
                      <w:color w:val="auto"/>
                      <w:kern w:val="2"/>
                      <w:sz w:val="21"/>
                      <w:szCs w:val="21"/>
                      <w:lang w:val="en-US" w:eastAsia="zh-CN" w:bidi="ar-SA"/>
                    </w:rPr>
                    <w:t>W</w:t>
                  </w:r>
                </w:p>
              </w:tc>
            </w:tr>
            <w:tr w14:paraId="4BCF2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Align w:val="center"/>
                </w:tcPr>
                <w:p w14:paraId="22B28A4A">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19</w:t>
                  </w:r>
                </w:p>
              </w:tc>
              <w:tc>
                <w:tcPr>
                  <w:tcW w:w="1001" w:type="pct"/>
                  <w:vAlign w:val="center"/>
                </w:tcPr>
                <w:p w14:paraId="3DDC5F22">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冷却水塔</w:t>
                  </w:r>
                </w:p>
              </w:tc>
              <w:tc>
                <w:tcPr>
                  <w:tcW w:w="490" w:type="pct"/>
                  <w:vAlign w:val="center"/>
                </w:tcPr>
                <w:p w14:paraId="24DD6CA9">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台</w:t>
                  </w:r>
                </w:p>
              </w:tc>
              <w:tc>
                <w:tcPr>
                  <w:tcW w:w="518" w:type="pct"/>
                  <w:vAlign w:val="center"/>
                </w:tcPr>
                <w:p w14:paraId="476A14F1">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3</w:t>
                  </w:r>
                </w:p>
              </w:tc>
              <w:tc>
                <w:tcPr>
                  <w:tcW w:w="1303" w:type="pct"/>
                  <w:shd w:val="clear" w:color="auto" w:fill="auto"/>
                  <w:vAlign w:val="center"/>
                </w:tcPr>
                <w:p w14:paraId="3DFC88C4">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辅助设备</w:t>
                  </w:r>
                </w:p>
              </w:tc>
              <w:tc>
                <w:tcPr>
                  <w:tcW w:w="1255" w:type="pct"/>
                  <w:vAlign w:val="center"/>
                </w:tcPr>
                <w:p w14:paraId="134A6CE8">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循环水量：</w:t>
                  </w:r>
                  <w:r>
                    <w:rPr>
                      <w:rFonts w:hint="default" w:ascii="Times New Roman" w:hAnsi="Times New Roman" w:eastAsia="宋体" w:cs="Times New Roman"/>
                      <w:b w:val="0"/>
                      <w:bCs w:val="0"/>
                      <w:color w:val="auto"/>
                      <w:kern w:val="2"/>
                      <w:sz w:val="21"/>
                      <w:szCs w:val="21"/>
                      <w:lang w:val="en-US" w:eastAsia="zh-CN" w:bidi="ar-SA"/>
                    </w:rPr>
                    <w:t>2t/h</w:t>
                  </w:r>
                </w:p>
              </w:tc>
            </w:tr>
          </w:tbl>
          <w:p w14:paraId="656CFB48">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设备与产能匹配性分析：</w:t>
            </w:r>
          </w:p>
          <w:p w14:paraId="00CADAC2">
            <w:pPr>
              <w:keepNext/>
              <w:keepLines/>
              <w:ind w:firstLine="480" w:firstLineChars="200"/>
              <w:jc w:val="left"/>
              <w:outlineLvl w:val="2"/>
              <w:rPr>
                <w:rFonts w:hint="default" w:ascii="Times New Roman" w:hAnsi="Times New Roman" w:cs="Times New Roman"/>
                <w:bCs/>
                <w:color w:val="auto"/>
                <w:szCs w:val="22"/>
              </w:rPr>
            </w:pPr>
            <w:r>
              <w:rPr>
                <w:rFonts w:hint="default" w:ascii="Times New Roman" w:hAnsi="Times New Roman" w:cs="Times New Roman"/>
                <w:bCs/>
                <w:color w:val="auto"/>
                <w:szCs w:val="22"/>
              </w:rPr>
              <w:t>项目</w:t>
            </w:r>
            <w:r>
              <w:rPr>
                <w:rFonts w:hint="default" w:ascii="Times New Roman" w:hAnsi="Times New Roman" w:cs="Times New Roman"/>
                <w:bCs/>
                <w:color w:val="auto"/>
                <w:szCs w:val="22"/>
                <w:lang w:val="en-US" w:eastAsia="zh-CN"/>
              </w:rPr>
              <w:t>硅胶制品主要生产设备为密炼机和平板硫化机，模具主要生产设备为CNC电脑锣</w:t>
            </w:r>
            <w:r>
              <w:rPr>
                <w:rFonts w:hint="default" w:ascii="Times New Roman" w:hAnsi="Times New Roman" w:cs="Times New Roman"/>
                <w:bCs/>
                <w:color w:val="auto"/>
                <w:szCs w:val="22"/>
              </w:rPr>
              <w:t>，</w:t>
            </w:r>
            <w:r>
              <w:rPr>
                <w:rFonts w:hint="default" w:ascii="Times New Roman" w:hAnsi="Times New Roman" w:cs="Times New Roman"/>
                <w:bCs/>
                <w:color w:val="auto"/>
                <w:szCs w:val="22"/>
                <w:lang w:val="en-US" w:eastAsia="zh-CN"/>
              </w:rPr>
              <w:t>喷漆工艺主要设备为喷枪，移印工序主要设备为移印机。</w:t>
            </w:r>
            <w:r>
              <w:rPr>
                <w:rFonts w:hint="default" w:ascii="Times New Roman" w:hAnsi="Times New Roman" w:cs="Times New Roman"/>
                <w:bCs/>
                <w:color w:val="auto"/>
                <w:szCs w:val="22"/>
              </w:rPr>
              <w:t>据不同设备处理方式的不同，项目按下列</w:t>
            </w:r>
            <w:r>
              <w:rPr>
                <w:rFonts w:hint="default" w:ascii="Times New Roman" w:hAnsi="Times New Roman" w:cs="Times New Roman"/>
                <w:bCs/>
                <w:color w:val="auto"/>
                <w:szCs w:val="22"/>
                <w:lang w:val="en-US" w:eastAsia="zh-CN"/>
              </w:rPr>
              <w:t>两</w:t>
            </w:r>
            <w:r>
              <w:rPr>
                <w:rFonts w:hint="default" w:ascii="Times New Roman" w:hAnsi="Times New Roman" w:cs="Times New Roman"/>
                <w:bCs/>
                <w:color w:val="auto"/>
                <w:szCs w:val="22"/>
              </w:rPr>
              <w:t>表分析设备与产能匹配性。由下表可以看出，项目主要生产设备实际产能均未超过设计最大处理能力，具有匹配性。</w:t>
            </w:r>
          </w:p>
          <w:p w14:paraId="69323B4E">
            <w:pPr>
              <w:pStyle w:val="82"/>
              <w:numPr>
                <w:ilvl w:val="0"/>
                <w:numId w:val="0"/>
              </w:numPr>
              <w:bidi w:val="0"/>
              <w:spacing w:line="240" w:lineRule="auto"/>
              <w:ind w:leftChars="0"/>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b/>
                <w:color w:val="auto"/>
                <w:sz w:val="24"/>
                <w:szCs w:val="24"/>
                <w:lang w:val="en-US" w:eastAsia="zh-CN"/>
              </w:rPr>
              <w:t>表2-8 项目主要生产</w:t>
            </w:r>
            <w:bookmarkStart w:id="6" w:name="设备与产能匹配性分析"/>
            <w:bookmarkStart w:id="7" w:name="项目主要原辅材料理化性质"/>
            <w:r>
              <w:rPr>
                <w:rFonts w:hint="default" w:ascii="Times New Roman" w:hAnsi="Times New Roman" w:cs="Times New Roman"/>
                <w:b/>
                <w:color w:val="auto"/>
                <w:sz w:val="24"/>
                <w:szCs w:val="24"/>
                <w:lang w:val="en-US" w:eastAsia="zh-CN"/>
              </w:rPr>
              <w:t>设备与产能匹配性</w:t>
            </w:r>
            <w:bookmarkEnd w:id="6"/>
            <w:bookmarkEnd w:id="7"/>
            <w:r>
              <w:rPr>
                <w:rFonts w:hint="default" w:ascii="Times New Roman" w:hAnsi="Times New Roman" w:cs="Times New Roman"/>
                <w:b/>
                <w:color w:val="auto"/>
                <w:sz w:val="24"/>
                <w:szCs w:val="24"/>
                <w:lang w:val="en-US" w:eastAsia="zh-CN"/>
              </w:rPr>
              <w:t>一览表（1）</w:t>
            </w:r>
          </w:p>
          <w:tbl>
            <w:tblPr>
              <w:tblStyle w:val="23"/>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976"/>
              <w:gridCol w:w="1230"/>
              <w:gridCol w:w="555"/>
              <w:gridCol w:w="996"/>
              <w:gridCol w:w="1011"/>
              <w:gridCol w:w="1087"/>
              <w:gridCol w:w="964"/>
              <w:gridCol w:w="848"/>
              <w:gridCol w:w="706"/>
            </w:tblGrid>
            <w:tr w14:paraId="20D82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465" w:type="dxa"/>
                  <w:noWrap w:val="0"/>
                  <w:vAlign w:val="center"/>
                </w:tcPr>
                <w:p w14:paraId="607E7D98">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序号</w:t>
                  </w:r>
                </w:p>
              </w:tc>
              <w:tc>
                <w:tcPr>
                  <w:tcW w:w="976" w:type="dxa"/>
                  <w:noWrap w:val="0"/>
                  <w:vAlign w:val="center"/>
                </w:tcPr>
                <w:p w14:paraId="25457156">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设备名称</w:t>
                  </w:r>
                </w:p>
              </w:tc>
              <w:tc>
                <w:tcPr>
                  <w:tcW w:w="1230" w:type="dxa"/>
                  <w:noWrap w:val="0"/>
                  <w:vAlign w:val="center"/>
                </w:tcPr>
                <w:p w14:paraId="7846BAA6">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产品/原料</w:t>
                  </w:r>
                </w:p>
              </w:tc>
              <w:tc>
                <w:tcPr>
                  <w:tcW w:w="555" w:type="dxa"/>
                  <w:noWrap w:val="0"/>
                  <w:vAlign w:val="center"/>
                </w:tcPr>
                <w:p w14:paraId="583E8376">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数量/台</w:t>
                  </w:r>
                </w:p>
              </w:tc>
              <w:tc>
                <w:tcPr>
                  <w:tcW w:w="996" w:type="dxa"/>
                  <w:noWrap w:val="0"/>
                  <w:vAlign w:val="center"/>
                </w:tcPr>
                <w:p w14:paraId="6E7C52C3">
                  <w:pPr>
                    <w:pStyle w:val="3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sz w:val="21"/>
                      <w:szCs w:val="21"/>
                      <w:vertAlign w:val="baseline"/>
                      <w:lang w:val="en-US" w:eastAsia="zh-CN"/>
                    </w:rPr>
                    <w:t>设备年工作时间</w:t>
                  </w:r>
                </w:p>
              </w:tc>
              <w:tc>
                <w:tcPr>
                  <w:tcW w:w="1011" w:type="dxa"/>
                  <w:noWrap w:val="0"/>
                  <w:vAlign w:val="center"/>
                </w:tcPr>
                <w:p w14:paraId="018F80FC">
                  <w:pPr>
                    <w:pStyle w:val="3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cs="Times New Roman"/>
                      <w:b/>
                      <w:bCs/>
                      <w:color w:val="auto"/>
                      <w:sz w:val="21"/>
                      <w:szCs w:val="21"/>
                      <w:lang w:val="en-US" w:eastAsia="zh-CN"/>
                    </w:rPr>
                    <w:t>单台设备设计处理能力</w:t>
                  </w:r>
                </w:p>
              </w:tc>
              <w:tc>
                <w:tcPr>
                  <w:tcW w:w="1087" w:type="dxa"/>
                  <w:noWrap w:val="0"/>
                  <w:vAlign w:val="center"/>
                </w:tcPr>
                <w:p w14:paraId="34C4A574">
                  <w:pPr>
                    <w:pStyle w:val="3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b/>
                      <w:bCs/>
                      <w:color w:val="auto"/>
                      <w:sz w:val="21"/>
                      <w:szCs w:val="21"/>
                      <w:lang w:val="en-US" w:eastAsia="zh-CN"/>
                    </w:rPr>
                    <w:t>最大理论产能/处理能力</w:t>
                  </w:r>
                </w:p>
              </w:tc>
              <w:tc>
                <w:tcPr>
                  <w:tcW w:w="964" w:type="dxa"/>
                  <w:noWrap w:val="0"/>
                  <w:vAlign w:val="center"/>
                </w:tcPr>
                <w:p w14:paraId="7B5DBF64">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cs="Times New Roman"/>
                      <w:b/>
                      <w:bCs/>
                      <w:color w:val="auto"/>
                      <w:sz w:val="21"/>
                      <w:szCs w:val="21"/>
                      <w:lang w:val="en-US" w:eastAsia="zh-CN"/>
                    </w:rPr>
                    <w:t>实际产能/处理原料量</w:t>
                  </w:r>
                </w:p>
              </w:tc>
              <w:tc>
                <w:tcPr>
                  <w:tcW w:w="848" w:type="dxa"/>
                  <w:noWrap w:val="0"/>
                  <w:vAlign w:val="center"/>
                </w:tcPr>
                <w:p w14:paraId="1D3FE7A2">
                  <w:pPr>
                    <w:pStyle w:val="3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比例</w:t>
                  </w:r>
                </w:p>
              </w:tc>
              <w:tc>
                <w:tcPr>
                  <w:tcW w:w="706" w:type="dxa"/>
                  <w:noWrap w:val="0"/>
                  <w:vAlign w:val="center"/>
                </w:tcPr>
                <w:p w14:paraId="72D2A8FF">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匹配性</w:t>
                  </w:r>
                </w:p>
              </w:tc>
            </w:tr>
            <w:tr w14:paraId="324C3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65" w:type="dxa"/>
                  <w:noWrap w:val="0"/>
                  <w:vAlign w:val="center"/>
                </w:tcPr>
                <w:p w14:paraId="14925716">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976" w:type="dxa"/>
                  <w:noWrap w:val="0"/>
                  <w:vAlign w:val="center"/>
                </w:tcPr>
                <w:p w14:paraId="2154676E">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注塑机</w:t>
                  </w:r>
                </w:p>
              </w:tc>
              <w:tc>
                <w:tcPr>
                  <w:tcW w:w="1230" w:type="dxa"/>
                  <w:noWrap w:val="0"/>
                  <w:vAlign w:val="center"/>
                </w:tcPr>
                <w:p w14:paraId="6EB8E138">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xml:space="preserve">塑胶粒、尼龙、色母粒 </w:t>
                  </w:r>
                </w:p>
              </w:tc>
              <w:tc>
                <w:tcPr>
                  <w:tcW w:w="555" w:type="dxa"/>
                  <w:noWrap w:val="0"/>
                  <w:vAlign w:val="center"/>
                </w:tcPr>
                <w:p w14:paraId="686AF2D4">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38</w:t>
                  </w:r>
                </w:p>
              </w:tc>
              <w:tc>
                <w:tcPr>
                  <w:tcW w:w="996" w:type="dxa"/>
                  <w:noWrap w:val="0"/>
                  <w:vAlign w:val="center"/>
                </w:tcPr>
                <w:p w14:paraId="26A5E6D4">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4800h/a</w:t>
                  </w:r>
                </w:p>
              </w:tc>
              <w:tc>
                <w:tcPr>
                  <w:tcW w:w="1011" w:type="dxa"/>
                  <w:noWrap w:val="0"/>
                  <w:vAlign w:val="center"/>
                </w:tcPr>
                <w:p w14:paraId="1AF2906C">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3.2kg/h</w:t>
                  </w:r>
                </w:p>
              </w:tc>
              <w:tc>
                <w:tcPr>
                  <w:tcW w:w="1087" w:type="dxa"/>
                  <w:noWrap w:val="0"/>
                  <w:vAlign w:val="center"/>
                </w:tcPr>
                <w:p w14:paraId="0A17EA75">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583.68t/a</w:t>
                  </w:r>
                </w:p>
              </w:tc>
              <w:tc>
                <w:tcPr>
                  <w:tcW w:w="964" w:type="dxa"/>
                  <w:noWrap w:val="0"/>
                  <w:vAlign w:val="center"/>
                </w:tcPr>
                <w:p w14:paraId="2E2A4F2E">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515t/a</w:t>
                  </w:r>
                </w:p>
              </w:tc>
              <w:tc>
                <w:tcPr>
                  <w:tcW w:w="848" w:type="dxa"/>
                  <w:noWrap w:val="0"/>
                  <w:vAlign w:val="center"/>
                </w:tcPr>
                <w:p w14:paraId="467F3C75">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88%</w:t>
                  </w:r>
                </w:p>
              </w:tc>
              <w:tc>
                <w:tcPr>
                  <w:tcW w:w="706" w:type="dxa"/>
                  <w:noWrap w:val="0"/>
                  <w:vAlign w:val="center"/>
                </w:tcPr>
                <w:p w14:paraId="3CD1E3FD">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匹配</w:t>
                  </w:r>
                </w:p>
              </w:tc>
            </w:tr>
            <w:tr w14:paraId="0D653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65" w:type="dxa"/>
                  <w:noWrap w:val="0"/>
                  <w:vAlign w:val="center"/>
                </w:tcPr>
                <w:p w14:paraId="4C485B88">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976" w:type="dxa"/>
                  <w:noWrap w:val="0"/>
                  <w:vAlign w:val="center"/>
                </w:tcPr>
                <w:p w14:paraId="0D895D4C">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移印机</w:t>
                  </w:r>
                </w:p>
              </w:tc>
              <w:tc>
                <w:tcPr>
                  <w:tcW w:w="1230" w:type="dxa"/>
                  <w:noWrap w:val="0"/>
                  <w:vAlign w:val="center"/>
                </w:tcPr>
                <w:p w14:paraId="226FE0DC">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硅胶耳机套</w:t>
                  </w:r>
                </w:p>
              </w:tc>
              <w:tc>
                <w:tcPr>
                  <w:tcW w:w="555" w:type="dxa"/>
                  <w:noWrap w:val="0"/>
                  <w:vAlign w:val="center"/>
                </w:tcPr>
                <w:p w14:paraId="4BFEF1C5">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10</w:t>
                  </w:r>
                </w:p>
              </w:tc>
              <w:tc>
                <w:tcPr>
                  <w:tcW w:w="996" w:type="dxa"/>
                  <w:noWrap w:val="0"/>
                  <w:vAlign w:val="center"/>
                </w:tcPr>
                <w:p w14:paraId="112D2766">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4800h/a</w:t>
                  </w:r>
                </w:p>
              </w:tc>
              <w:tc>
                <w:tcPr>
                  <w:tcW w:w="1011" w:type="dxa"/>
                  <w:noWrap w:val="0"/>
                  <w:vAlign w:val="center"/>
                </w:tcPr>
                <w:p w14:paraId="7A8B2712">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15000个/h</w:t>
                  </w:r>
                </w:p>
              </w:tc>
              <w:tc>
                <w:tcPr>
                  <w:tcW w:w="1087" w:type="dxa"/>
                  <w:noWrap w:val="0"/>
                  <w:vAlign w:val="center"/>
                </w:tcPr>
                <w:p w14:paraId="77C17CA6">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7.2亿个/a</w:t>
                  </w:r>
                </w:p>
              </w:tc>
              <w:tc>
                <w:tcPr>
                  <w:tcW w:w="964" w:type="dxa"/>
                  <w:noWrap w:val="0"/>
                  <w:vAlign w:val="center"/>
                </w:tcPr>
                <w:p w14:paraId="07047624">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6亿个/a</w:t>
                  </w:r>
                </w:p>
              </w:tc>
              <w:tc>
                <w:tcPr>
                  <w:tcW w:w="848" w:type="dxa"/>
                  <w:noWrap w:val="0"/>
                  <w:vAlign w:val="center"/>
                </w:tcPr>
                <w:p w14:paraId="52C2F862">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83.3%</w:t>
                  </w:r>
                </w:p>
              </w:tc>
              <w:tc>
                <w:tcPr>
                  <w:tcW w:w="706" w:type="dxa"/>
                  <w:noWrap w:val="0"/>
                  <w:vAlign w:val="center"/>
                </w:tcPr>
                <w:p w14:paraId="1AC4ABC1">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匹配</w:t>
                  </w:r>
                </w:p>
              </w:tc>
            </w:tr>
            <w:tr w14:paraId="7F936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65" w:type="dxa"/>
                  <w:noWrap w:val="0"/>
                  <w:vAlign w:val="center"/>
                </w:tcPr>
                <w:p w14:paraId="2DFADE13">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976" w:type="dxa"/>
                  <w:noWrap w:val="0"/>
                  <w:vAlign w:val="center"/>
                </w:tcPr>
                <w:p w14:paraId="3A6EBEA2">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密炼机</w:t>
                  </w:r>
                </w:p>
              </w:tc>
              <w:tc>
                <w:tcPr>
                  <w:tcW w:w="1230" w:type="dxa"/>
                  <w:noWrap w:val="0"/>
                  <w:vAlign w:val="center"/>
                </w:tcPr>
                <w:p w14:paraId="31CCAF42">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硅胶耳机套</w:t>
                  </w:r>
                </w:p>
              </w:tc>
              <w:tc>
                <w:tcPr>
                  <w:tcW w:w="555" w:type="dxa"/>
                  <w:noWrap w:val="0"/>
                  <w:vAlign w:val="center"/>
                </w:tcPr>
                <w:p w14:paraId="1AEC02B4">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c>
                <w:tcPr>
                  <w:tcW w:w="996" w:type="dxa"/>
                  <w:noWrap w:val="0"/>
                  <w:vAlign w:val="center"/>
                </w:tcPr>
                <w:p w14:paraId="29CED434">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4800h/a</w:t>
                  </w:r>
                </w:p>
              </w:tc>
              <w:tc>
                <w:tcPr>
                  <w:tcW w:w="1011" w:type="dxa"/>
                  <w:noWrap w:val="0"/>
                  <w:vAlign w:val="center"/>
                </w:tcPr>
                <w:p w14:paraId="0948C07E">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31kg/h</w:t>
                  </w:r>
                </w:p>
              </w:tc>
              <w:tc>
                <w:tcPr>
                  <w:tcW w:w="1087" w:type="dxa"/>
                  <w:noWrap w:val="0"/>
                  <w:vAlign w:val="center"/>
                </w:tcPr>
                <w:p w14:paraId="7CC88338">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595t/a</w:t>
                  </w:r>
                </w:p>
              </w:tc>
              <w:tc>
                <w:tcPr>
                  <w:tcW w:w="964" w:type="dxa"/>
                  <w:noWrap w:val="0"/>
                  <w:vAlign w:val="center"/>
                </w:tcPr>
                <w:p w14:paraId="3A7E668C">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500t/a</w:t>
                  </w:r>
                </w:p>
              </w:tc>
              <w:tc>
                <w:tcPr>
                  <w:tcW w:w="848" w:type="dxa"/>
                  <w:noWrap w:val="0"/>
                  <w:vAlign w:val="center"/>
                </w:tcPr>
                <w:p w14:paraId="1C36E635">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84%</w:t>
                  </w:r>
                </w:p>
              </w:tc>
              <w:tc>
                <w:tcPr>
                  <w:tcW w:w="706" w:type="dxa"/>
                  <w:noWrap w:val="0"/>
                  <w:vAlign w:val="center"/>
                </w:tcPr>
                <w:p w14:paraId="6D4CE01B">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匹配</w:t>
                  </w:r>
                </w:p>
              </w:tc>
            </w:tr>
            <w:tr w14:paraId="47306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65" w:type="dxa"/>
                  <w:noWrap w:val="0"/>
                  <w:vAlign w:val="center"/>
                </w:tcPr>
                <w:p w14:paraId="39FA5CBD">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c>
                <w:tcPr>
                  <w:tcW w:w="976" w:type="dxa"/>
                  <w:noWrap w:val="0"/>
                  <w:vAlign w:val="center"/>
                </w:tcPr>
                <w:p w14:paraId="0A522EF4">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平板硫化机</w:t>
                  </w:r>
                </w:p>
              </w:tc>
              <w:tc>
                <w:tcPr>
                  <w:tcW w:w="1230" w:type="dxa"/>
                  <w:noWrap w:val="0"/>
                  <w:vAlign w:val="center"/>
                </w:tcPr>
                <w:p w14:paraId="1AB825B7">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硅胶耳机套、耳挂线</w:t>
                  </w:r>
                </w:p>
              </w:tc>
              <w:tc>
                <w:tcPr>
                  <w:tcW w:w="555" w:type="dxa"/>
                  <w:noWrap w:val="0"/>
                  <w:vAlign w:val="center"/>
                </w:tcPr>
                <w:p w14:paraId="1F361EFB">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w:t>
                  </w:r>
                </w:p>
              </w:tc>
              <w:tc>
                <w:tcPr>
                  <w:tcW w:w="996" w:type="dxa"/>
                  <w:noWrap w:val="0"/>
                  <w:vAlign w:val="center"/>
                </w:tcPr>
                <w:p w14:paraId="1C8C11FF">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4800h/a</w:t>
                  </w:r>
                </w:p>
              </w:tc>
              <w:tc>
                <w:tcPr>
                  <w:tcW w:w="1011" w:type="dxa"/>
                  <w:noWrap w:val="0"/>
                  <w:vAlign w:val="center"/>
                </w:tcPr>
                <w:p w14:paraId="3DB36797">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28kg/h</w:t>
                  </w:r>
                </w:p>
              </w:tc>
              <w:tc>
                <w:tcPr>
                  <w:tcW w:w="1087" w:type="dxa"/>
                  <w:noWrap w:val="0"/>
                  <w:vAlign w:val="center"/>
                </w:tcPr>
                <w:p w14:paraId="1F353AAE">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1344t/a</w:t>
                  </w:r>
                </w:p>
              </w:tc>
              <w:tc>
                <w:tcPr>
                  <w:tcW w:w="964" w:type="dxa"/>
                  <w:noWrap w:val="0"/>
                  <w:vAlign w:val="center"/>
                </w:tcPr>
                <w:p w14:paraId="0221FE67">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1100t/a</w:t>
                  </w:r>
                </w:p>
              </w:tc>
              <w:tc>
                <w:tcPr>
                  <w:tcW w:w="848" w:type="dxa"/>
                  <w:noWrap w:val="0"/>
                  <w:vAlign w:val="center"/>
                </w:tcPr>
                <w:p w14:paraId="41B1AD68">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81.8%</w:t>
                  </w:r>
                </w:p>
              </w:tc>
              <w:tc>
                <w:tcPr>
                  <w:tcW w:w="706" w:type="dxa"/>
                  <w:noWrap w:val="0"/>
                  <w:vAlign w:val="center"/>
                </w:tcPr>
                <w:p w14:paraId="45C1CD74">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匹配</w:t>
                  </w:r>
                </w:p>
              </w:tc>
            </w:tr>
            <w:tr w14:paraId="7661D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65" w:type="dxa"/>
                  <w:noWrap w:val="0"/>
                  <w:vAlign w:val="center"/>
                </w:tcPr>
                <w:p w14:paraId="38EB649C">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w:t>
                  </w:r>
                </w:p>
              </w:tc>
              <w:tc>
                <w:tcPr>
                  <w:tcW w:w="976" w:type="dxa"/>
                  <w:noWrap w:val="0"/>
                  <w:vAlign w:val="center"/>
                </w:tcPr>
                <w:p w14:paraId="62AC8864">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CNC机</w:t>
                  </w:r>
                </w:p>
              </w:tc>
              <w:tc>
                <w:tcPr>
                  <w:tcW w:w="1230" w:type="dxa"/>
                  <w:noWrap w:val="0"/>
                  <w:vAlign w:val="center"/>
                </w:tcPr>
                <w:p w14:paraId="51E52F60">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钢材</w:t>
                  </w:r>
                </w:p>
              </w:tc>
              <w:tc>
                <w:tcPr>
                  <w:tcW w:w="555" w:type="dxa"/>
                  <w:noWrap w:val="0"/>
                  <w:vAlign w:val="center"/>
                </w:tcPr>
                <w:p w14:paraId="4AB9D344">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6</w:t>
                  </w:r>
                </w:p>
              </w:tc>
              <w:tc>
                <w:tcPr>
                  <w:tcW w:w="996" w:type="dxa"/>
                  <w:noWrap w:val="0"/>
                  <w:vAlign w:val="center"/>
                </w:tcPr>
                <w:p w14:paraId="4993012C">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4800h/a</w:t>
                  </w:r>
                </w:p>
              </w:tc>
              <w:tc>
                <w:tcPr>
                  <w:tcW w:w="1011" w:type="dxa"/>
                  <w:noWrap w:val="0"/>
                  <w:vAlign w:val="center"/>
                </w:tcPr>
                <w:p w14:paraId="440F84E2">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1kg/h</w:t>
                  </w:r>
                </w:p>
              </w:tc>
              <w:tc>
                <w:tcPr>
                  <w:tcW w:w="1087" w:type="dxa"/>
                  <w:noWrap w:val="0"/>
                  <w:vAlign w:val="center"/>
                </w:tcPr>
                <w:p w14:paraId="287E3D2A">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28.8t/a</w:t>
                  </w:r>
                </w:p>
              </w:tc>
              <w:tc>
                <w:tcPr>
                  <w:tcW w:w="964" w:type="dxa"/>
                  <w:noWrap w:val="0"/>
                  <w:vAlign w:val="center"/>
                </w:tcPr>
                <w:p w14:paraId="63B36555">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25t/a</w:t>
                  </w:r>
                </w:p>
              </w:tc>
              <w:tc>
                <w:tcPr>
                  <w:tcW w:w="848" w:type="dxa"/>
                  <w:noWrap w:val="0"/>
                  <w:vAlign w:val="center"/>
                </w:tcPr>
                <w:p w14:paraId="44A444C7">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86.8%</w:t>
                  </w:r>
                </w:p>
              </w:tc>
              <w:tc>
                <w:tcPr>
                  <w:tcW w:w="706" w:type="dxa"/>
                  <w:noWrap w:val="0"/>
                  <w:vAlign w:val="center"/>
                </w:tcPr>
                <w:p w14:paraId="259878F1">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匹配</w:t>
                  </w:r>
                </w:p>
              </w:tc>
            </w:tr>
          </w:tbl>
          <w:p w14:paraId="3CC66A0E">
            <w:pPr>
              <w:spacing w:line="240" w:lineRule="auto"/>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表2-9 项目喷漆位（喷枪）设备产能匹配性一览表</w:t>
            </w:r>
          </w:p>
          <w:tbl>
            <w:tblPr>
              <w:tblStyle w:val="22"/>
              <w:tblW w:w="8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011"/>
              <w:gridCol w:w="808"/>
              <w:gridCol w:w="1171"/>
              <w:gridCol w:w="1062"/>
              <w:gridCol w:w="1036"/>
              <w:gridCol w:w="974"/>
              <w:gridCol w:w="974"/>
              <w:gridCol w:w="823"/>
            </w:tblGrid>
            <w:tr w14:paraId="18666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7" w:type="dxa"/>
                  <w:noWrap w:val="0"/>
                  <w:vAlign w:val="center"/>
                </w:tcPr>
                <w:p w14:paraId="7BD902D0">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auto"/>
                      <w:sz w:val="21"/>
                      <w:szCs w:val="21"/>
                      <w:u w:val="none"/>
                      <w:lang w:val="en-US"/>
                    </w:rPr>
                  </w:pPr>
                  <w:r>
                    <w:rPr>
                      <w:rFonts w:hint="default" w:ascii="Times New Roman" w:hAnsi="Times New Roman" w:eastAsia="宋体" w:cs="Times New Roman"/>
                      <w:b/>
                      <w:bCs/>
                      <w:i w:val="0"/>
                      <w:iCs w:val="0"/>
                      <w:color w:val="auto"/>
                      <w:kern w:val="0"/>
                      <w:sz w:val="21"/>
                      <w:szCs w:val="21"/>
                      <w:u w:val="none"/>
                      <w:lang w:val="en-US" w:eastAsia="zh-CN" w:bidi="ar"/>
                    </w:rPr>
                    <w:t>喷涂方式</w:t>
                  </w:r>
                </w:p>
              </w:tc>
              <w:tc>
                <w:tcPr>
                  <w:tcW w:w="1011" w:type="dxa"/>
                  <w:noWrap w:val="0"/>
                  <w:vAlign w:val="center"/>
                </w:tcPr>
                <w:p w14:paraId="5236926D">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对应设备</w:t>
                  </w:r>
                </w:p>
              </w:tc>
              <w:tc>
                <w:tcPr>
                  <w:tcW w:w="808" w:type="dxa"/>
                  <w:noWrap w:val="0"/>
                  <w:vAlign w:val="center"/>
                </w:tcPr>
                <w:p w14:paraId="5CA6F715">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喷枪数量（个）</w:t>
                  </w:r>
                </w:p>
              </w:tc>
              <w:tc>
                <w:tcPr>
                  <w:tcW w:w="1171" w:type="dxa"/>
                  <w:noWrap w:val="0"/>
                  <w:vAlign w:val="center"/>
                </w:tcPr>
                <w:p w14:paraId="35BFE8CD">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喷枪流速（L/min）</w:t>
                  </w:r>
                </w:p>
              </w:tc>
              <w:tc>
                <w:tcPr>
                  <w:tcW w:w="1062" w:type="dxa"/>
                  <w:noWrap w:val="0"/>
                  <w:vAlign w:val="center"/>
                </w:tcPr>
                <w:p w14:paraId="4AEA06A3">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每年工作时间（h）</w:t>
                  </w:r>
                </w:p>
              </w:tc>
              <w:tc>
                <w:tcPr>
                  <w:tcW w:w="1036" w:type="dxa"/>
                  <w:noWrap w:val="0"/>
                  <w:vAlign w:val="center"/>
                </w:tcPr>
                <w:p w14:paraId="186E3A09">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水性漆密度（g/cm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w:t>
                  </w:r>
                </w:p>
              </w:tc>
              <w:tc>
                <w:tcPr>
                  <w:tcW w:w="974" w:type="dxa"/>
                  <w:noWrap w:val="0"/>
                  <w:vAlign w:val="center"/>
                </w:tcPr>
                <w:p w14:paraId="142BC2FD">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理论年喷水性漆量（t/a）</w:t>
                  </w:r>
                </w:p>
              </w:tc>
              <w:tc>
                <w:tcPr>
                  <w:tcW w:w="974" w:type="dxa"/>
                  <w:noWrap w:val="0"/>
                  <w:vAlign w:val="center"/>
                </w:tcPr>
                <w:p w14:paraId="20CA3204">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实际年喷水性漆量（t/a）</w:t>
                  </w:r>
                </w:p>
              </w:tc>
              <w:tc>
                <w:tcPr>
                  <w:tcW w:w="823" w:type="dxa"/>
                  <w:noWrap w:val="0"/>
                  <w:vAlign w:val="center"/>
                </w:tcPr>
                <w:p w14:paraId="7029BA6F">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匹配性</w:t>
                  </w:r>
                </w:p>
              </w:tc>
            </w:tr>
            <w:tr w14:paraId="68AF8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077" w:type="dxa"/>
                  <w:noWrap w:val="0"/>
                  <w:vAlign w:val="center"/>
                </w:tcPr>
                <w:p w14:paraId="50E7B308">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eastAsia="宋体" w:cs="Times New Roman"/>
                      <w:i w:val="0"/>
                      <w:iCs w:val="0"/>
                      <w:color w:val="auto"/>
                      <w:sz w:val="21"/>
                      <w:szCs w:val="21"/>
                      <w:u w:val="none"/>
                      <w:lang w:val="en-US" w:eastAsia="zh-CN"/>
                    </w:rPr>
                    <w:t>手动喷涂</w:t>
                  </w:r>
                </w:p>
              </w:tc>
              <w:tc>
                <w:tcPr>
                  <w:tcW w:w="1011" w:type="dxa"/>
                  <w:noWrap w:val="0"/>
                  <w:vAlign w:val="center"/>
                </w:tcPr>
                <w:p w14:paraId="5EBA41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snapToGrid w:val="0"/>
                      <w:color w:val="auto"/>
                      <w:kern w:val="0"/>
                      <w:sz w:val="21"/>
                      <w:szCs w:val="21"/>
                      <w:lang w:val="en-US" w:eastAsia="zh-CN" w:bidi="ar-SA"/>
                    </w:rPr>
                    <w:t>喷枪</w:t>
                  </w:r>
                </w:p>
              </w:tc>
              <w:tc>
                <w:tcPr>
                  <w:tcW w:w="808" w:type="dxa"/>
                  <w:noWrap w:val="0"/>
                  <w:vAlign w:val="center"/>
                </w:tcPr>
                <w:p w14:paraId="06B5435C">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cs="Times New Roman"/>
                      <w:i w:val="0"/>
                      <w:iCs w:val="0"/>
                      <w:color w:val="auto"/>
                      <w:sz w:val="21"/>
                      <w:szCs w:val="21"/>
                      <w:u w:val="none"/>
                      <w:lang w:val="en-US" w:eastAsia="zh-CN"/>
                    </w:rPr>
                    <w:t>2</w:t>
                  </w:r>
                </w:p>
              </w:tc>
              <w:tc>
                <w:tcPr>
                  <w:tcW w:w="1171" w:type="dxa"/>
                  <w:noWrap w:val="0"/>
                  <w:vAlign w:val="center"/>
                </w:tcPr>
                <w:p w14:paraId="182CD003">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cs="Times New Roman"/>
                      <w:i w:val="0"/>
                      <w:iCs w:val="0"/>
                      <w:color w:val="auto"/>
                      <w:sz w:val="21"/>
                      <w:szCs w:val="21"/>
                      <w:u w:val="none"/>
                      <w:lang w:val="en-US" w:eastAsia="zh-CN"/>
                    </w:rPr>
                    <w:t>0.12</w:t>
                  </w:r>
                </w:p>
              </w:tc>
              <w:tc>
                <w:tcPr>
                  <w:tcW w:w="1062" w:type="dxa"/>
                  <w:noWrap w:val="0"/>
                  <w:vAlign w:val="center"/>
                </w:tcPr>
                <w:p w14:paraId="6A1763B7">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600</w:t>
                  </w:r>
                </w:p>
              </w:tc>
              <w:tc>
                <w:tcPr>
                  <w:tcW w:w="1036" w:type="dxa"/>
                  <w:noWrap w:val="0"/>
                  <w:vAlign w:val="center"/>
                </w:tcPr>
                <w:p w14:paraId="4E600CCF">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1.25</w:t>
                  </w:r>
                </w:p>
              </w:tc>
              <w:tc>
                <w:tcPr>
                  <w:tcW w:w="974" w:type="dxa"/>
                  <w:noWrap w:val="0"/>
                  <w:vAlign w:val="center"/>
                </w:tcPr>
                <w:p w14:paraId="7B1C9433">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10.8</w:t>
                  </w:r>
                </w:p>
              </w:tc>
              <w:tc>
                <w:tcPr>
                  <w:tcW w:w="974" w:type="dxa"/>
                  <w:noWrap w:val="0"/>
                  <w:vAlign w:val="center"/>
                </w:tcPr>
                <w:p w14:paraId="3DA4ECA5">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8.9</w:t>
                  </w:r>
                </w:p>
              </w:tc>
              <w:tc>
                <w:tcPr>
                  <w:tcW w:w="823" w:type="dxa"/>
                  <w:noWrap w:val="0"/>
                  <w:vAlign w:val="center"/>
                </w:tcPr>
                <w:p w14:paraId="614F9684">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匹配</w:t>
                  </w:r>
                </w:p>
              </w:tc>
            </w:tr>
            <w:tr w14:paraId="394D2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936" w:type="dxa"/>
                  <w:gridSpan w:val="9"/>
                  <w:noWrap w:val="0"/>
                  <w:vAlign w:val="center"/>
                </w:tcPr>
                <w:p w14:paraId="3348B0AE">
                  <w:pPr>
                    <w:keepNext w:val="0"/>
                    <w:keepLines w:val="0"/>
                    <w:widowControl/>
                    <w:suppressLineNumbers w:val="0"/>
                    <w:wordWrap w:val="0"/>
                    <w:spacing w:before="0" w:beforeAutospacing="0" w:after="0" w:afterAutospacing="0" w:line="240" w:lineRule="auto"/>
                    <w:ind w:left="0" w:right="0" w:firstLine="0" w:firstLineChars="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注：喷枪的工件很少，按每天2小时计算喷枪工作时间。</w:t>
                  </w:r>
                </w:p>
              </w:tc>
            </w:tr>
          </w:tbl>
          <w:p w14:paraId="4664B4D2">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（6）项目能耗情况</w:t>
            </w:r>
          </w:p>
          <w:p w14:paraId="4B43C0FC">
            <w:pPr>
              <w:keepNext/>
              <w:keepLines/>
              <w:ind w:firstLine="480" w:firstLineChars="200"/>
              <w:jc w:val="left"/>
              <w:outlineLvl w:val="2"/>
              <w:rPr>
                <w:rFonts w:hint="default" w:ascii="Times New Roman" w:hAnsi="Times New Roman" w:cs="Times New Roman"/>
                <w:color w:val="auto"/>
                <w:szCs w:val="22"/>
              </w:rPr>
            </w:pPr>
            <w:r>
              <w:rPr>
                <w:rFonts w:hint="default" w:ascii="Times New Roman" w:hAnsi="Times New Roman" w:cs="Times New Roman"/>
                <w:color w:val="auto"/>
                <w:szCs w:val="22"/>
              </w:rPr>
              <w:t>项目用电由当地供电局统一供应，主要用于照明、设备运行和日常生活等；项目用电量约为</w:t>
            </w:r>
            <w:r>
              <w:rPr>
                <w:rFonts w:hint="default" w:ascii="Times New Roman" w:hAnsi="Times New Roman" w:cs="Times New Roman"/>
                <w:color w:val="auto"/>
                <w:szCs w:val="22"/>
                <w:lang w:val="en-US" w:eastAsia="zh-CN"/>
              </w:rPr>
              <w:t>80</w:t>
            </w:r>
            <w:r>
              <w:rPr>
                <w:rFonts w:hint="default" w:ascii="Times New Roman" w:hAnsi="Times New Roman" w:cs="Times New Roman"/>
                <w:color w:val="auto"/>
                <w:szCs w:val="22"/>
              </w:rPr>
              <w:t>万kW·h/a，不设备用发电机。</w:t>
            </w:r>
          </w:p>
          <w:p w14:paraId="5DDE880F">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（7）劳动定员及工作制度</w:t>
            </w:r>
          </w:p>
          <w:p w14:paraId="43D36112">
            <w:pPr>
              <w:ind w:firstLine="480" w:firstLineChars="200"/>
              <w:jc w:val="left"/>
              <w:rPr>
                <w:rFonts w:hint="default" w:ascii="Times New Roman" w:hAnsi="Times New Roman" w:cs="Times New Roman"/>
                <w:color w:val="auto"/>
                <w:kern w:val="0"/>
              </w:rPr>
            </w:pPr>
            <w:r>
              <w:rPr>
                <w:rFonts w:hint="default" w:ascii="Times New Roman" w:hAnsi="Times New Roman" w:cs="Times New Roman"/>
                <w:color w:val="auto"/>
                <w:kern w:val="0"/>
              </w:rPr>
              <w:t>项目拟招员工</w:t>
            </w:r>
            <w:r>
              <w:rPr>
                <w:rFonts w:hint="default" w:ascii="Times New Roman" w:hAnsi="Times New Roman" w:cs="Times New Roman"/>
                <w:color w:val="auto"/>
                <w:kern w:val="0"/>
                <w:lang w:val="en-US" w:eastAsia="zh-CN"/>
              </w:rPr>
              <w:t>50</w:t>
            </w:r>
            <w:r>
              <w:rPr>
                <w:rFonts w:hint="default" w:ascii="Times New Roman" w:hAnsi="Times New Roman" w:cs="Times New Roman"/>
                <w:color w:val="auto"/>
                <w:kern w:val="0"/>
              </w:rPr>
              <w:t>人，</w:t>
            </w:r>
            <w:r>
              <w:rPr>
                <w:rFonts w:hint="default" w:ascii="Times New Roman" w:hAnsi="Times New Roman" w:cs="Times New Roman"/>
                <w:color w:val="auto"/>
                <w:kern w:val="0"/>
                <w:lang w:val="en-US" w:eastAsia="zh-CN"/>
              </w:rPr>
              <w:t>不</w:t>
            </w:r>
            <w:r>
              <w:rPr>
                <w:rFonts w:hint="default" w:ascii="Times New Roman" w:hAnsi="Times New Roman" w:cs="Times New Roman"/>
                <w:color w:val="auto"/>
                <w:kern w:val="0"/>
              </w:rPr>
              <w:t>在厂区食宿，全年工作</w:t>
            </w:r>
            <w:r>
              <w:rPr>
                <w:rFonts w:hint="default" w:ascii="Times New Roman" w:hAnsi="Times New Roman" w:cs="Times New Roman"/>
                <w:color w:val="auto"/>
                <w:kern w:val="0"/>
                <w:lang w:val="en-US" w:eastAsia="zh-CN"/>
              </w:rPr>
              <w:t>300</w:t>
            </w:r>
            <w:r>
              <w:rPr>
                <w:rFonts w:hint="default" w:ascii="Times New Roman" w:hAnsi="Times New Roman" w:cs="Times New Roman"/>
                <w:color w:val="auto"/>
                <w:kern w:val="0"/>
              </w:rPr>
              <w:t>天，每天</w:t>
            </w:r>
            <w:r>
              <w:rPr>
                <w:rFonts w:hint="default" w:ascii="Times New Roman" w:hAnsi="Times New Roman" w:cs="Times New Roman"/>
                <w:color w:val="auto"/>
                <w:kern w:val="0"/>
                <w:lang w:eastAsia="zh-CN"/>
              </w:rPr>
              <w:t>两班制</w:t>
            </w:r>
            <w:r>
              <w:rPr>
                <w:rFonts w:hint="default" w:ascii="Times New Roman" w:hAnsi="Times New Roman" w:cs="Times New Roman"/>
                <w:color w:val="auto"/>
                <w:kern w:val="0"/>
              </w:rPr>
              <w:t>，每班8小时。</w:t>
            </w:r>
          </w:p>
          <w:p w14:paraId="1D01D411">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（8）</w:t>
            </w:r>
            <w:r>
              <w:rPr>
                <w:rFonts w:hint="default" w:ascii="Times New Roman" w:hAnsi="Times New Roman" w:cs="Times New Roman"/>
                <w:b/>
                <w:color w:val="auto"/>
                <w:lang w:bidi="ar"/>
              </w:rPr>
              <w:t>给、排水情况</w:t>
            </w:r>
          </w:p>
          <w:p w14:paraId="528C0287">
            <w:pPr>
              <w:ind w:firstLine="482" w:firstLineChars="200"/>
              <w:jc w:val="left"/>
              <w:rPr>
                <w:rFonts w:hint="default" w:ascii="Times New Roman" w:hAnsi="Times New Roman" w:cs="Times New Roman"/>
                <w:b/>
                <w:color w:val="auto"/>
                <w:kern w:val="0"/>
              </w:rPr>
            </w:pPr>
            <w:r>
              <w:rPr>
                <w:rFonts w:hint="default" w:ascii="Times New Roman" w:hAnsi="Times New Roman" w:cs="Times New Roman"/>
                <w:b/>
                <w:color w:val="auto"/>
                <w:kern w:val="0"/>
              </w:rPr>
              <w:t>1）给水情况</w:t>
            </w:r>
          </w:p>
          <w:p w14:paraId="125A8CCA">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项目用水均全部由市政自来水厂供给。</w:t>
            </w:r>
          </w:p>
          <w:p w14:paraId="14323E35">
            <w:pPr>
              <w:autoSpaceDE w:val="0"/>
              <w:autoSpaceDN w:val="0"/>
              <w:ind w:firstLine="482" w:firstLineChars="200"/>
              <w:rPr>
                <w:rFonts w:hint="default" w:ascii="Times New Roman" w:hAnsi="Times New Roman" w:eastAsia="宋体" w:cs="Times New Roman"/>
                <w:b/>
                <w:color w:val="auto"/>
                <w:lang w:val="en-US" w:eastAsia="zh-CN"/>
              </w:rPr>
            </w:pPr>
            <w:r>
              <w:rPr>
                <w:rFonts w:hint="default" w:ascii="Times New Roman" w:hAnsi="Times New Roman" w:cs="Times New Roman"/>
                <w:b/>
                <w:bCs/>
                <w:iCs/>
                <w:color w:val="auto"/>
              </w:rPr>
              <w:t>①</w:t>
            </w:r>
            <w:r>
              <w:rPr>
                <w:rFonts w:hint="default" w:ascii="Times New Roman" w:hAnsi="Times New Roman" w:cs="Times New Roman"/>
                <w:b/>
                <w:color w:val="auto"/>
                <w:lang w:val="en-US" w:eastAsia="zh-CN"/>
              </w:rPr>
              <w:t>冷却用水</w:t>
            </w:r>
          </w:p>
          <w:p w14:paraId="1D61F48A">
            <w:pPr>
              <w:keepNext w:val="0"/>
              <w:keepLines w:val="0"/>
              <w:suppressLineNumbers w:val="0"/>
              <w:spacing w:before="0" w:beforeAutospacing="0" w:after="0" w:afterAutospacing="0"/>
              <w:ind w:left="0" w:right="0"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项目</w:t>
            </w:r>
            <w:r>
              <w:rPr>
                <w:rFonts w:hint="default" w:ascii="Times New Roman" w:hAnsi="Times New Roman" w:cs="Times New Roman"/>
                <w:bCs/>
                <w:color w:val="auto"/>
                <w:szCs w:val="21"/>
                <w:lang w:val="en-US" w:eastAsia="zh-CN"/>
              </w:rPr>
              <w:t>密炼、</w:t>
            </w:r>
            <w:r>
              <w:rPr>
                <w:rFonts w:hint="default" w:ascii="Times New Roman" w:hAnsi="Times New Roman" w:cs="Times New Roman"/>
                <w:bCs/>
                <w:color w:val="auto"/>
                <w:szCs w:val="21"/>
              </w:rPr>
              <w:t>注塑过程需使用冷却水进行间接冷却，建设单位设有</w:t>
            </w:r>
            <w:r>
              <w:rPr>
                <w:rFonts w:hint="default" w:ascii="Times New Roman" w:hAnsi="Times New Roman" w:cs="Times New Roman"/>
                <w:bCs/>
                <w:color w:val="auto"/>
                <w:szCs w:val="21"/>
                <w:lang w:val="en-US" w:eastAsia="zh-CN"/>
              </w:rPr>
              <w:t>3</w:t>
            </w:r>
            <w:r>
              <w:rPr>
                <w:rFonts w:hint="default" w:ascii="Times New Roman" w:hAnsi="Times New Roman" w:cs="Times New Roman"/>
                <w:bCs/>
                <w:color w:val="auto"/>
                <w:szCs w:val="21"/>
              </w:rPr>
              <w:t>台冷却塔，循环水量为</w:t>
            </w:r>
            <w:r>
              <w:rPr>
                <w:rFonts w:hint="default" w:ascii="Times New Roman" w:hAnsi="Times New Roman" w:cs="Times New Roman"/>
                <w:bCs/>
                <w:color w:val="auto"/>
                <w:szCs w:val="21"/>
                <w:lang w:val="en-US" w:eastAsia="zh-CN"/>
              </w:rPr>
              <w:t>2</w:t>
            </w:r>
            <w:r>
              <w:rPr>
                <w:rFonts w:hint="default" w:ascii="Times New Roman" w:hAnsi="Times New Roman" w:cs="Times New Roman"/>
                <w:bCs/>
                <w:color w:val="auto"/>
                <w:szCs w:val="21"/>
              </w:rPr>
              <w:t>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h，冷却过程无需添加任何药剂，循环水循环使用不外排。冷却水循环过程中会因蒸发造成损耗，需定期补充冷却水，参考《工业循环冷却水处理设计规范》（GB/T50050-2017），开式冷却塔蒸发损耗水量计算公式如下：</w:t>
            </w:r>
          </w:p>
          <w:p w14:paraId="3C19D859">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position w:val="-12"/>
                <w:szCs w:val="21"/>
              </w:rPr>
              <w:object>
                <v:shape id="_x0000_i1025" o:spt="75" type="#_x0000_t75" style="height:18pt;width:56.25pt;" o:ole="t" filled="f" o:preferrelative="t" stroked="f" coordsize="21600,21600">
                  <v:path/>
                  <v:fill on="f" focussize="0,0"/>
                  <v:stroke on="f"/>
                  <v:imagedata r:id="rId16" o:title=""/>
                  <o:lock v:ext="edit" aspectratio="t"/>
                  <w10:wrap type="none"/>
                  <w10:anchorlock/>
                </v:shape>
                <o:OLEObject Type="Embed" ProgID="Equation.KSEE3" ShapeID="_x0000_i1025" DrawAspect="Content" ObjectID="_1468075725" r:id="rId15">
                  <o:LockedField>false</o:LockedField>
                </o:OLEObject>
              </w:object>
            </w:r>
          </w:p>
          <w:p w14:paraId="4EF940C2">
            <w:pPr>
              <w:keepNext w:val="0"/>
              <w:keepLines w:val="0"/>
              <w:suppressLineNumbers w:val="0"/>
              <w:spacing w:before="0" w:beforeAutospacing="0" w:after="0" w:afterAutospacing="0"/>
              <w:ind w:left="0" w:right="0"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式中：Qe—蒸发水量，m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/h；</w:t>
            </w:r>
          </w:p>
          <w:p w14:paraId="17B936C2">
            <w:pPr>
              <w:keepNext w:val="0"/>
              <w:keepLines w:val="0"/>
              <w:suppressLineNumbers w:val="0"/>
              <w:spacing w:before="0" w:beforeAutospacing="0" w:after="0" w:afterAutospacing="0"/>
              <w:ind w:left="0" w:right="0" w:firstLine="1200" w:firstLineChars="500"/>
              <w:rPr>
                <w:rFonts w:hint="default" w:ascii="Times New Roman" w:hAnsi="Times New Roman" w:cs="Times New Roman"/>
                <w:bCs/>
                <w:color w:val="auto"/>
                <w:szCs w:val="21"/>
              </w:rPr>
            </w:pPr>
            <w:r>
              <w:rPr>
                <w:rFonts w:hint="default" w:ascii="Times New Roman" w:hAnsi="Times New Roman" w:cs="Times New Roman"/>
                <w:bCs/>
                <w:color w:val="auto"/>
                <w:szCs w:val="21"/>
              </w:rPr>
              <w:t>Qr—循环冷却水量，m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/h；</w:t>
            </w:r>
          </w:p>
          <w:p w14:paraId="0F09BF69">
            <w:pPr>
              <w:keepNext w:val="0"/>
              <w:keepLines w:val="0"/>
              <w:suppressLineNumbers w:val="0"/>
              <w:spacing w:before="0" w:beforeAutospacing="0" w:after="0" w:afterAutospacing="0"/>
              <w:ind w:left="0" w:right="0" w:firstLine="1200" w:firstLineChars="500"/>
              <w:rPr>
                <w:rFonts w:hint="default" w:ascii="Times New Roman" w:hAnsi="Times New Roman" w:cs="Times New Roman"/>
                <w:bCs/>
                <w:color w:val="auto"/>
                <w:szCs w:val="21"/>
              </w:rPr>
            </w:pPr>
            <w:r>
              <w:rPr>
                <w:rFonts w:hint="default" w:ascii="Times New Roman" w:hAnsi="Times New Roman" w:cs="Times New Roman"/>
                <w:bCs/>
                <w:color w:val="auto"/>
                <w:szCs w:val="21"/>
              </w:rPr>
              <w:t>Δt—循环冷却水进出冷却塔温差，°C，项目冷却水进塔温度为</w:t>
            </w:r>
            <w:r>
              <w:rPr>
                <w:rFonts w:hint="default" w:ascii="Times New Roman" w:hAnsi="Times New Roman" w:cs="Times New Roman"/>
                <w:bCs/>
                <w:color w:val="auto"/>
                <w:szCs w:val="21"/>
                <w:lang w:val="en-US" w:eastAsia="zh-CN"/>
              </w:rPr>
              <w:t>37</w:t>
            </w:r>
            <w:r>
              <w:rPr>
                <w:rFonts w:hint="default" w:ascii="Times New Roman" w:hAnsi="Times New Roman" w:cs="Times New Roman"/>
                <w:bCs/>
                <w:color w:val="auto"/>
                <w:szCs w:val="21"/>
              </w:rPr>
              <w:t>°C，出塔温度为</w:t>
            </w:r>
            <w:r>
              <w:rPr>
                <w:rFonts w:hint="default" w:ascii="Times New Roman" w:hAnsi="Times New Roman" w:cs="Times New Roman"/>
                <w:bCs/>
                <w:color w:val="auto"/>
                <w:szCs w:val="21"/>
                <w:lang w:val="en-US" w:eastAsia="zh-CN"/>
              </w:rPr>
              <w:t>27</w:t>
            </w:r>
            <w:r>
              <w:rPr>
                <w:rFonts w:hint="default" w:ascii="Times New Roman" w:hAnsi="Times New Roman" w:cs="Times New Roman"/>
                <w:bCs/>
                <w:color w:val="auto"/>
                <w:szCs w:val="21"/>
              </w:rPr>
              <w:t>°C，温差为</w:t>
            </w:r>
            <w:r>
              <w:rPr>
                <w:rFonts w:hint="default" w:ascii="Times New Roman" w:hAnsi="Times New Roman" w:cs="Times New Roman"/>
                <w:bCs/>
                <w:color w:val="auto"/>
                <w:szCs w:val="21"/>
                <w:lang w:val="en-US" w:eastAsia="zh-CN"/>
              </w:rPr>
              <w:t>10</w:t>
            </w:r>
            <w:r>
              <w:rPr>
                <w:rFonts w:hint="default" w:ascii="Times New Roman" w:hAnsi="Times New Roman" w:cs="Times New Roman"/>
                <w:bCs/>
                <w:color w:val="auto"/>
                <w:szCs w:val="21"/>
              </w:rPr>
              <w:t>°C；</w:t>
            </w:r>
          </w:p>
          <w:p w14:paraId="6CA1042F">
            <w:pPr>
              <w:keepNext w:val="0"/>
              <w:keepLines w:val="0"/>
              <w:suppressLineNumbers w:val="0"/>
              <w:spacing w:before="0" w:beforeAutospacing="0" w:after="0" w:afterAutospacing="0"/>
              <w:ind w:left="0" w:right="0" w:firstLine="1200" w:firstLineChars="500"/>
              <w:rPr>
                <w:rFonts w:hint="default" w:ascii="Times New Roman" w:hAnsi="Times New Roman" w:cs="Times New Roman"/>
                <w:bCs/>
                <w:color w:val="auto"/>
                <w:szCs w:val="21"/>
              </w:rPr>
            </w:pPr>
            <w:r>
              <w:rPr>
                <w:rFonts w:hint="default" w:ascii="Times New Roman" w:hAnsi="Times New Roman" w:cs="Times New Roman"/>
                <w:bCs/>
                <w:color w:val="auto"/>
                <w:szCs w:val="21"/>
              </w:rPr>
              <w:t>k—蒸发损失系数，1/°C，进塔温度为</w:t>
            </w:r>
            <w:r>
              <w:rPr>
                <w:rFonts w:hint="default" w:ascii="Times New Roman" w:hAnsi="Times New Roman" w:cs="Times New Roman"/>
                <w:bCs/>
                <w:color w:val="auto"/>
                <w:szCs w:val="21"/>
                <w:lang w:val="en-US" w:eastAsia="zh-CN"/>
              </w:rPr>
              <w:t>10</w:t>
            </w:r>
            <w:r>
              <w:rPr>
                <w:rFonts w:hint="default" w:ascii="Times New Roman" w:hAnsi="Times New Roman" w:cs="Times New Roman"/>
                <w:bCs/>
                <w:color w:val="auto"/>
                <w:szCs w:val="21"/>
              </w:rPr>
              <w:t>°C时按内插法计算得出k取值为0.001</w:t>
            </w:r>
            <w:r>
              <w:rPr>
                <w:rFonts w:hint="default" w:ascii="Times New Roman" w:hAnsi="Times New Roman" w:cs="Times New Roman"/>
                <w:bCs/>
                <w:color w:val="auto"/>
                <w:szCs w:val="21"/>
                <w:lang w:val="en-US" w:eastAsia="zh-CN"/>
              </w:rPr>
              <w:t>2</w:t>
            </w:r>
            <w:r>
              <w:rPr>
                <w:rFonts w:hint="default" w:ascii="Times New Roman" w:hAnsi="Times New Roman" w:cs="Times New Roman"/>
                <w:bCs/>
                <w:color w:val="auto"/>
                <w:szCs w:val="21"/>
              </w:rPr>
              <w:t>。</w:t>
            </w:r>
          </w:p>
          <w:p w14:paraId="3A033341">
            <w:pPr>
              <w:ind w:firstLine="480" w:firstLineChars="200"/>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rPr>
              <w:t>计算得出冷却塔蒸发水量为</w:t>
            </w:r>
            <w:r>
              <w:rPr>
                <w:rFonts w:hint="default" w:ascii="Times New Roman" w:hAnsi="Times New Roman" w:cs="Times New Roman"/>
                <w:bCs/>
                <w:color w:val="auto"/>
                <w:szCs w:val="21"/>
                <w:lang w:val="en-US" w:eastAsia="zh-CN"/>
              </w:rPr>
              <w:t>0.072</w:t>
            </w:r>
            <w:r>
              <w:rPr>
                <w:rFonts w:hint="default" w:ascii="Times New Roman" w:hAnsi="Times New Roman" w:cs="Times New Roman"/>
                <w:bCs/>
                <w:color w:val="auto"/>
                <w:szCs w:val="21"/>
              </w:rPr>
              <w:t>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/h，冷却塔按年运行300天，每天运行</w:t>
            </w:r>
            <w:r>
              <w:rPr>
                <w:rFonts w:hint="default" w:ascii="Times New Roman" w:hAnsi="Times New Roman" w:cs="Times New Roman"/>
                <w:bCs/>
                <w:color w:val="auto"/>
                <w:szCs w:val="21"/>
                <w:lang w:val="en-US" w:eastAsia="zh-CN"/>
              </w:rPr>
              <w:t>16</w:t>
            </w:r>
            <w:r>
              <w:rPr>
                <w:rFonts w:hint="default" w:ascii="Times New Roman" w:hAnsi="Times New Roman" w:cs="Times New Roman"/>
                <w:bCs/>
                <w:color w:val="auto"/>
                <w:szCs w:val="21"/>
              </w:rPr>
              <w:t>小时计算，</w:t>
            </w:r>
            <w:r>
              <w:rPr>
                <w:rFonts w:hint="default" w:ascii="Times New Roman" w:hAnsi="Times New Roman" w:cs="Times New Roman"/>
                <w:bCs/>
                <w:color w:val="auto"/>
                <w:szCs w:val="21"/>
                <w:lang w:val="en-US" w:eastAsia="zh-CN"/>
              </w:rPr>
              <w:t>蒸发</w:t>
            </w:r>
            <w:r>
              <w:rPr>
                <w:rFonts w:hint="default" w:ascii="Times New Roman" w:hAnsi="Times New Roman" w:cs="Times New Roman"/>
                <w:bCs/>
                <w:color w:val="auto"/>
                <w:szCs w:val="21"/>
              </w:rPr>
              <w:t>水量为</w:t>
            </w:r>
            <w:r>
              <w:rPr>
                <w:rFonts w:hint="default" w:ascii="Times New Roman" w:hAnsi="Times New Roman" w:cs="Times New Roman"/>
                <w:bCs/>
                <w:color w:val="auto"/>
                <w:szCs w:val="21"/>
                <w:lang w:val="en-US" w:eastAsia="zh-CN"/>
              </w:rPr>
              <w:t>3.456</w:t>
            </w:r>
            <w:r>
              <w:rPr>
                <w:rFonts w:hint="default" w:ascii="Times New Roman" w:hAnsi="Times New Roman" w:cs="Times New Roman"/>
                <w:bCs/>
                <w:color w:val="auto"/>
                <w:szCs w:val="21"/>
              </w:rPr>
              <w:t>t/d（</w:t>
            </w:r>
            <w:r>
              <w:rPr>
                <w:rFonts w:hint="default" w:ascii="Times New Roman" w:hAnsi="Times New Roman" w:cs="Times New Roman"/>
                <w:bCs/>
                <w:color w:val="auto"/>
                <w:szCs w:val="21"/>
                <w:lang w:val="en-US" w:eastAsia="zh-CN"/>
              </w:rPr>
              <w:t>1036.8</w:t>
            </w:r>
            <w:r>
              <w:rPr>
                <w:rFonts w:hint="default" w:ascii="Times New Roman" w:hAnsi="Times New Roman" w:cs="Times New Roman"/>
                <w:bCs/>
                <w:color w:val="auto"/>
                <w:szCs w:val="21"/>
              </w:rPr>
              <w:t>t/a）</w:t>
            </w:r>
            <w:r>
              <w:rPr>
                <w:rFonts w:hint="default" w:ascii="Times New Roman" w:hAnsi="Times New Roman" w:cs="Times New Roman"/>
                <w:bCs/>
                <w:color w:val="auto"/>
                <w:szCs w:val="21"/>
                <w:lang w:eastAsia="zh-CN"/>
              </w:rPr>
              <w:t>，</w:t>
            </w:r>
            <w:r>
              <w:rPr>
                <w:rFonts w:hint="default" w:ascii="Times New Roman" w:hAnsi="Times New Roman" w:cs="Times New Roman"/>
                <w:bCs/>
                <w:color w:val="auto"/>
                <w:szCs w:val="21"/>
                <w:lang w:val="en-US" w:eastAsia="zh-CN"/>
              </w:rPr>
              <w:t>即补充水量</w:t>
            </w:r>
            <w:r>
              <w:rPr>
                <w:rFonts w:hint="default" w:ascii="Times New Roman" w:hAnsi="Times New Roman" w:cs="Times New Roman"/>
                <w:bCs/>
                <w:color w:val="auto"/>
                <w:szCs w:val="21"/>
              </w:rPr>
              <w:t>。</w:t>
            </w:r>
          </w:p>
          <w:p w14:paraId="4930B19B">
            <w:pPr>
              <w:ind w:firstLine="482" w:firstLineChars="200"/>
              <w:rPr>
                <w:rFonts w:hint="default" w:ascii="Times New Roman" w:hAnsi="Times New Roman" w:cs="Times New Roman"/>
                <w:b/>
                <w:color w:val="auto"/>
              </w:rPr>
            </w:pPr>
            <w:r>
              <w:rPr>
                <w:rFonts w:hint="default" w:ascii="Times New Roman" w:hAnsi="Times New Roman" w:cs="Times New Roman"/>
                <w:b/>
                <w:color w:val="auto"/>
              </w:rPr>
              <w:t>②</w:t>
            </w:r>
            <w:bookmarkStart w:id="8" w:name="水帘柜用水"/>
            <w:r>
              <w:rPr>
                <w:rFonts w:hint="default" w:ascii="Times New Roman" w:hAnsi="Times New Roman" w:cs="Times New Roman"/>
                <w:b/>
                <w:color w:val="auto"/>
              </w:rPr>
              <w:t>水帘柜用水</w:t>
            </w:r>
            <w:bookmarkEnd w:id="8"/>
          </w:p>
          <w:p w14:paraId="321C21CF">
            <w:pPr>
              <w:ind w:firstLine="480" w:firstLineChars="200"/>
              <w:rPr>
                <w:rFonts w:hint="default" w:ascii="Times New Roman" w:hAnsi="Times New Roman" w:cs="Times New Roman"/>
                <w:bCs/>
                <w:color w:val="auto"/>
              </w:rPr>
            </w:pPr>
            <w:r>
              <w:rPr>
                <w:rFonts w:hint="default" w:ascii="Times New Roman" w:hAnsi="Times New Roman" w:cs="Times New Roman"/>
                <w:bCs/>
                <w:color w:val="auto"/>
              </w:rPr>
              <w:t>项目设</w:t>
            </w:r>
            <w:r>
              <w:rPr>
                <w:rFonts w:hint="default" w:ascii="Times New Roman" w:hAnsi="Times New Roman" w:cs="Times New Roman"/>
                <w:bCs/>
                <w:color w:val="auto"/>
                <w:lang w:val="en-US" w:eastAsia="zh-CN"/>
              </w:rPr>
              <w:t>2</w:t>
            </w:r>
            <w:r>
              <w:rPr>
                <w:rFonts w:hint="default" w:ascii="Times New Roman" w:hAnsi="Times New Roman" w:cs="Times New Roman"/>
                <w:bCs/>
                <w:color w:val="auto"/>
              </w:rPr>
              <w:t>个水帘柜，预处理</w:t>
            </w:r>
            <w:r>
              <w:rPr>
                <w:rFonts w:hint="default" w:ascii="Times New Roman" w:hAnsi="Times New Roman" w:cs="Times New Roman"/>
                <w:bCs/>
                <w:color w:val="auto"/>
                <w:lang w:val="en-US" w:eastAsia="zh-CN"/>
              </w:rPr>
              <w:t>喷漆</w:t>
            </w:r>
            <w:r>
              <w:rPr>
                <w:rFonts w:hint="default" w:ascii="Times New Roman" w:hAnsi="Times New Roman" w:cs="Times New Roman"/>
                <w:bCs/>
                <w:color w:val="auto"/>
              </w:rPr>
              <w:t>过程产生的</w:t>
            </w:r>
            <w:r>
              <w:rPr>
                <w:rFonts w:hint="default" w:ascii="Times New Roman" w:hAnsi="Times New Roman" w:cs="Times New Roman"/>
                <w:bCs/>
                <w:color w:val="auto"/>
                <w:lang w:eastAsia="zh-CN"/>
              </w:rPr>
              <w:t>颗粒物</w:t>
            </w:r>
            <w:r>
              <w:rPr>
                <w:rFonts w:hint="default" w:ascii="Times New Roman" w:hAnsi="Times New Roman" w:cs="Times New Roman"/>
                <w:bCs/>
                <w:color w:val="auto"/>
              </w:rPr>
              <w:t>，水帘柜尺寸为</w:t>
            </w:r>
            <w:r>
              <w:rPr>
                <w:rFonts w:hint="default" w:ascii="Times New Roman" w:hAnsi="Times New Roman" w:cs="Times New Roman"/>
                <w:bCs/>
                <w:color w:val="auto"/>
                <w:szCs w:val="21"/>
                <w:lang w:val="en-US" w:eastAsia="zh-CN"/>
              </w:rPr>
              <w:t>3</w:t>
            </w:r>
            <w:r>
              <w:rPr>
                <w:rFonts w:hint="default" w:ascii="Times New Roman" w:hAnsi="Times New Roman" w:cs="Times New Roman"/>
                <w:bCs/>
                <w:color w:val="auto"/>
                <w:szCs w:val="21"/>
              </w:rPr>
              <w:t>m×</w:t>
            </w:r>
            <w:r>
              <w:rPr>
                <w:rFonts w:hint="default" w:ascii="Times New Roman" w:hAnsi="Times New Roman" w:cs="Times New Roman"/>
                <w:bCs/>
                <w:color w:val="auto"/>
                <w:szCs w:val="21"/>
                <w:lang w:val="en-US" w:eastAsia="zh-CN"/>
              </w:rPr>
              <w:t>2</w:t>
            </w:r>
            <w:r>
              <w:rPr>
                <w:rFonts w:hint="default" w:ascii="Times New Roman" w:hAnsi="Times New Roman" w:cs="Times New Roman"/>
                <w:bCs/>
                <w:color w:val="auto"/>
                <w:szCs w:val="21"/>
              </w:rPr>
              <w:t>m×</w:t>
            </w:r>
            <w:r>
              <w:rPr>
                <w:rFonts w:hint="default" w:ascii="Times New Roman" w:hAnsi="Times New Roman" w:cs="Times New Roman"/>
                <w:bCs/>
                <w:color w:val="auto"/>
                <w:szCs w:val="21"/>
                <w:lang w:val="en-US" w:eastAsia="zh-CN"/>
              </w:rPr>
              <w:t>1</w:t>
            </w:r>
            <w:r>
              <w:rPr>
                <w:rFonts w:hint="default" w:ascii="Times New Roman" w:hAnsi="Times New Roman" w:cs="Times New Roman"/>
                <w:bCs/>
                <w:color w:val="auto"/>
                <w:szCs w:val="21"/>
              </w:rPr>
              <w:t>m，有效水深为0.</w:t>
            </w:r>
            <w:r>
              <w:rPr>
                <w:rFonts w:hint="default" w:ascii="Times New Roman" w:hAnsi="Times New Roman" w:cs="Times New Roman"/>
                <w:bCs/>
                <w:color w:val="auto"/>
                <w:szCs w:val="21"/>
                <w:lang w:val="en-US" w:eastAsia="zh-CN"/>
              </w:rPr>
              <w:t>5</w:t>
            </w:r>
            <w:r>
              <w:rPr>
                <w:rFonts w:hint="default" w:ascii="Times New Roman" w:hAnsi="Times New Roman" w:cs="Times New Roman"/>
                <w:bCs/>
                <w:color w:val="auto"/>
                <w:szCs w:val="21"/>
              </w:rPr>
              <w:t>m，即有效容积为</w:t>
            </w:r>
            <w:r>
              <w:rPr>
                <w:rFonts w:hint="default" w:ascii="Times New Roman" w:hAnsi="Times New Roman" w:cs="Times New Roman"/>
                <w:bCs/>
                <w:color w:val="auto"/>
                <w:szCs w:val="21"/>
                <w:lang w:val="en-US" w:eastAsia="zh-CN"/>
              </w:rPr>
              <w:t>3</w:t>
            </w:r>
            <w:r>
              <w:rPr>
                <w:rFonts w:hint="default" w:ascii="Times New Roman" w:hAnsi="Times New Roman" w:cs="Times New Roman"/>
                <w:bCs/>
                <w:color w:val="auto"/>
                <w:szCs w:val="21"/>
              </w:rPr>
              <w:t>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。水帘柜循环水循环使用过程会因蒸发等造成损耗，需定期补充新鲜水，参考《涂装车间设计手册》（化学工业出版社）</w:t>
            </w:r>
            <w:r>
              <w:rPr>
                <w:rFonts w:hint="default" w:ascii="Times New Roman" w:hAnsi="Times New Roman" w:cs="Times New Roman"/>
                <w:bCs/>
                <w:color w:val="auto"/>
                <w:szCs w:val="21"/>
                <w:lang w:val="en-US" w:eastAsia="zh-CN"/>
              </w:rPr>
              <w:t>喷淋式喷淋室的新鲜水补充量</w:t>
            </w:r>
            <w:r>
              <w:rPr>
                <w:rFonts w:hint="default" w:ascii="Times New Roman" w:hAnsi="Times New Roman" w:cs="Times New Roman"/>
                <w:bCs/>
                <w:color w:val="auto"/>
                <w:szCs w:val="21"/>
              </w:rPr>
              <w:t>，补充水量为循环水量的</w:t>
            </w:r>
            <w:r>
              <w:rPr>
                <w:rFonts w:hint="default" w:ascii="Times New Roman" w:hAnsi="Times New Roman" w:cs="Times New Roman"/>
                <w:bCs/>
                <w:color w:val="auto"/>
                <w:szCs w:val="21"/>
                <w:lang w:val="en-US" w:eastAsia="zh-CN"/>
              </w:rPr>
              <w:t>1.5-3</w:t>
            </w:r>
            <w:r>
              <w:rPr>
                <w:rFonts w:hint="default" w:ascii="Times New Roman" w:hAnsi="Times New Roman" w:cs="Times New Roman"/>
                <w:bCs/>
                <w:color w:val="auto"/>
                <w:szCs w:val="21"/>
              </w:rPr>
              <w:t>%，项目按</w:t>
            </w:r>
            <w:r>
              <w:rPr>
                <w:rFonts w:hint="default" w:ascii="Times New Roman" w:hAnsi="Times New Roman" w:cs="Times New Roman"/>
                <w:bCs/>
                <w:color w:val="auto"/>
                <w:szCs w:val="21"/>
                <w:lang w:val="en-US" w:eastAsia="zh-CN"/>
              </w:rPr>
              <w:t>3</w:t>
            </w:r>
            <w:r>
              <w:rPr>
                <w:rFonts w:hint="default" w:ascii="Times New Roman" w:hAnsi="Times New Roman" w:cs="Times New Roman"/>
                <w:bCs/>
                <w:color w:val="auto"/>
                <w:szCs w:val="21"/>
              </w:rPr>
              <w:t>%计算得出水帘柜补充用水量为</w:t>
            </w:r>
            <w:r>
              <w:rPr>
                <w:rFonts w:hint="default" w:ascii="Times New Roman" w:hAnsi="Times New Roman" w:cs="Times New Roman"/>
                <w:bCs/>
                <w:color w:val="auto"/>
                <w:szCs w:val="21"/>
                <w:lang w:val="en-US" w:eastAsia="zh-CN"/>
              </w:rPr>
              <w:t>0.18</w:t>
            </w:r>
            <w:r>
              <w:rPr>
                <w:rFonts w:hint="default" w:ascii="Times New Roman" w:hAnsi="Times New Roman" w:cs="Times New Roman"/>
                <w:bCs/>
                <w:color w:val="auto"/>
                <w:szCs w:val="21"/>
              </w:rPr>
              <w:t>t/d（</w:t>
            </w:r>
            <w:r>
              <w:rPr>
                <w:rFonts w:hint="default" w:ascii="Times New Roman" w:hAnsi="Times New Roman" w:cs="Times New Roman"/>
                <w:bCs/>
                <w:color w:val="auto"/>
                <w:szCs w:val="21"/>
                <w:lang w:val="en-US" w:eastAsia="zh-CN"/>
              </w:rPr>
              <w:t>54</w:t>
            </w:r>
            <w:r>
              <w:rPr>
                <w:rFonts w:hint="default" w:ascii="Times New Roman" w:hAnsi="Times New Roman" w:cs="Times New Roman"/>
                <w:bCs/>
                <w:color w:val="auto"/>
                <w:szCs w:val="21"/>
              </w:rPr>
              <w:t>t/a）。</w:t>
            </w:r>
          </w:p>
          <w:p w14:paraId="2FCAA7CD">
            <w:pPr>
              <w:ind w:firstLine="482" w:firstLineChars="200"/>
              <w:rPr>
                <w:rFonts w:hint="default" w:ascii="Times New Roman" w:hAnsi="Times New Roman" w:cs="Times New Roman"/>
                <w:b/>
                <w:color w:val="auto"/>
              </w:rPr>
            </w:pPr>
            <w:r>
              <w:rPr>
                <w:rFonts w:hint="default" w:ascii="Times New Roman" w:hAnsi="Times New Roman" w:cs="Times New Roman"/>
                <w:b/>
                <w:color w:val="auto"/>
              </w:rPr>
              <w:t>③水喷淋塔用水</w:t>
            </w:r>
          </w:p>
          <w:p w14:paraId="24E18AA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喷漆工序废气经水帘柜预处理后与烘烤、移印、密炼、硫化等工序废气收集至“水喷淋+干式过滤+二级活性炭吸附”装置处理后引至排气筒DA001排放，注塑、液态成型工序废气经集气罩收集至“水喷淋+干式过滤+二级活性炭吸附”装置处理后引至排气筒DA002排放。</w:t>
            </w:r>
          </w:p>
          <w:p w14:paraId="6B0962D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kern w:val="0"/>
              </w:rPr>
            </w:pPr>
            <w:r>
              <w:rPr>
                <w:rFonts w:hint="default" w:ascii="Times New Roman" w:hAnsi="Times New Roman" w:cs="Times New Roman"/>
                <w:color w:val="auto"/>
                <w:kern w:val="0"/>
              </w:rPr>
              <w:t>水喷淋用水为自来水，不添加化学药剂，喷淋用水循环使用，定期补充损耗。产生的喷淋废水主要污染物为SS，经过重力作用沉淀，定期捞渣。</w:t>
            </w:r>
          </w:p>
          <w:p w14:paraId="275AAAE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kern w:val="0"/>
              </w:rPr>
            </w:pPr>
            <w:r>
              <w:rPr>
                <w:rFonts w:hint="default" w:ascii="Times New Roman" w:hAnsi="Times New Roman" w:cs="Times New Roman"/>
                <w:color w:val="auto"/>
                <w:kern w:val="0"/>
                <w:lang w:val="en-US" w:eastAsia="zh-CN"/>
              </w:rPr>
              <w:t>排气筒DA001对应的水喷淋塔的</w:t>
            </w:r>
            <w:r>
              <w:rPr>
                <w:rFonts w:hint="default" w:ascii="Times New Roman" w:hAnsi="Times New Roman" w:cs="Times New Roman"/>
                <w:color w:val="auto"/>
                <w:kern w:val="0"/>
              </w:rPr>
              <w:t>水池容积为</w:t>
            </w:r>
            <w:r>
              <w:rPr>
                <w:rFonts w:hint="default" w:ascii="Times New Roman" w:hAnsi="Times New Roman" w:cs="Times New Roman"/>
                <w:color w:val="auto"/>
                <w:kern w:val="0"/>
                <w:lang w:val="en-US" w:eastAsia="zh-CN"/>
              </w:rPr>
              <w:t>2</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w:t>
            </w:r>
            <w:r>
              <w:rPr>
                <w:rFonts w:hint="default" w:ascii="Times New Roman" w:hAnsi="Times New Roman" w:cs="Times New Roman"/>
                <w:color w:val="auto"/>
                <w:kern w:val="0"/>
                <w:lang w:val="en-US" w:eastAsia="zh-CN"/>
              </w:rPr>
              <w:t>储水量为1.5t，</w:t>
            </w:r>
            <w:r>
              <w:rPr>
                <w:rFonts w:hint="default" w:ascii="Times New Roman" w:hAnsi="Times New Roman" w:cs="Times New Roman"/>
                <w:color w:val="auto"/>
                <w:kern w:val="0"/>
              </w:rPr>
              <w:t>通过水泵循环使用，每天补充新鲜水，参照《简明通风设计手册》（孙一坚主编）“各种吸收装置的技术经济比较中填料塔的推荐液气比为1.0～10L/m</w:t>
            </w:r>
            <w:r>
              <w:rPr>
                <w:rFonts w:hint="default" w:ascii="Times New Roman" w:hAnsi="Times New Roman" w:cs="Times New Roman"/>
                <w:color w:val="auto"/>
                <w:kern w:val="0"/>
                <w:vertAlign w:val="superscript"/>
              </w:rPr>
              <w:t xml:space="preserve">3 </w:t>
            </w:r>
            <w:r>
              <w:rPr>
                <w:rFonts w:hint="default" w:ascii="Times New Roman" w:hAnsi="Times New Roman" w:cs="Times New Roman"/>
                <w:color w:val="auto"/>
                <w:kern w:val="0"/>
              </w:rPr>
              <w:t>，因此项目喷淋塔设计取值</w:t>
            </w:r>
            <w:r>
              <w:rPr>
                <w:rFonts w:hint="default" w:ascii="Times New Roman" w:hAnsi="Times New Roman" w:cs="Times New Roman"/>
                <w:color w:val="auto"/>
                <w:kern w:val="0"/>
                <w:lang w:val="en-US" w:eastAsia="zh-CN"/>
              </w:rPr>
              <w:t>1</w:t>
            </w:r>
            <w:r>
              <w:rPr>
                <w:rFonts w:hint="default" w:ascii="Times New Roman" w:hAnsi="Times New Roman" w:cs="Times New Roman"/>
                <w:color w:val="auto"/>
                <w:kern w:val="0"/>
              </w:rPr>
              <w:t>L/m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。项目</w:t>
            </w:r>
            <w:r>
              <w:rPr>
                <w:rFonts w:hint="default" w:ascii="Times New Roman" w:hAnsi="Times New Roman" w:cs="Times New Roman"/>
                <w:color w:val="auto"/>
                <w:kern w:val="0"/>
                <w:lang w:val="en-US" w:eastAsia="zh-CN"/>
              </w:rPr>
              <w:t>排气筒DA001的</w:t>
            </w:r>
            <w:r>
              <w:rPr>
                <w:rFonts w:hint="default" w:ascii="Times New Roman" w:hAnsi="Times New Roman" w:cs="Times New Roman"/>
                <w:color w:val="auto"/>
                <w:kern w:val="0"/>
              </w:rPr>
              <w:t>废气处理设施设计风量为</w:t>
            </w:r>
            <w:r>
              <w:rPr>
                <w:rFonts w:hint="default" w:ascii="Times New Roman" w:hAnsi="Times New Roman" w:cs="Times New Roman"/>
                <w:color w:val="auto"/>
                <w:kern w:val="0"/>
                <w:lang w:val="en-US" w:eastAsia="zh-CN"/>
              </w:rPr>
              <w:t>16500</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/h，因此循环水量为</w:t>
            </w:r>
            <w:r>
              <w:rPr>
                <w:rFonts w:hint="default" w:ascii="Times New Roman" w:hAnsi="Times New Roman" w:cs="Times New Roman"/>
                <w:color w:val="auto"/>
                <w:lang w:val="en-US" w:eastAsia="zh-CN"/>
              </w:rPr>
              <w:t>16.5</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/h。</w:t>
            </w:r>
          </w:p>
          <w:p w14:paraId="58DEA3D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kern w:val="0"/>
                <w:lang w:val="en-US" w:eastAsia="zh-CN"/>
              </w:rPr>
              <w:t>排气筒DA002对应的水喷淋塔的</w:t>
            </w:r>
            <w:r>
              <w:rPr>
                <w:rFonts w:hint="default" w:ascii="Times New Roman" w:hAnsi="Times New Roman" w:cs="Times New Roman"/>
                <w:color w:val="auto"/>
                <w:kern w:val="0"/>
              </w:rPr>
              <w:t>水池容积为</w:t>
            </w:r>
            <w:r>
              <w:rPr>
                <w:rFonts w:hint="default" w:ascii="Times New Roman" w:hAnsi="Times New Roman" w:cs="Times New Roman"/>
                <w:color w:val="auto"/>
                <w:kern w:val="0"/>
                <w:lang w:val="en-US" w:eastAsia="zh-CN"/>
              </w:rPr>
              <w:t>3</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w:t>
            </w:r>
            <w:r>
              <w:rPr>
                <w:rFonts w:hint="default" w:ascii="Times New Roman" w:hAnsi="Times New Roman" w:cs="Times New Roman"/>
                <w:color w:val="auto"/>
                <w:kern w:val="0"/>
                <w:lang w:val="en-US" w:eastAsia="zh-CN"/>
              </w:rPr>
              <w:t>储水量为2.5t，</w:t>
            </w:r>
            <w:r>
              <w:rPr>
                <w:rFonts w:hint="default" w:ascii="Times New Roman" w:hAnsi="Times New Roman" w:cs="Times New Roman"/>
                <w:color w:val="auto"/>
                <w:kern w:val="0"/>
              </w:rPr>
              <w:t>通过水泵循环使用，每天补充新鲜水，参照《简明通风设计手册》（孙一坚主编）“各种吸收装置的技术经济比较中填料塔的推荐液气比为1.0～10L/m</w:t>
            </w:r>
            <w:r>
              <w:rPr>
                <w:rFonts w:hint="default" w:ascii="Times New Roman" w:hAnsi="Times New Roman" w:cs="Times New Roman"/>
                <w:color w:val="auto"/>
                <w:kern w:val="0"/>
                <w:vertAlign w:val="superscript"/>
              </w:rPr>
              <w:t xml:space="preserve">3 </w:t>
            </w:r>
            <w:r>
              <w:rPr>
                <w:rFonts w:hint="default" w:ascii="Times New Roman" w:hAnsi="Times New Roman" w:cs="Times New Roman"/>
                <w:color w:val="auto"/>
                <w:kern w:val="0"/>
              </w:rPr>
              <w:t>，因此项目喷淋塔设计取值</w:t>
            </w:r>
            <w:r>
              <w:rPr>
                <w:rFonts w:hint="default" w:ascii="Times New Roman" w:hAnsi="Times New Roman" w:cs="Times New Roman"/>
                <w:color w:val="auto"/>
                <w:kern w:val="0"/>
                <w:lang w:val="en-US" w:eastAsia="zh-CN"/>
              </w:rPr>
              <w:t>1</w:t>
            </w:r>
            <w:r>
              <w:rPr>
                <w:rFonts w:hint="default" w:ascii="Times New Roman" w:hAnsi="Times New Roman" w:cs="Times New Roman"/>
                <w:color w:val="auto"/>
                <w:kern w:val="0"/>
              </w:rPr>
              <w:t>L/m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。项目</w:t>
            </w:r>
            <w:r>
              <w:rPr>
                <w:rFonts w:hint="default" w:ascii="Times New Roman" w:hAnsi="Times New Roman" w:cs="Times New Roman"/>
                <w:color w:val="auto"/>
                <w:kern w:val="0"/>
                <w:lang w:val="en-US" w:eastAsia="zh-CN"/>
              </w:rPr>
              <w:t>排气筒DA002的</w:t>
            </w:r>
            <w:r>
              <w:rPr>
                <w:rFonts w:hint="default" w:ascii="Times New Roman" w:hAnsi="Times New Roman" w:cs="Times New Roman"/>
                <w:color w:val="auto"/>
                <w:kern w:val="0"/>
              </w:rPr>
              <w:t>废气处理设施设计风量为</w:t>
            </w:r>
            <w:r>
              <w:rPr>
                <w:rFonts w:hint="default" w:ascii="Times New Roman" w:hAnsi="Times New Roman" w:cs="Times New Roman"/>
                <w:color w:val="auto"/>
                <w:kern w:val="0"/>
                <w:lang w:val="en-US" w:eastAsia="zh-CN"/>
              </w:rPr>
              <w:t>32400</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/h，因此循环水量为</w:t>
            </w:r>
            <w:r>
              <w:rPr>
                <w:rFonts w:hint="default" w:ascii="Times New Roman" w:hAnsi="Times New Roman" w:cs="Times New Roman"/>
                <w:color w:val="auto"/>
                <w:lang w:val="en-US" w:eastAsia="zh-CN"/>
              </w:rPr>
              <w:t>32.4</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/h。</w:t>
            </w:r>
          </w:p>
          <w:p w14:paraId="1F21FC1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bCs/>
                <w:color w:val="auto"/>
              </w:rPr>
            </w:pPr>
            <w:r>
              <w:rPr>
                <w:rFonts w:hint="default" w:ascii="Times New Roman" w:hAnsi="Times New Roman" w:cs="Times New Roman"/>
                <w:bCs/>
                <w:color w:val="auto"/>
                <w:szCs w:val="21"/>
              </w:rPr>
              <w:t>参考《涂装车间设计手册》（化学工业出版社）</w:t>
            </w:r>
            <w:r>
              <w:rPr>
                <w:rFonts w:hint="default" w:ascii="Times New Roman" w:hAnsi="Times New Roman" w:cs="Times New Roman"/>
                <w:bCs/>
                <w:color w:val="auto"/>
                <w:szCs w:val="21"/>
                <w:lang w:val="en-US" w:eastAsia="zh-CN"/>
              </w:rPr>
              <w:t>喷淋式喷淋室的新鲜水补充量</w:t>
            </w:r>
            <w:r>
              <w:rPr>
                <w:rFonts w:hint="default" w:ascii="Times New Roman" w:hAnsi="Times New Roman" w:cs="Times New Roman"/>
                <w:bCs/>
                <w:color w:val="auto"/>
                <w:szCs w:val="21"/>
              </w:rPr>
              <w:t>，补充水量为循环水量的</w:t>
            </w:r>
            <w:r>
              <w:rPr>
                <w:rFonts w:hint="default" w:ascii="Times New Roman" w:hAnsi="Times New Roman" w:cs="Times New Roman"/>
                <w:bCs/>
                <w:color w:val="auto"/>
                <w:szCs w:val="21"/>
                <w:lang w:val="en-US" w:eastAsia="zh-CN"/>
              </w:rPr>
              <w:t>1.5-3</w:t>
            </w:r>
            <w:r>
              <w:rPr>
                <w:rFonts w:hint="default" w:ascii="Times New Roman" w:hAnsi="Times New Roman" w:cs="Times New Roman"/>
                <w:bCs/>
                <w:color w:val="auto"/>
                <w:szCs w:val="21"/>
              </w:rPr>
              <w:t>%，</w:t>
            </w:r>
            <w:r>
              <w:rPr>
                <w:rFonts w:hint="default" w:ascii="Times New Roman" w:hAnsi="Times New Roman" w:cs="Times New Roman"/>
                <w:color w:val="auto"/>
                <w:kern w:val="0"/>
              </w:rPr>
              <w:t>喷淋过程中水损耗量按</w:t>
            </w:r>
            <w:r>
              <w:rPr>
                <w:rFonts w:hint="default" w:ascii="Times New Roman" w:hAnsi="Times New Roman" w:cs="Times New Roman"/>
                <w:color w:val="auto"/>
                <w:kern w:val="0"/>
                <w:lang w:val="en-US" w:eastAsia="zh-CN"/>
              </w:rPr>
              <w:t>2</w:t>
            </w:r>
            <w:r>
              <w:rPr>
                <w:rFonts w:hint="default" w:ascii="Times New Roman" w:hAnsi="Times New Roman" w:cs="Times New Roman"/>
                <w:color w:val="auto"/>
                <w:kern w:val="0"/>
              </w:rPr>
              <w:t>%计算，废气处理设施年运行300天，则损耗水量为</w:t>
            </w:r>
            <w:r>
              <w:rPr>
                <w:rFonts w:hint="default" w:ascii="Times New Roman" w:hAnsi="Times New Roman" w:cs="Times New Roman"/>
                <w:color w:val="auto"/>
                <w:kern w:val="0"/>
                <w:lang w:val="en-US" w:eastAsia="zh-CN"/>
              </w:rPr>
              <w:t>15.648</w:t>
            </w:r>
            <w:r>
              <w:rPr>
                <w:rFonts w:hint="default" w:ascii="Times New Roman" w:hAnsi="Times New Roman" w:cs="Times New Roman"/>
                <w:color w:val="auto"/>
                <w:kern w:val="0"/>
              </w:rPr>
              <w:t>t/d（</w:t>
            </w:r>
            <w:r>
              <w:rPr>
                <w:rFonts w:hint="default" w:ascii="Times New Roman" w:hAnsi="Times New Roman" w:cs="Times New Roman"/>
                <w:color w:val="auto"/>
                <w:kern w:val="0"/>
                <w:lang w:val="en-US" w:eastAsia="zh-CN"/>
              </w:rPr>
              <w:t>4694.4</w:t>
            </w:r>
            <w:r>
              <w:rPr>
                <w:rFonts w:hint="default" w:ascii="Times New Roman" w:hAnsi="Times New Roman" w:cs="Times New Roman"/>
                <w:color w:val="auto"/>
                <w:kern w:val="0"/>
              </w:rPr>
              <w:t>t/a）。</w:t>
            </w:r>
          </w:p>
          <w:p w14:paraId="042C11F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cs="Times New Roman"/>
                <w:b/>
                <w:color w:val="auto"/>
                <w:lang w:val="en-US" w:eastAsia="zh-CN"/>
              </w:rPr>
            </w:pPr>
            <w:r>
              <w:rPr>
                <w:rFonts w:hint="default" w:ascii="Times New Roman" w:hAnsi="Times New Roman" w:cs="Times New Roman"/>
                <w:b/>
                <w:color w:val="auto"/>
                <w:lang w:val="en-US" w:eastAsia="zh-CN"/>
              </w:rPr>
              <w:t>④喷枪清洗用水</w:t>
            </w:r>
          </w:p>
          <w:p w14:paraId="7F2F479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pacing w:val="0"/>
                <w:kern w:val="21"/>
                <w:sz w:val="21"/>
                <w:szCs w:val="21"/>
                <w:lang w:val="en-US" w:eastAsia="zh-CN"/>
              </w:rPr>
            </w:pPr>
            <w:r>
              <w:rPr>
                <w:rFonts w:hint="default" w:ascii="Times New Roman" w:hAnsi="Times New Roman" w:eastAsia="宋体" w:cs="Times New Roman"/>
                <w:b w:val="0"/>
                <w:bCs w:val="0"/>
                <w:color w:val="auto"/>
                <w:spacing w:val="0"/>
                <w:kern w:val="21"/>
                <w:sz w:val="24"/>
                <w:szCs w:val="24"/>
                <w:lang w:val="en-US" w:eastAsia="zh-CN"/>
              </w:rPr>
              <w:t>项目使用水性漆进行喷漆的喷枪，使用完后需进行清洗，此过程会产生喷枪清洗废水。项目</w:t>
            </w:r>
            <w:r>
              <w:rPr>
                <w:rFonts w:hint="default" w:ascii="Times New Roman" w:hAnsi="Times New Roman" w:cs="Times New Roman"/>
                <w:b w:val="0"/>
                <w:bCs w:val="0"/>
                <w:color w:val="auto"/>
                <w:spacing w:val="0"/>
                <w:kern w:val="21"/>
                <w:sz w:val="24"/>
                <w:szCs w:val="24"/>
                <w:lang w:val="en-US" w:eastAsia="zh-CN"/>
              </w:rPr>
              <w:t>配备</w:t>
            </w:r>
            <w:r>
              <w:rPr>
                <w:rFonts w:hint="default" w:ascii="Times New Roman" w:hAnsi="Times New Roman" w:eastAsia="宋体" w:cs="Times New Roman"/>
                <w:b w:val="0"/>
                <w:bCs w:val="0"/>
                <w:color w:val="auto"/>
                <w:spacing w:val="0"/>
                <w:kern w:val="21"/>
                <w:sz w:val="24"/>
                <w:szCs w:val="24"/>
                <w:lang w:val="en-US" w:eastAsia="zh-CN"/>
              </w:rPr>
              <w:t>2支喷枪，将喷枪放置于清洗桶中加入自来水进行清洗，清洗喷头与管道，清洗方式为在清洗桶内利用喷枪自身吸水喷水方式进行清洗，无需添加任何药剂。根据建设单位提供的资料，喷枪清洗频率为每天清洗一次，单只喷枪流量为</w:t>
            </w:r>
            <w:r>
              <w:rPr>
                <w:rFonts w:hint="default" w:ascii="Times New Roman" w:hAnsi="Times New Roman" w:cs="Times New Roman"/>
                <w:b w:val="0"/>
                <w:bCs w:val="0"/>
                <w:color w:val="auto"/>
                <w:spacing w:val="0"/>
                <w:kern w:val="21"/>
                <w:sz w:val="24"/>
                <w:szCs w:val="24"/>
                <w:lang w:val="en-US" w:eastAsia="zh-CN"/>
              </w:rPr>
              <w:t>0.12</w:t>
            </w:r>
            <w:r>
              <w:rPr>
                <w:rFonts w:hint="default" w:ascii="Times New Roman" w:hAnsi="Times New Roman" w:eastAsia="宋体" w:cs="Times New Roman"/>
                <w:b w:val="0"/>
                <w:bCs w:val="0"/>
                <w:color w:val="auto"/>
                <w:spacing w:val="0"/>
                <w:kern w:val="21"/>
                <w:sz w:val="24"/>
                <w:szCs w:val="24"/>
                <w:lang w:val="en-US" w:eastAsia="zh-CN"/>
              </w:rPr>
              <w:t>L/min，清洗过程需要3min，年工作时间300天。因此，项目使用的喷枪清洗水用量为</w:t>
            </w:r>
            <w:r>
              <w:rPr>
                <w:rFonts w:hint="default" w:ascii="Times New Roman" w:hAnsi="Times New Roman" w:cs="Times New Roman"/>
                <w:b w:val="0"/>
                <w:bCs w:val="0"/>
                <w:color w:val="auto"/>
                <w:spacing w:val="0"/>
                <w:kern w:val="21"/>
                <w:sz w:val="24"/>
                <w:szCs w:val="24"/>
                <w:lang w:val="en-US" w:eastAsia="zh-CN"/>
              </w:rPr>
              <w:t>0.12</w:t>
            </w:r>
            <w:r>
              <w:rPr>
                <w:rFonts w:hint="default" w:ascii="Times New Roman" w:hAnsi="Times New Roman" w:eastAsia="宋体" w:cs="Times New Roman"/>
                <w:b w:val="0"/>
                <w:bCs w:val="0"/>
                <w:color w:val="auto"/>
                <w:spacing w:val="0"/>
                <w:kern w:val="21"/>
                <w:sz w:val="24"/>
                <w:szCs w:val="24"/>
                <w:lang w:val="en-US" w:eastAsia="zh-CN"/>
              </w:rPr>
              <w:t>L/min×3min/次×2支=</w:t>
            </w:r>
            <w:r>
              <w:rPr>
                <w:rFonts w:hint="default" w:ascii="Times New Roman" w:hAnsi="Times New Roman" w:cs="Times New Roman"/>
                <w:b w:val="0"/>
                <w:bCs w:val="0"/>
                <w:color w:val="auto"/>
                <w:spacing w:val="0"/>
                <w:kern w:val="21"/>
                <w:sz w:val="24"/>
                <w:szCs w:val="24"/>
                <w:lang w:val="en-US" w:eastAsia="zh-CN"/>
              </w:rPr>
              <w:t>0.72</w:t>
            </w:r>
            <w:r>
              <w:rPr>
                <w:rFonts w:hint="default" w:ascii="Times New Roman" w:hAnsi="Times New Roman" w:eastAsia="宋体" w:cs="Times New Roman"/>
                <w:b w:val="0"/>
                <w:bCs w:val="0"/>
                <w:color w:val="auto"/>
                <w:spacing w:val="0"/>
                <w:kern w:val="21"/>
                <w:sz w:val="24"/>
                <w:szCs w:val="24"/>
                <w:lang w:val="en-US" w:eastAsia="zh-CN"/>
              </w:rPr>
              <w:t>L/次，即</w:t>
            </w:r>
            <w:r>
              <w:rPr>
                <w:rFonts w:hint="default" w:ascii="Times New Roman" w:hAnsi="Times New Roman" w:cs="Times New Roman"/>
                <w:b w:val="0"/>
                <w:bCs w:val="0"/>
                <w:color w:val="auto"/>
                <w:spacing w:val="0"/>
                <w:kern w:val="21"/>
                <w:sz w:val="24"/>
                <w:szCs w:val="24"/>
                <w:lang w:val="en-US" w:eastAsia="zh-CN"/>
              </w:rPr>
              <w:t>0.00072</w:t>
            </w:r>
            <w:r>
              <w:rPr>
                <w:rFonts w:hint="default" w:ascii="Times New Roman" w:hAnsi="Times New Roman" w:eastAsia="宋体" w:cs="Times New Roman"/>
                <w:b w:val="0"/>
                <w:bCs w:val="0"/>
                <w:color w:val="auto"/>
                <w:spacing w:val="0"/>
                <w:kern w:val="21"/>
                <w:sz w:val="24"/>
                <w:szCs w:val="24"/>
                <w:lang w:val="en-US" w:eastAsia="zh-CN"/>
              </w:rPr>
              <w:t>m</w:t>
            </w:r>
            <w:r>
              <w:rPr>
                <w:rFonts w:hint="default" w:ascii="Times New Roman" w:hAnsi="Times New Roman" w:eastAsia="宋体" w:cs="Times New Roman"/>
                <w:b w:val="0"/>
                <w:bCs w:val="0"/>
                <w:color w:val="auto"/>
                <w:spacing w:val="0"/>
                <w:kern w:val="21"/>
                <w:sz w:val="24"/>
                <w:szCs w:val="24"/>
                <w:vertAlign w:val="superscript"/>
                <w:lang w:val="en-US" w:eastAsia="zh-CN"/>
              </w:rPr>
              <w:t>3</w:t>
            </w:r>
            <w:r>
              <w:rPr>
                <w:rFonts w:hint="default" w:ascii="Times New Roman" w:hAnsi="Times New Roman" w:eastAsia="宋体" w:cs="Times New Roman"/>
                <w:b w:val="0"/>
                <w:bCs w:val="0"/>
                <w:color w:val="auto"/>
                <w:spacing w:val="0"/>
                <w:kern w:val="21"/>
                <w:sz w:val="24"/>
                <w:szCs w:val="24"/>
                <w:lang w:val="en-US" w:eastAsia="zh-CN"/>
              </w:rPr>
              <w:t>/d（</w:t>
            </w:r>
            <w:r>
              <w:rPr>
                <w:rFonts w:hint="default" w:ascii="Times New Roman" w:hAnsi="Times New Roman" w:cs="Times New Roman"/>
                <w:b w:val="0"/>
                <w:bCs w:val="0"/>
                <w:color w:val="auto"/>
                <w:spacing w:val="0"/>
                <w:kern w:val="21"/>
                <w:sz w:val="24"/>
                <w:szCs w:val="24"/>
                <w:lang w:val="en-US" w:eastAsia="zh-CN"/>
              </w:rPr>
              <w:t>0.216</w:t>
            </w:r>
            <w:r>
              <w:rPr>
                <w:rFonts w:hint="default" w:ascii="Times New Roman" w:hAnsi="Times New Roman" w:eastAsia="宋体" w:cs="Times New Roman"/>
                <w:b w:val="0"/>
                <w:bCs w:val="0"/>
                <w:color w:val="auto"/>
                <w:spacing w:val="0"/>
                <w:kern w:val="21"/>
                <w:sz w:val="24"/>
                <w:szCs w:val="24"/>
                <w:lang w:val="en-US" w:eastAsia="zh-CN"/>
              </w:rPr>
              <w:t>m</w:t>
            </w:r>
            <w:r>
              <w:rPr>
                <w:rFonts w:hint="default" w:ascii="Times New Roman" w:hAnsi="Times New Roman" w:eastAsia="宋体" w:cs="Times New Roman"/>
                <w:b w:val="0"/>
                <w:bCs w:val="0"/>
                <w:color w:val="auto"/>
                <w:spacing w:val="0"/>
                <w:kern w:val="21"/>
                <w:sz w:val="24"/>
                <w:szCs w:val="24"/>
                <w:vertAlign w:val="superscript"/>
                <w:lang w:val="en-US" w:eastAsia="zh-CN"/>
              </w:rPr>
              <w:t>3</w:t>
            </w:r>
            <w:r>
              <w:rPr>
                <w:rFonts w:hint="default" w:ascii="Times New Roman" w:hAnsi="Times New Roman" w:eastAsia="宋体" w:cs="Times New Roman"/>
                <w:b w:val="0"/>
                <w:bCs w:val="0"/>
                <w:color w:val="auto"/>
                <w:spacing w:val="0"/>
                <w:kern w:val="21"/>
                <w:sz w:val="24"/>
                <w:szCs w:val="24"/>
                <w:lang w:val="en-US" w:eastAsia="zh-CN"/>
              </w:rPr>
              <w:t>/a）。</w:t>
            </w:r>
          </w:p>
          <w:p w14:paraId="7746C323">
            <w:pPr>
              <w:ind w:firstLine="482" w:firstLineChars="200"/>
              <w:rPr>
                <w:rFonts w:hint="default" w:ascii="Times New Roman" w:hAnsi="Times New Roman" w:cs="Times New Roman"/>
                <w:b/>
                <w:color w:val="auto"/>
              </w:rPr>
            </w:pPr>
            <w:r>
              <w:rPr>
                <w:rFonts w:hint="default" w:ascii="Times New Roman" w:hAnsi="Times New Roman" w:cs="Times New Roman"/>
                <w:b/>
                <w:color w:val="auto"/>
                <w:lang w:val="en-US" w:eastAsia="zh-CN"/>
              </w:rPr>
              <w:t>⑤</w:t>
            </w:r>
            <w:r>
              <w:rPr>
                <w:rFonts w:hint="default" w:ascii="Times New Roman" w:hAnsi="Times New Roman" w:cs="Times New Roman"/>
                <w:b/>
                <w:color w:val="auto"/>
              </w:rPr>
              <w:t>生活用水</w:t>
            </w:r>
          </w:p>
          <w:p w14:paraId="01433198">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rPr>
              <w:t>项目</w:t>
            </w:r>
            <w:r>
              <w:rPr>
                <w:rFonts w:hint="default" w:ascii="Times New Roman" w:hAnsi="Times New Roman" w:cs="Times New Roman"/>
                <w:color w:val="auto"/>
                <w:lang w:val="en-US" w:eastAsia="zh-CN"/>
              </w:rPr>
              <w:t>拟招员工50</w:t>
            </w:r>
            <w:r>
              <w:rPr>
                <w:rFonts w:hint="default" w:ascii="Times New Roman" w:hAnsi="Times New Roman" w:cs="Times New Roman"/>
                <w:color w:val="auto"/>
              </w:rPr>
              <w:t>人，</w:t>
            </w:r>
            <w:r>
              <w:rPr>
                <w:rFonts w:hint="default" w:ascii="Times New Roman" w:hAnsi="Times New Roman" w:cs="Times New Roman"/>
                <w:color w:val="auto"/>
                <w:lang w:val="en-US" w:eastAsia="zh-CN"/>
              </w:rPr>
              <w:t>不</w:t>
            </w:r>
            <w:r>
              <w:rPr>
                <w:rFonts w:hint="default" w:ascii="Times New Roman" w:hAnsi="Times New Roman" w:cs="Times New Roman"/>
                <w:color w:val="auto"/>
              </w:rPr>
              <w:t>在厂区内食宿，年工作时间</w:t>
            </w:r>
            <w:r>
              <w:rPr>
                <w:rFonts w:hint="default" w:ascii="Times New Roman" w:hAnsi="Times New Roman" w:cs="Times New Roman"/>
                <w:color w:val="auto"/>
                <w:lang w:val="en-US" w:eastAsia="zh-CN"/>
              </w:rPr>
              <w:t>300</w:t>
            </w:r>
            <w:r>
              <w:rPr>
                <w:rFonts w:hint="default" w:ascii="Times New Roman" w:hAnsi="Times New Roman" w:cs="Times New Roman"/>
                <w:color w:val="auto"/>
              </w:rPr>
              <w:t>d。根据广东省《用水定额 第3部分：生活》（DB44/T 1461.3-2021），</w:t>
            </w:r>
            <w:r>
              <w:rPr>
                <w:rFonts w:hint="default" w:ascii="Times New Roman" w:hAnsi="Times New Roman" w:cs="Times New Roman"/>
                <w:bCs/>
                <w:color w:val="auto"/>
                <w:kern w:val="0"/>
                <w:sz w:val="24"/>
                <w:szCs w:val="24"/>
                <w:lang w:eastAsia="zh-CN" w:bidi="ar"/>
              </w:rPr>
              <w:t>办公楼（无食堂和浴室）生活用水定额按10吨/人·年计，</w:t>
            </w:r>
            <w:r>
              <w:rPr>
                <w:rFonts w:hint="default" w:ascii="Times New Roman" w:hAnsi="Times New Roman" w:cs="Times New Roman"/>
                <w:color w:val="auto"/>
              </w:rPr>
              <w:t>则生活用水量为</w:t>
            </w:r>
            <w:r>
              <w:rPr>
                <w:rFonts w:hint="default" w:ascii="Times New Roman" w:hAnsi="Times New Roman" w:cs="Times New Roman"/>
                <w:color w:val="auto"/>
                <w:lang w:val="en-US" w:eastAsia="zh-CN"/>
              </w:rPr>
              <w:t>1.67</w:t>
            </w:r>
            <w:r>
              <w:rPr>
                <w:rFonts w:hint="default" w:ascii="Times New Roman" w:hAnsi="Times New Roman" w:cs="Times New Roman"/>
                <w:color w:val="auto"/>
              </w:rPr>
              <w:t>t/d（</w:t>
            </w:r>
            <w:r>
              <w:rPr>
                <w:rFonts w:hint="default" w:ascii="Times New Roman" w:hAnsi="Times New Roman" w:cs="Times New Roman"/>
                <w:color w:val="auto"/>
                <w:lang w:val="en-US" w:eastAsia="zh-CN"/>
              </w:rPr>
              <w:t>500</w:t>
            </w:r>
            <w:r>
              <w:rPr>
                <w:rFonts w:hint="default" w:ascii="Times New Roman" w:hAnsi="Times New Roman" w:cs="Times New Roman"/>
                <w:color w:val="auto"/>
              </w:rPr>
              <w:t>t/a），由市政供水。</w:t>
            </w:r>
          </w:p>
          <w:p w14:paraId="6B77EB92">
            <w:pPr>
              <w:ind w:firstLine="482" w:firstLineChars="200"/>
              <w:rPr>
                <w:rFonts w:hint="default" w:ascii="Times New Roman" w:hAnsi="Times New Roman" w:cs="Times New Roman"/>
                <w:b/>
                <w:color w:val="auto"/>
                <w:szCs w:val="22"/>
              </w:rPr>
            </w:pPr>
            <w:r>
              <w:rPr>
                <w:rFonts w:hint="default" w:ascii="Times New Roman" w:hAnsi="Times New Roman" w:cs="Times New Roman"/>
                <w:b/>
                <w:color w:val="auto"/>
                <w:szCs w:val="22"/>
              </w:rPr>
              <w:t>2）</w:t>
            </w:r>
            <w:bookmarkStart w:id="9" w:name="排水情况"/>
            <w:r>
              <w:rPr>
                <w:rFonts w:hint="default" w:ascii="Times New Roman" w:hAnsi="Times New Roman" w:cs="Times New Roman"/>
                <w:b/>
                <w:color w:val="auto"/>
                <w:szCs w:val="22"/>
              </w:rPr>
              <w:t>排水情况</w:t>
            </w:r>
            <w:bookmarkEnd w:id="9"/>
          </w:p>
          <w:p w14:paraId="25E190F5">
            <w:pPr>
              <w:ind w:firstLine="480" w:firstLineChars="200"/>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项目所在区域实行雨污分流制，分别设置有雨水管网、污水管网，项目</w:t>
            </w:r>
            <w:r>
              <w:rPr>
                <w:rFonts w:hint="default" w:ascii="Times New Roman" w:hAnsi="Times New Roman" w:cs="Times New Roman"/>
                <w:bCs/>
                <w:color w:val="auto"/>
                <w:kern w:val="0"/>
                <w:szCs w:val="21"/>
                <w:lang w:val="en-US" w:eastAsia="zh-CN"/>
              </w:rPr>
              <w:t>生活污水经市政管网纳入园洲镇第五污水处理厂处理</w:t>
            </w:r>
            <w:r>
              <w:rPr>
                <w:rFonts w:hint="default" w:ascii="Times New Roman" w:hAnsi="Times New Roman" w:cs="Times New Roman"/>
                <w:bCs/>
                <w:color w:val="auto"/>
                <w:kern w:val="0"/>
                <w:szCs w:val="21"/>
              </w:rPr>
              <w:t>。</w:t>
            </w:r>
          </w:p>
          <w:p w14:paraId="3056D6D6">
            <w:pPr>
              <w:ind w:firstLine="482" w:firstLineChars="200"/>
              <w:rPr>
                <w:rFonts w:hint="default" w:ascii="Times New Roman" w:hAnsi="Times New Roman" w:eastAsia="宋体" w:cs="Times New Roman"/>
                <w:bCs/>
                <w:iCs/>
                <w:color w:val="auto"/>
                <w:kern w:val="0"/>
                <w:lang w:val="en-US" w:eastAsia="zh-CN" w:bidi="ar"/>
              </w:rPr>
            </w:pPr>
            <w:r>
              <w:rPr>
                <w:rFonts w:hint="default" w:ascii="Times New Roman" w:hAnsi="Times New Roman" w:cs="Times New Roman"/>
                <w:b/>
                <w:bCs/>
                <w:color w:val="auto"/>
                <w:kern w:val="0"/>
                <w:szCs w:val="21"/>
              </w:rPr>
              <w:t>①</w:t>
            </w:r>
            <w:r>
              <w:rPr>
                <w:rFonts w:hint="default" w:ascii="Times New Roman" w:hAnsi="Times New Roman" w:cs="Times New Roman"/>
                <w:b/>
                <w:color w:val="auto"/>
                <w:lang w:val="en-US" w:eastAsia="zh-CN"/>
              </w:rPr>
              <w:t>冷却废水</w:t>
            </w:r>
          </w:p>
          <w:p w14:paraId="721233ED">
            <w:pPr>
              <w:ind w:firstLine="480" w:firstLineChars="200"/>
              <w:rPr>
                <w:rFonts w:hint="default" w:ascii="Times New Roman" w:hAnsi="Times New Roman" w:cs="Times New Roman"/>
                <w:bCs/>
                <w:color w:val="auto"/>
                <w:szCs w:val="21"/>
              </w:rPr>
            </w:pPr>
            <w:r>
              <w:rPr>
                <w:rFonts w:hint="default" w:ascii="Times New Roman" w:hAnsi="Times New Roman" w:cs="Times New Roman"/>
                <w:bCs/>
                <w:iCs/>
                <w:color w:val="auto"/>
                <w:kern w:val="0"/>
                <w:lang w:bidi="ar"/>
              </w:rPr>
              <w:t>根据上述分析，</w:t>
            </w:r>
            <w:r>
              <w:rPr>
                <w:rFonts w:hint="default" w:ascii="Times New Roman" w:hAnsi="Times New Roman" w:cs="Times New Roman"/>
                <w:color w:val="auto"/>
              </w:rPr>
              <w:t>冷却塔循环水量为</w:t>
            </w:r>
            <w:r>
              <w:rPr>
                <w:rFonts w:hint="default" w:ascii="Times New Roman" w:hAnsi="Times New Roman" w:cs="Times New Roman"/>
                <w:color w:val="auto"/>
                <w:lang w:val="en-US" w:eastAsia="zh-CN"/>
              </w:rPr>
              <w:t>96</w:t>
            </w:r>
            <w:r>
              <w:rPr>
                <w:rFonts w:hint="default" w:ascii="Times New Roman" w:hAnsi="Times New Roman" w:cs="Times New Roman"/>
                <w:bCs/>
                <w:color w:val="auto"/>
                <w:szCs w:val="21"/>
              </w:rPr>
              <w:t>t/d（</w:t>
            </w:r>
            <w:r>
              <w:rPr>
                <w:rFonts w:hint="default" w:ascii="Times New Roman" w:hAnsi="Times New Roman" w:cs="Times New Roman"/>
                <w:bCs/>
                <w:color w:val="auto"/>
                <w:szCs w:val="21"/>
                <w:lang w:val="en-US" w:eastAsia="zh-CN"/>
              </w:rPr>
              <w:t>28800</w:t>
            </w:r>
            <w:r>
              <w:rPr>
                <w:rFonts w:hint="default" w:ascii="Times New Roman" w:hAnsi="Times New Roman" w:cs="Times New Roman"/>
                <w:bCs/>
                <w:color w:val="auto"/>
                <w:szCs w:val="21"/>
              </w:rPr>
              <w:t>t/a）</w:t>
            </w:r>
            <w:r>
              <w:rPr>
                <w:rFonts w:hint="default" w:ascii="Times New Roman" w:hAnsi="Times New Roman" w:cs="Times New Roman"/>
                <w:color w:val="auto"/>
              </w:rPr>
              <w:t>，</w:t>
            </w:r>
            <w:r>
              <w:rPr>
                <w:rFonts w:hint="default" w:ascii="Times New Roman" w:hAnsi="Times New Roman" w:cs="Times New Roman"/>
                <w:color w:val="auto"/>
                <w:lang w:val="en-US" w:eastAsia="zh-CN"/>
              </w:rPr>
              <w:t>冷却方式为间接冷却，不接触工件，只在管道流动，冷却过程无需添加矿物油、乳化液、阻垢剂、杀菌剂等药剂，冷却水水质要求不高，会定期补充新鲜水，项目冷却用水通过絮凝沉淀过滤捞渣后可满足企业自行生产回用要求，因此冷却水</w:t>
            </w:r>
            <w:r>
              <w:rPr>
                <w:rFonts w:hint="default" w:ascii="Times New Roman" w:hAnsi="Times New Roman" w:cs="Times New Roman"/>
                <w:color w:val="auto"/>
              </w:rPr>
              <w:t>循环使用不外排。</w:t>
            </w:r>
          </w:p>
          <w:p w14:paraId="219580A6">
            <w:pPr>
              <w:ind w:firstLine="482" w:firstLineChars="200"/>
              <w:rPr>
                <w:rFonts w:hint="default" w:ascii="Times New Roman" w:hAnsi="Times New Roman" w:cs="Times New Roman"/>
                <w:b/>
                <w:iCs/>
                <w:color w:val="auto"/>
                <w:kern w:val="0"/>
                <w:lang w:bidi="ar"/>
              </w:rPr>
            </w:pPr>
            <w:r>
              <w:rPr>
                <w:rFonts w:hint="default" w:ascii="Times New Roman" w:hAnsi="Times New Roman" w:cs="Times New Roman"/>
                <w:b/>
                <w:iCs/>
                <w:color w:val="auto"/>
                <w:kern w:val="0"/>
                <w:lang w:bidi="ar"/>
              </w:rPr>
              <w:t>②</w:t>
            </w:r>
            <w:bookmarkStart w:id="10" w:name="水帘柜废水"/>
            <w:r>
              <w:rPr>
                <w:rFonts w:hint="default" w:ascii="Times New Roman" w:hAnsi="Times New Roman" w:cs="Times New Roman"/>
                <w:b/>
                <w:iCs/>
                <w:color w:val="auto"/>
                <w:kern w:val="0"/>
                <w:lang w:bidi="ar"/>
              </w:rPr>
              <w:t>水帘柜废水</w:t>
            </w:r>
            <w:bookmarkEnd w:id="10"/>
          </w:p>
          <w:p w14:paraId="061B0DA0">
            <w:pPr>
              <w:ind w:firstLine="480" w:firstLineChars="200"/>
              <w:rPr>
                <w:rFonts w:hint="default" w:ascii="Times New Roman" w:hAnsi="Times New Roman" w:cs="Times New Roman"/>
                <w:bCs/>
                <w:iCs/>
                <w:color w:val="auto"/>
                <w:kern w:val="0"/>
                <w:lang w:bidi="ar"/>
              </w:rPr>
            </w:pPr>
            <w:r>
              <w:rPr>
                <w:rFonts w:hint="default" w:ascii="Times New Roman" w:hAnsi="Times New Roman" w:cs="Times New Roman"/>
                <w:bCs/>
                <w:color w:val="auto"/>
                <w:szCs w:val="21"/>
              </w:rPr>
              <w:t>项目水帘柜对循环水水质要求不高，水帘柜对</w:t>
            </w:r>
            <w:r>
              <w:rPr>
                <w:rFonts w:hint="default" w:ascii="Times New Roman" w:hAnsi="Times New Roman" w:cs="Times New Roman"/>
                <w:bCs/>
                <w:color w:val="auto"/>
                <w:szCs w:val="21"/>
                <w:lang w:val="en-US" w:eastAsia="zh-CN"/>
              </w:rPr>
              <w:t>喷漆</w:t>
            </w:r>
            <w:r>
              <w:rPr>
                <w:rFonts w:hint="default" w:ascii="Times New Roman" w:hAnsi="Times New Roman" w:cs="Times New Roman"/>
                <w:bCs/>
                <w:color w:val="auto"/>
                <w:szCs w:val="21"/>
              </w:rPr>
              <w:t>废气进行预处理后循环水会含有</w:t>
            </w:r>
            <w:r>
              <w:rPr>
                <w:rFonts w:hint="default" w:ascii="Times New Roman" w:hAnsi="Times New Roman" w:cs="Times New Roman"/>
                <w:bCs/>
                <w:color w:val="auto"/>
                <w:szCs w:val="21"/>
                <w:lang w:val="en-US" w:eastAsia="zh-CN"/>
              </w:rPr>
              <w:t>颗粒物</w:t>
            </w:r>
            <w:r>
              <w:rPr>
                <w:rFonts w:hint="default" w:ascii="Times New Roman" w:hAnsi="Times New Roman" w:cs="Times New Roman"/>
                <w:bCs/>
                <w:color w:val="auto"/>
                <w:szCs w:val="21"/>
              </w:rPr>
              <w:t>、</w:t>
            </w:r>
            <w:r>
              <w:rPr>
                <w:rFonts w:hint="default" w:ascii="Times New Roman" w:hAnsi="Times New Roman" w:cs="Times New Roman"/>
                <w:bCs/>
                <w:color w:val="auto"/>
                <w:szCs w:val="21"/>
                <w:lang w:val="en-US" w:eastAsia="zh-CN"/>
              </w:rPr>
              <w:t>漆渣、</w:t>
            </w:r>
            <w:r>
              <w:rPr>
                <w:rFonts w:hint="default" w:ascii="Times New Roman" w:hAnsi="Times New Roman" w:cs="Times New Roman"/>
                <w:bCs/>
                <w:color w:val="auto"/>
                <w:szCs w:val="21"/>
              </w:rPr>
              <w:t>灰尘等污染物，经过一段时间会沉积在底部，建设单位定期打捞沉积在底部的</w:t>
            </w:r>
            <w:r>
              <w:rPr>
                <w:rFonts w:hint="default" w:ascii="Times New Roman" w:hAnsi="Times New Roman" w:cs="Times New Roman"/>
                <w:bCs/>
                <w:color w:val="auto"/>
                <w:szCs w:val="21"/>
                <w:lang w:val="en-US" w:eastAsia="zh-CN"/>
              </w:rPr>
              <w:t>漆渣</w:t>
            </w:r>
            <w:r>
              <w:rPr>
                <w:rFonts w:hint="default" w:ascii="Times New Roman" w:hAnsi="Times New Roman" w:cs="Times New Roman"/>
                <w:bCs/>
                <w:color w:val="auto"/>
                <w:szCs w:val="21"/>
              </w:rPr>
              <w:t>后循环使用喷淋水，为保证预处理效果，建设单位每</w:t>
            </w:r>
            <w:r>
              <w:rPr>
                <w:rFonts w:hint="default" w:ascii="Times New Roman" w:hAnsi="Times New Roman" w:cs="Times New Roman"/>
                <w:bCs/>
                <w:color w:val="auto"/>
                <w:szCs w:val="21"/>
                <w:lang w:val="en-US" w:eastAsia="zh-CN"/>
              </w:rPr>
              <w:t>4</w:t>
            </w:r>
            <w:r>
              <w:rPr>
                <w:rFonts w:hint="default" w:ascii="Times New Roman" w:hAnsi="Times New Roman" w:cs="Times New Roman"/>
                <w:bCs/>
                <w:color w:val="auto"/>
                <w:szCs w:val="21"/>
              </w:rPr>
              <w:t>个月更换一次水帘柜用水，年共更换</w:t>
            </w:r>
            <w:r>
              <w:rPr>
                <w:rFonts w:hint="default" w:ascii="Times New Roman" w:hAnsi="Times New Roman" w:cs="Times New Roman"/>
                <w:bCs/>
                <w:color w:val="auto"/>
                <w:szCs w:val="21"/>
                <w:lang w:val="en-US" w:eastAsia="zh-CN"/>
              </w:rPr>
              <w:t>3</w:t>
            </w:r>
            <w:r>
              <w:rPr>
                <w:rFonts w:hint="default" w:ascii="Times New Roman" w:hAnsi="Times New Roman" w:cs="Times New Roman"/>
                <w:bCs/>
                <w:color w:val="auto"/>
                <w:szCs w:val="21"/>
              </w:rPr>
              <w:t>次，则水帘柜更换用水量为</w:t>
            </w:r>
            <w:r>
              <w:rPr>
                <w:rFonts w:hint="default" w:ascii="Times New Roman" w:hAnsi="Times New Roman" w:cs="Times New Roman"/>
                <w:bCs/>
                <w:color w:val="auto"/>
                <w:szCs w:val="21"/>
                <w:lang w:val="en-US" w:eastAsia="zh-CN"/>
              </w:rPr>
              <w:t>0.06</w:t>
            </w:r>
            <w:r>
              <w:rPr>
                <w:rFonts w:hint="default" w:ascii="Times New Roman" w:hAnsi="Times New Roman" w:cs="Times New Roman"/>
                <w:bCs/>
                <w:color w:val="auto"/>
                <w:szCs w:val="21"/>
              </w:rPr>
              <w:t>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/d（</w:t>
            </w:r>
            <w:r>
              <w:rPr>
                <w:rFonts w:hint="default" w:ascii="Times New Roman" w:hAnsi="Times New Roman" w:cs="Times New Roman"/>
                <w:bCs/>
                <w:color w:val="auto"/>
                <w:szCs w:val="21"/>
                <w:lang w:val="en-US" w:eastAsia="zh-CN"/>
              </w:rPr>
              <w:t>18</w:t>
            </w:r>
            <w:r>
              <w:rPr>
                <w:rFonts w:hint="default" w:ascii="Times New Roman" w:hAnsi="Times New Roman" w:cs="Times New Roman"/>
                <w:bCs/>
                <w:color w:val="auto"/>
                <w:szCs w:val="21"/>
              </w:rPr>
              <w:t>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/a），收集后交由有危废资质单位处置，不外排。</w:t>
            </w:r>
          </w:p>
          <w:p w14:paraId="0ECDD20D">
            <w:pPr>
              <w:ind w:firstLine="482" w:firstLineChars="200"/>
              <w:rPr>
                <w:rFonts w:hint="default" w:ascii="Times New Roman" w:hAnsi="Times New Roman" w:cs="Times New Roman"/>
                <w:b/>
                <w:iCs/>
                <w:color w:val="auto"/>
                <w:kern w:val="0"/>
                <w:lang w:bidi="ar"/>
              </w:rPr>
            </w:pPr>
            <w:r>
              <w:rPr>
                <w:rFonts w:hint="default" w:ascii="Times New Roman" w:hAnsi="Times New Roman" w:cs="Times New Roman"/>
                <w:b/>
                <w:iCs/>
                <w:color w:val="auto"/>
                <w:kern w:val="0"/>
                <w:lang w:bidi="ar"/>
              </w:rPr>
              <w:t>③喷淋塔废水</w:t>
            </w:r>
          </w:p>
          <w:p w14:paraId="4A4EBE29">
            <w:pPr>
              <w:ind w:firstLine="480" w:firstLineChars="200"/>
              <w:rPr>
                <w:rFonts w:hint="default" w:ascii="Times New Roman" w:hAnsi="Times New Roman" w:cs="Times New Roman"/>
                <w:bCs/>
                <w:iCs/>
                <w:color w:val="auto"/>
                <w:kern w:val="0"/>
                <w:lang w:bidi="ar"/>
              </w:rPr>
            </w:pPr>
            <w:r>
              <w:rPr>
                <w:rFonts w:hint="default" w:ascii="Times New Roman" w:hAnsi="Times New Roman" w:cs="Times New Roman"/>
                <w:bCs/>
                <w:color w:val="auto"/>
                <w:szCs w:val="21"/>
              </w:rPr>
              <w:t>项目水喷淋塔对循环水水质要求不高，水喷淋塔处理有机废气后循环水会含有有机物质、灰尘等污染物，</w:t>
            </w:r>
            <w:r>
              <w:rPr>
                <w:rFonts w:hint="default" w:ascii="Times New Roman" w:hAnsi="Times New Roman" w:cs="Times New Roman"/>
                <w:bCs/>
                <w:color w:val="auto"/>
                <w:szCs w:val="21"/>
                <w:lang w:val="en-US" w:eastAsia="zh-CN"/>
              </w:rPr>
              <w:t>大部分污染物在水帘柜阶段被拦截，因此喷淋塔废水与水帘柜废水相比受污染程度较小，</w:t>
            </w:r>
            <w:r>
              <w:rPr>
                <w:rFonts w:hint="default" w:ascii="Times New Roman" w:hAnsi="Times New Roman" w:cs="Times New Roman"/>
                <w:bCs/>
                <w:color w:val="auto"/>
                <w:szCs w:val="21"/>
              </w:rPr>
              <w:t>为保证处理效果，建设单位每</w:t>
            </w:r>
            <w:r>
              <w:rPr>
                <w:rFonts w:hint="default" w:ascii="Times New Roman" w:hAnsi="Times New Roman" w:cs="Times New Roman"/>
                <w:bCs/>
                <w:color w:val="auto"/>
                <w:szCs w:val="21"/>
                <w:lang w:val="en-US" w:eastAsia="zh-CN"/>
              </w:rPr>
              <w:t>3</w:t>
            </w:r>
            <w:r>
              <w:rPr>
                <w:rFonts w:hint="default" w:ascii="Times New Roman" w:hAnsi="Times New Roman" w:cs="Times New Roman"/>
                <w:bCs/>
                <w:color w:val="auto"/>
                <w:szCs w:val="21"/>
              </w:rPr>
              <w:t>个月对水喷淋塔喷淋水更换</w:t>
            </w:r>
            <w:r>
              <w:rPr>
                <w:rFonts w:hint="default" w:ascii="Times New Roman" w:hAnsi="Times New Roman" w:cs="Times New Roman"/>
                <w:bCs/>
                <w:color w:val="auto"/>
                <w:szCs w:val="21"/>
                <w:lang w:val="en-US" w:eastAsia="zh-CN"/>
              </w:rPr>
              <w:t>一次</w:t>
            </w:r>
            <w:r>
              <w:rPr>
                <w:rFonts w:hint="default" w:ascii="Times New Roman" w:hAnsi="Times New Roman" w:cs="Times New Roman"/>
                <w:bCs/>
                <w:color w:val="auto"/>
                <w:szCs w:val="21"/>
              </w:rPr>
              <w:t>，更换水量为</w:t>
            </w:r>
            <w:r>
              <w:rPr>
                <w:rFonts w:hint="default" w:ascii="Times New Roman" w:hAnsi="Times New Roman" w:cs="Times New Roman"/>
                <w:bCs/>
                <w:color w:val="auto"/>
                <w:szCs w:val="21"/>
                <w:lang w:val="en-US" w:eastAsia="zh-CN"/>
              </w:rPr>
              <w:t>16</w:t>
            </w:r>
            <w:r>
              <w:rPr>
                <w:rFonts w:hint="default" w:ascii="Times New Roman" w:hAnsi="Times New Roman" w:cs="Times New Roman"/>
                <w:bCs/>
                <w:color w:val="auto"/>
                <w:szCs w:val="21"/>
              </w:rPr>
              <w:t>t/a（</w:t>
            </w:r>
            <w:r>
              <w:rPr>
                <w:rFonts w:hint="default" w:ascii="Times New Roman" w:hAnsi="Times New Roman" w:cs="Times New Roman"/>
                <w:bCs/>
                <w:color w:val="auto"/>
                <w:szCs w:val="21"/>
                <w:lang w:val="en-US" w:eastAsia="zh-CN"/>
              </w:rPr>
              <w:t>0.053</w:t>
            </w:r>
            <w:r>
              <w:rPr>
                <w:rFonts w:hint="default" w:ascii="Times New Roman" w:hAnsi="Times New Roman" w:cs="Times New Roman"/>
                <w:bCs/>
                <w:color w:val="auto"/>
                <w:szCs w:val="21"/>
              </w:rPr>
              <w:t>t/d，按年</w:t>
            </w:r>
            <w:r>
              <w:rPr>
                <w:rFonts w:hint="default" w:ascii="Times New Roman" w:hAnsi="Times New Roman" w:cs="Times New Roman"/>
                <w:bCs/>
                <w:color w:val="auto"/>
                <w:szCs w:val="21"/>
                <w:lang w:val="en-US" w:eastAsia="zh-CN"/>
              </w:rPr>
              <w:t>300</w:t>
            </w:r>
            <w:r>
              <w:rPr>
                <w:rFonts w:hint="default" w:ascii="Times New Roman" w:hAnsi="Times New Roman" w:cs="Times New Roman"/>
                <w:bCs/>
                <w:color w:val="auto"/>
                <w:szCs w:val="21"/>
              </w:rPr>
              <w:t>天计算），更换废水交由有资质的单位处理，不外排。</w:t>
            </w:r>
          </w:p>
          <w:p w14:paraId="35A9A78B">
            <w:pPr>
              <w:ind w:firstLine="482" w:firstLineChars="200"/>
              <w:rPr>
                <w:rFonts w:hint="default" w:ascii="Times New Roman" w:hAnsi="Times New Roman" w:cs="Times New Roman"/>
                <w:b/>
                <w:color w:val="auto"/>
                <w:lang w:val="en-US" w:eastAsia="zh-CN"/>
              </w:rPr>
            </w:pPr>
            <w:r>
              <w:rPr>
                <w:rFonts w:hint="default" w:ascii="Times New Roman" w:hAnsi="Times New Roman" w:cs="Times New Roman"/>
                <w:b/>
                <w:color w:val="auto"/>
              </w:rPr>
              <w:t>④</w:t>
            </w:r>
            <w:r>
              <w:rPr>
                <w:rFonts w:hint="default" w:ascii="Times New Roman" w:hAnsi="Times New Roman" w:cs="Times New Roman"/>
                <w:b/>
                <w:color w:val="auto"/>
                <w:lang w:val="en-US" w:eastAsia="zh-CN"/>
              </w:rPr>
              <w:t>喷枪清洗废水</w:t>
            </w:r>
          </w:p>
          <w:p w14:paraId="3F67D9C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b/>
                <w:color w:val="auto"/>
                <w:lang w:val="en-US" w:eastAsia="zh-CN"/>
              </w:rPr>
            </w:pPr>
            <w:r>
              <w:rPr>
                <w:rFonts w:hint="default" w:ascii="Times New Roman" w:hAnsi="Times New Roman" w:eastAsia="宋体" w:cs="Times New Roman"/>
                <w:b w:val="0"/>
                <w:bCs w:val="0"/>
                <w:color w:val="auto"/>
                <w:spacing w:val="0"/>
                <w:kern w:val="21"/>
                <w:sz w:val="24"/>
                <w:szCs w:val="24"/>
                <w:lang w:val="en-US" w:eastAsia="zh-CN"/>
              </w:rPr>
              <w:t>项目喷枪清洗用水在使用过程会有所损耗，产污系数按0.9计，则项目喷枪清洗废水的产生量为</w:t>
            </w:r>
            <w:r>
              <w:rPr>
                <w:rFonts w:hint="default" w:ascii="Times New Roman" w:hAnsi="Times New Roman" w:cs="Times New Roman"/>
                <w:b w:val="0"/>
                <w:bCs w:val="0"/>
                <w:color w:val="auto"/>
                <w:spacing w:val="0"/>
                <w:kern w:val="21"/>
                <w:sz w:val="24"/>
                <w:szCs w:val="24"/>
                <w:lang w:val="en-US" w:eastAsia="zh-CN"/>
              </w:rPr>
              <w:t>0.000647</w:t>
            </w:r>
            <w:r>
              <w:rPr>
                <w:rFonts w:hint="default" w:ascii="Times New Roman" w:hAnsi="Times New Roman" w:eastAsia="宋体" w:cs="Times New Roman"/>
                <w:b w:val="0"/>
                <w:bCs w:val="0"/>
                <w:color w:val="auto"/>
                <w:spacing w:val="0"/>
                <w:kern w:val="21"/>
                <w:sz w:val="24"/>
                <w:szCs w:val="24"/>
                <w:lang w:val="en-US" w:eastAsia="zh-CN"/>
              </w:rPr>
              <w:t>m</w:t>
            </w:r>
            <w:r>
              <w:rPr>
                <w:rFonts w:hint="default" w:ascii="Times New Roman" w:hAnsi="Times New Roman" w:eastAsia="宋体" w:cs="Times New Roman"/>
                <w:b w:val="0"/>
                <w:bCs w:val="0"/>
                <w:color w:val="auto"/>
                <w:spacing w:val="0"/>
                <w:kern w:val="21"/>
                <w:sz w:val="24"/>
                <w:szCs w:val="24"/>
                <w:vertAlign w:val="superscript"/>
                <w:lang w:val="en-US" w:eastAsia="zh-CN"/>
              </w:rPr>
              <w:t>3</w:t>
            </w:r>
            <w:r>
              <w:rPr>
                <w:rFonts w:hint="default" w:ascii="Times New Roman" w:hAnsi="Times New Roman" w:eastAsia="宋体" w:cs="Times New Roman"/>
                <w:b w:val="0"/>
                <w:bCs w:val="0"/>
                <w:color w:val="auto"/>
                <w:spacing w:val="0"/>
                <w:kern w:val="21"/>
                <w:sz w:val="24"/>
                <w:szCs w:val="24"/>
                <w:lang w:val="en-US" w:eastAsia="zh-CN"/>
              </w:rPr>
              <w:t>/d（</w:t>
            </w:r>
            <w:r>
              <w:rPr>
                <w:rFonts w:hint="default" w:ascii="Times New Roman" w:hAnsi="Times New Roman" w:cs="Times New Roman"/>
                <w:b w:val="0"/>
                <w:bCs w:val="0"/>
                <w:color w:val="auto"/>
                <w:spacing w:val="0"/>
                <w:kern w:val="21"/>
                <w:sz w:val="24"/>
                <w:szCs w:val="24"/>
                <w:lang w:val="en-US" w:eastAsia="zh-CN"/>
              </w:rPr>
              <w:t>0.194</w:t>
            </w:r>
            <w:r>
              <w:rPr>
                <w:rFonts w:hint="default" w:ascii="Times New Roman" w:hAnsi="Times New Roman" w:eastAsia="宋体" w:cs="Times New Roman"/>
                <w:b w:val="0"/>
                <w:bCs w:val="0"/>
                <w:color w:val="auto"/>
                <w:spacing w:val="0"/>
                <w:kern w:val="21"/>
                <w:sz w:val="24"/>
                <w:szCs w:val="24"/>
                <w:lang w:val="en-US" w:eastAsia="zh-CN"/>
              </w:rPr>
              <w:t>m</w:t>
            </w:r>
            <w:r>
              <w:rPr>
                <w:rFonts w:hint="default" w:ascii="Times New Roman" w:hAnsi="Times New Roman" w:eastAsia="宋体" w:cs="Times New Roman"/>
                <w:b w:val="0"/>
                <w:bCs w:val="0"/>
                <w:color w:val="auto"/>
                <w:spacing w:val="0"/>
                <w:kern w:val="21"/>
                <w:sz w:val="24"/>
                <w:szCs w:val="24"/>
                <w:vertAlign w:val="superscript"/>
                <w:lang w:val="en-US" w:eastAsia="zh-CN"/>
              </w:rPr>
              <w:t>3</w:t>
            </w:r>
            <w:r>
              <w:rPr>
                <w:rFonts w:hint="default" w:ascii="Times New Roman" w:hAnsi="Times New Roman" w:eastAsia="宋体" w:cs="Times New Roman"/>
                <w:b w:val="0"/>
                <w:bCs w:val="0"/>
                <w:color w:val="auto"/>
                <w:spacing w:val="0"/>
                <w:kern w:val="21"/>
                <w:sz w:val="24"/>
                <w:szCs w:val="24"/>
                <w:lang w:val="en-US" w:eastAsia="zh-CN"/>
              </w:rPr>
              <w:t>/a），收集后交由有危废资质单位处置，不外排。</w:t>
            </w:r>
          </w:p>
          <w:p w14:paraId="082ED602">
            <w:pPr>
              <w:ind w:firstLine="482" w:firstLineChars="200"/>
              <w:rPr>
                <w:rFonts w:hint="default" w:ascii="Times New Roman" w:hAnsi="Times New Roman" w:cs="Times New Roman"/>
                <w:b/>
                <w:iCs/>
                <w:color w:val="auto"/>
                <w:kern w:val="0"/>
                <w:lang w:bidi="ar"/>
              </w:rPr>
            </w:pPr>
            <w:r>
              <w:rPr>
                <w:rFonts w:hint="default" w:ascii="Times New Roman" w:hAnsi="Times New Roman" w:cs="Times New Roman"/>
                <w:b/>
                <w:color w:val="auto"/>
                <w:lang w:val="en-US" w:eastAsia="zh-CN"/>
              </w:rPr>
              <w:t>⑤</w:t>
            </w:r>
            <w:r>
              <w:rPr>
                <w:rFonts w:hint="default" w:ascii="Times New Roman" w:hAnsi="Times New Roman" w:cs="Times New Roman"/>
                <w:b/>
                <w:iCs/>
                <w:color w:val="auto"/>
                <w:kern w:val="0"/>
                <w:lang w:bidi="ar"/>
              </w:rPr>
              <w:t>生活污水</w:t>
            </w:r>
          </w:p>
          <w:p w14:paraId="4A009701">
            <w:pPr>
              <w:ind w:firstLine="480" w:firstLineChars="200"/>
              <w:rPr>
                <w:rFonts w:hint="default" w:ascii="Times New Roman" w:hAnsi="Times New Roman" w:cs="Times New Roman"/>
                <w:iCs/>
                <w:color w:val="auto"/>
                <w:kern w:val="0"/>
                <w:lang w:bidi="ar"/>
              </w:rPr>
            </w:pPr>
            <w:r>
              <w:rPr>
                <w:rFonts w:hint="default" w:ascii="Times New Roman" w:hAnsi="Times New Roman" w:cs="Times New Roman"/>
                <w:color w:val="auto"/>
                <w:kern w:val="0"/>
              </w:rPr>
              <w:t>项目运营期生活用水量为</w:t>
            </w:r>
            <w:r>
              <w:rPr>
                <w:rFonts w:hint="default" w:ascii="Times New Roman" w:hAnsi="Times New Roman" w:cs="Times New Roman"/>
                <w:color w:val="auto"/>
                <w:lang w:val="en-US" w:eastAsia="zh-CN"/>
              </w:rPr>
              <w:t>1.67</w:t>
            </w:r>
            <w:r>
              <w:rPr>
                <w:rFonts w:hint="default" w:ascii="Times New Roman" w:hAnsi="Times New Roman" w:cs="Times New Roman"/>
                <w:color w:val="auto"/>
              </w:rPr>
              <w:t>t/d（</w:t>
            </w:r>
            <w:r>
              <w:rPr>
                <w:rFonts w:hint="default" w:ascii="Times New Roman" w:hAnsi="Times New Roman" w:cs="Times New Roman"/>
                <w:color w:val="auto"/>
                <w:lang w:val="en-US" w:eastAsia="zh-CN"/>
              </w:rPr>
              <w:t>500</w:t>
            </w:r>
            <w:r>
              <w:rPr>
                <w:rFonts w:hint="default" w:ascii="Times New Roman" w:hAnsi="Times New Roman" w:cs="Times New Roman"/>
                <w:color w:val="auto"/>
              </w:rPr>
              <w:t>t/a）</w:t>
            </w:r>
            <w:r>
              <w:rPr>
                <w:rFonts w:hint="default" w:ascii="Times New Roman" w:hAnsi="Times New Roman" w:cs="Times New Roman"/>
                <w:color w:val="auto"/>
                <w:kern w:val="0"/>
              </w:rPr>
              <w:t>，排污系数按90%计算，则排水量为</w:t>
            </w:r>
            <w:r>
              <w:rPr>
                <w:rFonts w:hint="default" w:ascii="Times New Roman" w:hAnsi="Times New Roman" w:cs="Times New Roman"/>
                <w:color w:val="auto"/>
                <w:lang w:val="en-US" w:eastAsia="zh-CN"/>
              </w:rPr>
              <w:t>1.5</w:t>
            </w:r>
            <w:r>
              <w:rPr>
                <w:rFonts w:hint="default" w:ascii="Times New Roman" w:hAnsi="Times New Roman" w:cs="Times New Roman"/>
                <w:color w:val="auto"/>
              </w:rPr>
              <w:t>t/d（</w:t>
            </w:r>
            <w:r>
              <w:rPr>
                <w:rFonts w:hint="default" w:ascii="Times New Roman" w:hAnsi="Times New Roman" w:cs="Times New Roman"/>
                <w:color w:val="auto"/>
                <w:lang w:val="en-US" w:eastAsia="zh-CN"/>
              </w:rPr>
              <w:t>450</w:t>
            </w:r>
            <w:r>
              <w:rPr>
                <w:rFonts w:hint="default" w:ascii="Times New Roman" w:hAnsi="Times New Roman" w:cs="Times New Roman"/>
                <w:color w:val="auto"/>
              </w:rPr>
              <w:t>t/a）</w:t>
            </w:r>
            <w:r>
              <w:rPr>
                <w:rFonts w:hint="default" w:ascii="Times New Roman" w:hAnsi="Times New Roman" w:cs="Times New Roman"/>
                <w:iCs/>
                <w:color w:val="auto"/>
                <w:kern w:val="0"/>
                <w:lang w:bidi="ar"/>
              </w:rPr>
              <w:t>。</w:t>
            </w:r>
            <w:r>
              <w:rPr>
                <w:rFonts w:hint="default" w:ascii="Times New Roman" w:hAnsi="Times New Roman" w:cs="Times New Roman"/>
                <w:color w:val="auto"/>
              </w:rPr>
              <w:t>生活污水经三级化粪池处理后进入</w:t>
            </w:r>
            <w:r>
              <w:rPr>
                <w:rFonts w:hint="default" w:ascii="Times New Roman" w:hAnsi="Times New Roman" w:cs="Times New Roman"/>
                <w:color w:val="auto"/>
                <w:lang w:eastAsia="zh-CN"/>
              </w:rPr>
              <w:t>园洲镇第五污水处理厂</w:t>
            </w:r>
            <w:r>
              <w:rPr>
                <w:rFonts w:hint="default" w:ascii="Times New Roman" w:hAnsi="Times New Roman" w:cs="Times New Roman"/>
                <w:color w:val="auto"/>
              </w:rPr>
              <w:t>处理，达标尾水排入园洲中心排渠汇入沙河。</w:t>
            </w:r>
          </w:p>
          <w:p w14:paraId="006F3A87">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项目水平衡图详见下图。</w:t>
            </w:r>
          </w:p>
          <w:p w14:paraId="75931FA5">
            <w:pPr>
              <w:spacing w:line="240" w:lineRule="auto"/>
              <w:jc w:val="center"/>
              <w:rPr>
                <w:rFonts w:hint="default" w:ascii="Times New Roman" w:hAnsi="Times New Roman" w:eastAsia="宋体" w:cs="Times New Roman"/>
                <w:color w:val="auto"/>
                <w:szCs w:val="22"/>
                <w:lang w:eastAsia="zh-CN"/>
              </w:rPr>
            </w:pPr>
            <w:r>
              <w:rPr>
                <w:rFonts w:hint="default" w:ascii="Times New Roman" w:hAnsi="Times New Roman" w:eastAsia="宋体" w:cs="Times New Roman"/>
                <w:color w:val="auto"/>
                <w:szCs w:val="22"/>
                <w:lang w:eastAsia="zh-CN"/>
              </w:rPr>
              <w:object>
                <v:shape id="_x0000_i1026" o:spt="75" type="#_x0000_t75" style="height:242.3pt;width:455.05pt;" o:ole="t" filled="f" o:preferrelative="t" stroked="f" coordsize="21600,21600">
                  <v:path/>
                  <v:fill on="f" focussize="0,0"/>
                  <v:stroke on="f"/>
                  <v:imagedata r:id="rId18" cropleft="1156f" croptop="7237f" cropright="617f" o:title=""/>
                  <o:lock v:ext="edit" aspectratio="t"/>
                  <w10:wrap type="none"/>
                  <w10:anchorlock/>
                </v:shape>
                <o:OLEObject Type="Embed" ProgID="Visio.Drawing.11" ShapeID="_x0000_i1026" DrawAspect="Content" ObjectID="_1468075726" r:id="rId17">
                  <o:LockedField>false</o:LockedField>
                </o:OLEObject>
              </w:object>
            </w:r>
          </w:p>
          <w:p w14:paraId="3F9D4427">
            <w:pPr>
              <w:spacing w:line="240" w:lineRule="auto"/>
              <w:jc w:val="center"/>
              <w:rPr>
                <w:rFonts w:hint="default" w:ascii="Times New Roman" w:hAnsi="Times New Roman" w:cs="Times New Roman"/>
                <w:b/>
                <w:color w:val="auto"/>
                <w:kern w:val="0"/>
              </w:rPr>
            </w:pPr>
            <w:r>
              <w:rPr>
                <w:rFonts w:hint="default" w:ascii="Times New Roman" w:hAnsi="Times New Roman" w:cs="Times New Roman"/>
                <w:b/>
                <w:color w:val="auto"/>
                <w:kern w:val="0"/>
              </w:rPr>
              <w:t xml:space="preserve">图1  </w:t>
            </w:r>
            <w:bookmarkStart w:id="11" w:name="项目水平衡图"/>
            <w:r>
              <w:rPr>
                <w:rFonts w:hint="default" w:ascii="Times New Roman" w:hAnsi="Times New Roman" w:cs="Times New Roman"/>
                <w:b/>
                <w:color w:val="auto"/>
                <w:kern w:val="0"/>
              </w:rPr>
              <w:t>项目水平衡图</w:t>
            </w:r>
            <w:bookmarkEnd w:id="11"/>
            <w:r>
              <w:rPr>
                <w:rFonts w:hint="default" w:ascii="Times New Roman" w:hAnsi="Times New Roman" w:cs="Times New Roman"/>
                <w:b/>
                <w:color w:val="auto"/>
                <w:kern w:val="0"/>
              </w:rPr>
              <w:t xml:space="preserve">  （单位：t/d）</w:t>
            </w:r>
          </w:p>
          <w:p w14:paraId="3E84A429">
            <w:pPr>
              <w:wordWrap/>
              <w:adjustRightInd w:val="0"/>
              <w:snapToGrid w:val="0"/>
              <w:ind w:firstLine="482" w:firstLineChars="200"/>
              <w:rPr>
                <w:rFonts w:hint="default" w:ascii="Times New Roman" w:hAnsi="Times New Roman" w:cs="Times New Roman"/>
                <w:b/>
                <w:bCs/>
                <w:color w:val="auto"/>
                <w:highlight w:val="none"/>
                <w:lang w:bidi="ar"/>
              </w:rPr>
            </w:pPr>
            <w:r>
              <w:rPr>
                <w:rFonts w:hint="default" w:ascii="Times New Roman" w:hAnsi="Times New Roman" w:cs="Times New Roman"/>
                <w:b/>
                <w:bCs/>
                <w:color w:val="auto"/>
                <w:highlight w:val="none"/>
                <w:lang w:bidi="ar"/>
              </w:rPr>
              <w:t>（9）</w:t>
            </w:r>
            <w:bookmarkStart w:id="12" w:name="VOCs平衡"/>
            <w:r>
              <w:rPr>
                <w:rFonts w:hint="default" w:ascii="Times New Roman" w:hAnsi="Times New Roman" w:cs="Times New Roman"/>
                <w:b/>
                <w:bCs/>
                <w:color w:val="auto"/>
                <w:highlight w:val="none"/>
                <w:lang w:bidi="ar"/>
              </w:rPr>
              <w:t>VOCs平衡</w:t>
            </w:r>
            <w:bookmarkEnd w:id="12"/>
          </w:p>
          <w:p w14:paraId="7B7E7D82">
            <w:pPr>
              <w:wordWrap/>
              <w:spacing w:line="240" w:lineRule="auto"/>
              <w:jc w:val="center"/>
              <w:rPr>
                <w:rFonts w:hint="default" w:ascii="Times New Roman" w:hAnsi="Times New Roman" w:cs="Times New Roman"/>
                <w:b/>
                <w:bCs/>
                <w:snapToGrid w:val="0"/>
                <w:color w:val="auto"/>
                <w:kern w:val="0"/>
                <w:szCs w:val="22"/>
                <w:highlight w:val="none"/>
              </w:rPr>
            </w:pPr>
            <w:r>
              <w:rPr>
                <w:rFonts w:hint="default" w:ascii="Times New Roman" w:hAnsi="Times New Roman" w:cs="Times New Roman"/>
                <w:b/>
                <w:bCs/>
                <w:snapToGrid w:val="0"/>
                <w:color w:val="auto"/>
                <w:kern w:val="0"/>
                <w:szCs w:val="22"/>
                <w:highlight w:val="none"/>
              </w:rPr>
              <w:t>表</w:t>
            </w:r>
            <w:r>
              <w:rPr>
                <w:rFonts w:hint="default" w:ascii="Times New Roman" w:hAnsi="Times New Roman" w:cs="Times New Roman"/>
                <w:b/>
                <w:bCs/>
                <w:snapToGrid w:val="0"/>
                <w:color w:val="auto"/>
                <w:kern w:val="0"/>
                <w:szCs w:val="22"/>
                <w:highlight w:val="none"/>
                <w:lang w:val="en-US" w:eastAsia="zh-CN"/>
              </w:rPr>
              <w:t>2-10</w:t>
            </w:r>
            <w:r>
              <w:rPr>
                <w:rFonts w:hint="default" w:ascii="Times New Roman" w:hAnsi="Times New Roman" w:cs="Times New Roman"/>
                <w:b/>
                <w:bCs/>
                <w:snapToGrid w:val="0"/>
                <w:color w:val="auto"/>
                <w:kern w:val="0"/>
                <w:szCs w:val="22"/>
                <w:highlight w:val="none"/>
              </w:rPr>
              <w:t xml:space="preserve"> 项目VOCs平衡表</w:t>
            </w:r>
          </w:p>
          <w:tbl>
            <w:tblPr>
              <w:tblStyle w:val="22"/>
              <w:tblW w:w="497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302"/>
              <w:gridCol w:w="2403"/>
              <w:gridCol w:w="1170"/>
              <w:gridCol w:w="2293"/>
            </w:tblGrid>
            <w:tr w14:paraId="78F42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18" w:type="pct"/>
                  <w:gridSpan w:val="2"/>
                  <w:vAlign w:val="center"/>
                </w:tcPr>
                <w:p w14:paraId="0DD13E87">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投入</w:t>
                  </w:r>
                </w:p>
              </w:tc>
              <w:tc>
                <w:tcPr>
                  <w:tcW w:w="3281" w:type="pct"/>
                  <w:gridSpan w:val="3"/>
                  <w:vAlign w:val="center"/>
                </w:tcPr>
                <w:p w14:paraId="4FB18A66">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产出</w:t>
                  </w:r>
                </w:p>
              </w:tc>
            </w:tr>
            <w:tr w14:paraId="3C1B2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vAlign w:val="center"/>
                </w:tcPr>
                <w:p w14:paraId="22A4E72B">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物料名称</w:t>
                  </w:r>
                </w:p>
              </w:tc>
              <w:tc>
                <w:tcPr>
                  <w:tcW w:w="728" w:type="pct"/>
                  <w:vAlign w:val="center"/>
                </w:tcPr>
                <w:p w14:paraId="7A525CF8">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数量</w:t>
                  </w:r>
                </w:p>
              </w:tc>
              <w:tc>
                <w:tcPr>
                  <w:tcW w:w="1344" w:type="pct"/>
                  <w:vAlign w:val="center"/>
                </w:tcPr>
                <w:p w14:paraId="375193C9">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产物</w:t>
                  </w:r>
                </w:p>
              </w:tc>
              <w:tc>
                <w:tcPr>
                  <w:tcW w:w="654" w:type="pct"/>
                  <w:vAlign w:val="center"/>
                </w:tcPr>
                <w:p w14:paraId="4CEA0FE4">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数量</w:t>
                  </w:r>
                </w:p>
              </w:tc>
              <w:tc>
                <w:tcPr>
                  <w:tcW w:w="1282" w:type="pct"/>
                  <w:vAlign w:val="center"/>
                </w:tcPr>
                <w:p w14:paraId="3F7BF0FC">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备注</w:t>
                  </w:r>
                </w:p>
              </w:tc>
            </w:tr>
            <w:tr w14:paraId="436EF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vAlign w:val="center"/>
                </w:tcPr>
                <w:p w14:paraId="7F917FF5">
                  <w:pPr>
                    <w:wordWrap/>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水性漆挥发</w:t>
                  </w:r>
                </w:p>
              </w:tc>
              <w:tc>
                <w:tcPr>
                  <w:tcW w:w="728" w:type="pct"/>
                  <w:vAlign w:val="center"/>
                </w:tcPr>
                <w:p w14:paraId="769FD48C">
                  <w:pPr>
                    <w:wordWrap/>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0.353t</w:t>
                  </w:r>
                </w:p>
              </w:tc>
              <w:tc>
                <w:tcPr>
                  <w:tcW w:w="1344" w:type="pct"/>
                  <w:vMerge w:val="restart"/>
                  <w:vAlign w:val="center"/>
                </w:tcPr>
                <w:p w14:paraId="172E939D">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废气处理设施处理</w:t>
                  </w:r>
                </w:p>
              </w:tc>
              <w:tc>
                <w:tcPr>
                  <w:tcW w:w="654" w:type="pct"/>
                  <w:vAlign w:val="center"/>
                </w:tcPr>
                <w:p w14:paraId="3FDB4D49">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0.2491t</w:t>
                  </w:r>
                </w:p>
              </w:tc>
              <w:tc>
                <w:tcPr>
                  <w:tcW w:w="1282" w:type="pct"/>
                  <w:vAlign w:val="center"/>
                </w:tcPr>
                <w:p w14:paraId="40BE1689">
                  <w:pPr>
                    <w:wordWrap/>
                    <w:spacing w:line="240" w:lineRule="auto"/>
                    <w:jc w:val="center"/>
                    <w:textAlignment w:val="baseline"/>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水喷淋塔+干式过滤棉+</w:t>
                  </w:r>
                  <w:r>
                    <w:rPr>
                      <w:rFonts w:hint="default" w:ascii="Times New Roman" w:hAnsi="Times New Roman" w:cs="Times New Roman"/>
                      <w:color w:val="auto"/>
                      <w:kern w:val="0"/>
                      <w:sz w:val="21"/>
                      <w:szCs w:val="21"/>
                      <w:highlight w:val="none"/>
                      <w:lang w:eastAsia="zh-CN"/>
                    </w:rPr>
                    <w:t>二级活性炭</w:t>
                  </w:r>
                  <w:r>
                    <w:rPr>
                      <w:rFonts w:hint="default" w:ascii="Times New Roman" w:hAnsi="Times New Roman" w:cs="Times New Roman"/>
                      <w:color w:val="auto"/>
                      <w:kern w:val="0"/>
                      <w:sz w:val="21"/>
                      <w:szCs w:val="21"/>
                      <w:highlight w:val="none"/>
                    </w:rPr>
                    <w:t>吸附装置</w:t>
                  </w:r>
                </w:p>
              </w:tc>
            </w:tr>
            <w:tr w14:paraId="5956A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shd w:val="clear" w:color="auto" w:fill="auto"/>
                  <w:vAlign w:val="center"/>
                </w:tcPr>
                <w:p w14:paraId="41850238">
                  <w:pPr>
                    <w:wordWrap/>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水性油墨</w:t>
                  </w:r>
                </w:p>
              </w:tc>
              <w:tc>
                <w:tcPr>
                  <w:tcW w:w="728" w:type="pct"/>
                  <w:shd w:val="clear" w:color="auto" w:fill="auto"/>
                  <w:vAlign w:val="center"/>
                </w:tcPr>
                <w:p w14:paraId="65DBB99D">
                  <w:pPr>
                    <w:wordWrap/>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0.023t</w:t>
                  </w:r>
                </w:p>
              </w:tc>
              <w:tc>
                <w:tcPr>
                  <w:tcW w:w="1344" w:type="pct"/>
                  <w:vMerge w:val="continue"/>
                  <w:vAlign w:val="center"/>
                </w:tcPr>
                <w:p w14:paraId="59E0540D">
                  <w:pPr>
                    <w:wordWrap/>
                    <w:spacing w:line="240" w:lineRule="auto"/>
                    <w:jc w:val="center"/>
                    <w:textAlignment w:val="baseline"/>
                    <w:rPr>
                      <w:rFonts w:hint="default" w:ascii="Times New Roman" w:hAnsi="Times New Roman" w:cs="Times New Roman"/>
                      <w:color w:val="auto"/>
                      <w:kern w:val="0"/>
                      <w:sz w:val="21"/>
                      <w:szCs w:val="21"/>
                      <w:highlight w:val="none"/>
                      <w:lang w:val="en-US" w:eastAsia="zh-CN"/>
                    </w:rPr>
                  </w:pPr>
                </w:p>
              </w:tc>
              <w:tc>
                <w:tcPr>
                  <w:tcW w:w="654" w:type="pct"/>
                  <w:vAlign w:val="center"/>
                </w:tcPr>
                <w:p w14:paraId="5CBFFDE5">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0.453t</w:t>
                  </w:r>
                </w:p>
              </w:tc>
              <w:tc>
                <w:tcPr>
                  <w:tcW w:w="1282" w:type="pct"/>
                  <w:vAlign w:val="center"/>
                </w:tcPr>
                <w:p w14:paraId="3962CDB9">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二级活性炭吸附装置</w:t>
                  </w:r>
                </w:p>
              </w:tc>
            </w:tr>
            <w:tr w14:paraId="79594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shd w:val="clear" w:color="auto" w:fill="auto"/>
                  <w:vAlign w:val="center"/>
                </w:tcPr>
                <w:p w14:paraId="5362EA29">
                  <w:pPr>
                    <w:wordWrap/>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胶料挥发</w:t>
                  </w:r>
                </w:p>
              </w:tc>
              <w:tc>
                <w:tcPr>
                  <w:tcW w:w="728" w:type="pct"/>
                  <w:shd w:val="clear" w:color="auto" w:fill="auto"/>
                  <w:vAlign w:val="center"/>
                </w:tcPr>
                <w:p w14:paraId="461B56A1">
                  <w:pPr>
                    <w:wordWrap/>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0.201t</w:t>
                  </w:r>
                </w:p>
              </w:tc>
              <w:tc>
                <w:tcPr>
                  <w:tcW w:w="1344" w:type="pct"/>
                  <w:vMerge w:val="restart"/>
                  <w:vAlign w:val="center"/>
                </w:tcPr>
                <w:p w14:paraId="6D54217D">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废气排放进入大气环境</w:t>
                  </w:r>
                </w:p>
              </w:tc>
              <w:tc>
                <w:tcPr>
                  <w:tcW w:w="654" w:type="pct"/>
                  <w:vAlign w:val="center"/>
                </w:tcPr>
                <w:p w14:paraId="11DBC5A2">
                  <w:pPr>
                    <w:wordWrap/>
                    <w:spacing w:line="240" w:lineRule="auto"/>
                    <w:jc w:val="center"/>
                    <w:textAlignment w:val="baseline"/>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cs="Times New Roman"/>
                      <w:bCs/>
                      <w:color w:val="auto"/>
                      <w:kern w:val="0"/>
                      <w:sz w:val="21"/>
                      <w:szCs w:val="21"/>
                      <w:highlight w:val="none"/>
                      <w:lang w:val="en-US" w:eastAsia="zh-CN"/>
                    </w:rPr>
                    <w:t>0.0834t</w:t>
                  </w:r>
                </w:p>
              </w:tc>
              <w:tc>
                <w:tcPr>
                  <w:tcW w:w="1282" w:type="pct"/>
                  <w:vAlign w:val="center"/>
                </w:tcPr>
                <w:p w14:paraId="645C5F0E">
                  <w:pPr>
                    <w:wordWrap/>
                    <w:spacing w:line="240" w:lineRule="auto"/>
                    <w:jc w:val="center"/>
                    <w:textAlignment w:val="baseline"/>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排气筒DA001</w:t>
                  </w:r>
                </w:p>
              </w:tc>
            </w:tr>
            <w:tr w14:paraId="7EA9E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shd w:val="clear" w:color="auto" w:fill="auto"/>
                  <w:vAlign w:val="center"/>
                </w:tcPr>
                <w:p w14:paraId="21CFD57F">
                  <w:pPr>
                    <w:wordWrap/>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塑料粒挥发</w:t>
                  </w:r>
                </w:p>
              </w:tc>
              <w:tc>
                <w:tcPr>
                  <w:tcW w:w="728" w:type="pct"/>
                  <w:shd w:val="clear" w:color="auto" w:fill="auto"/>
                  <w:vAlign w:val="center"/>
                </w:tcPr>
                <w:p w14:paraId="0D91D7C7">
                  <w:pPr>
                    <w:wordWrap/>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1.184t</w:t>
                  </w:r>
                </w:p>
              </w:tc>
              <w:tc>
                <w:tcPr>
                  <w:tcW w:w="1344" w:type="pct"/>
                  <w:vMerge w:val="continue"/>
                  <w:vAlign w:val="center"/>
                </w:tcPr>
                <w:p w14:paraId="7E7A7100">
                  <w:pPr>
                    <w:wordWrap/>
                    <w:spacing w:line="240" w:lineRule="auto"/>
                    <w:jc w:val="center"/>
                    <w:textAlignment w:val="baseline"/>
                    <w:rPr>
                      <w:rFonts w:hint="default" w:ascii="Times New Roman" w:hAnsi="Times New Roman" w:cs="Times New Roman"/>
                      <w:color w:val="auto"/>
                      <w:kern w:val="0"/>
                      <w:sz w:val="21"/>
                      <w:szCs w:val="21"/>
                      <w:highlight w:val="none"/>
                    </w:rPr>
                  </w:pPr>
                </w:p>
              </w:tc>
              <w:tc>
                <w:tcPr>
                  <w:tcW w:w="654" w:type="pct"/>
                  <w:vAlign w:val="center"/>
                </w:tcPr>
                <w:p w14:paraId="173F0007">
                  <w:pPr>
                    <w:wordWrap/>
                    <w:spacing w:line="240" w:lineRule="auto"/>
                    <w:jc w:val="center"/>
                    <w:textAlignment w:val="baseline"/>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cs="Times New Roman"/>
                      <w:bCs/>
                      <w:color w:val="auto"/>
                      <w:kern w:val="0"/>
                      <w:sz w:val="21"/>
                      <w:szCs w:val="21"/>
                      <w:highlight w:val="none"/>
                      <w:lang w:val="en-US" w:eastAsia="zh-CN"/>
                    </w:rPr>
                    <w:t>0.151t</w:t>
                  </w:r>
                </w:p>
              </w:tc>
              <w:tc>
                <w:tcPr>
                  <w:tcW w:w="1282" w:type="pct"/>
                  <w:vAlign w:val="center"/>
                </w:tcPr>
                <w:p w14:paraId="6504812B">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排气筒DA002</w:t>
                  </w:r>
                </w:p>
              </w:tc>
            </w:tr>
            <w:tr w14:paraId="19E40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0" w:type="pct"/>
                  <w:shd w:val="clear" w:color="auto" w:fill="auto"/>
                  <w:vAlign w:val="center"/>
                </w:tcPr>
                <w:p w14:paraId="7C3ABA68">
                  <w:pPr>
                    <w:wordWrap/>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机加工油雾</w:t>
                  </w:r>
                </w:p>
              </w:tc>
              <w:tc>
                <w:tcPr>
                  <w:tcW w:w="728" w:type="pct"/>
                  <w:shd w:val="clear" w:color="auto" w:fill="auto"/>
                  <w:vAlign w:val="center"/>
                </w:tcPr>
                <w:p w14:paraId="00D4AAA0">
                  <w:pPr>
                    <w:wordWrap/>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0.00282t</w:t>
                  </w:r>
                </w:p>
              </w:tc>
              <w:tc>
                <w:tcPr>
                  <w:tcW w:w="1344" w:type="pct"/>
                  <w:vMerge w:val="continue"/>
                  <w:vAlign w:val="center"/>
                </w:tcPr>
                <w:p w14:paraId="0AD9F63F">
                  <w:pPr>
                    <w:wordWrap/>
                    <w:spacing w:line="240" w:lineRule="auto"/>
                    <w:jc w:val="center"/>
                    <w:textAlignment w:val="baseline"/>
                    <w:rPr>
                      <w:rFonts w:hint="default" w:ascii="Times New Roman" w:hAnsi="Times New Roman" w:cs="Times New Roman"/>
                      <w:color w:val="auto"/>
                      <w:kern w:val="0"/>
                      <w:sz w:val="21"/>
                      <w:szCs w:val="21"/>
                      <w:highlight w:val="none"/>
                    </w:rPr>
                  </w:pPr>
                </w:p>
              </w:tc>
              <w:tc>
                <w:tcPr>
                  <w:tcW w:w="654" w:type="pct"/>
                  <w:vAlign w:val="center"/>
                </w:tcPr>
                <w:p w14:paraId="01A50425">
                  <w:pPr>
                    <w:wordWrap/>
                    <w:spacing w:line="240" w:lineRule="auto"/>
                    <w:jc w:val="center"/>
                    <w:textAlignment w:val="baseline"/>
                    <w:rPr>
                      <w:rFonts w:hint="default" w:ascii="Times New Roman" w:hAnsi="Times New Roman" w:cs="Times New Roman"/>
                      <w:bCs/>
                      <w:color w:val="auto"/>
                      <w:kern w:val="0"/>
                      <w:sz w:val="21"/>
                      <w:szCs w:val="21"/>
                      <w:highlight w:val="none"/>
                      <w:lang w:val="en-US" w:eastAsia="zh-CN"/>
                    </w:rPr>
                  </w:pPr>
                </w:p>
              </w:tc>
              <w:tc>
                <w:tcPr>
                  <w:tcW w:w="1282" w:type="pct"/>
                  <w:vAlign w:val="center"/>
                </w:tcPr>
                <w:p w14:paraId="22E4087A">
                  <w:pPr>
                    <w:wordWrap/>
                    <w:spacing w:line="240" w:lineRule="auto"/>
                    <w:jc w:val="center"/>
                    <w:textAlignment w:val="baseline"/>
                    <w:rPr>
                      <w:rFonts w:hint="default" w:ascii="Times New Roman" w:hAnsi="Times New Roman" w:cs="Times New Roman"/>
                      <w:color w:val="auto"/>
                      <w:kern w:val="0"/>
                      <w:sz w:val="21"/>
                      <w:szCs w:val="21"/>
                      <w:highlight w:val="none"/>
                      <w:lang w:val="en-US" w:eastAsia="zh-CN"/>
                    </w:rPr>
                  </w:pPr>
                </w:p>
              </w:tc>
            </w:tr>
            <w:tr w14:paraId="4F651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shd w:val="clear" w:color="auto" w:fill="auto"/>
                  <w:vAlign w:val="center"/>
                </w:tcPr>
                <w:p w14:paraId="2F0842EC">
                  <w:pPr>
                    <w:wordWrap/>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电火花油雾</w:t>
                  </w:r>
                </w:p>
              </w:tc>
              <w:tc>
                <w:tcPr>
                  <w:tcW w:w="728" w:type="pct"/>
                  <w:shd w:val="clear" w:color="auto" w:fill="auto"/>
                  <w:vAlign w:val="center"/>
                </w:tcPr>
                <w:p w14:paraId="3A5817C9">
                  <w:pPr>
                    <w:wordWrap/>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0.000005t</w:t>
                  </w:r>
                </w:p>
              </w:tc>
              <w:tc>
                <w:tcPr>
                  <w:tcW w:w="1344" w:type="pct"/>
                  <w:vMerge w:val="continue"/>
                  <w:vAlign w:val="center"/>
                </w:tcPr>
                <w:p w14:paraId="0BAF667F">
                  <w:pPr>
                    <w:wordWrap/>
                    <w:spacing w:line="240" w:lineRule="auto"/>
                    <w:jc w:val="center"/>
                    <w:textAlignment w:val="baseline"/>
                    <w:rPr>
                      <w:rFonts w:hint="default" w:ascii="Times New Roman" w:hAnsi="Times New Roman" w:cs="Times New Roman"/>
                      <w:color w:val="auto"/>
                      <w:kern w:val="0"/>
                      <w:sz w:val="21"/>
                      <w:szCs w:val="21"/>
                      <w:highlight w:val="none"/>
                    </w:rPr>
                  </w:pPr>
                </w:p>
              </w:tc>
              <w:tc>
                <w:tcPr>
                  <w:tcW w:w="654" w:type="pct"/>
                  <w:vAlign w:val="center"/>
                </w:tcPr>
                <w:p w14:paraId="6B551094">
                  <w:pPr>
                    <w:wordWrap/>
                    <w:spacing w:line="240" w:lineRule="auto"/>
                    <w:jc w:val="center"/>
                    <w:textAlignment w:val="baseline"/>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cs="Times New Roman"/>
                      <w:bCs/>
                      <w:color w:val="auto"/>
                      <w:kern w:val="0"/>
                      <w:sz w:val="21"/>
                      <w:szCs w:val="21"/>
                      <w:highlight w:val="none"/>
                      <w:lang w:val="en-US" w:eastAsia="zh-CN"/>
                    </w:rPr>
                    <w:t>0.827425t</w:t>
                  </w:r>
                </w:p>
              </w:tc>
              <w:tc>
                <w:tcPr>
                  <w:tcW w:w="1282" w:type="pct"/>
                  <w:vAlign w:val="center"/>
                </w:tcPr>
                <w:p w14:paraId="181233E5">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无组织排放</w:t>
                  </w:r>
                </w:p>
              </w:tc>
            </w:tr>
            <w:tr w14:paraId="3C1F0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shd w:val="clear" w:color="auto" w:fill="auto"/>
                  <w:vAlign w:val="center"/>
                </w:tcPr>
                <w:p w14:paraId="1B3C339C">
                  <w:pPr>
                    <w:wordWrap/>
                    <w:spacing w:line="240" w:lineRule="auto"/>
                    <w:jc w:val="center"/>
                    <w:rPr>
                      <w:rFonts w:hint="default" w:ascii="Times New Roman" w:hAnsi="Times New Roman" w:cs="Times New Roman"/>
                      <w:color w:val="auto"/>
                      <w:sz w:val="21"/>
                      <w:szCs w:val="21"/>
                      <w:highlight w:val="none"/>
                      <w:lang w:val="en-US" w:eastAsia="zh-CN"/>
                    </w:rPr>
                  </w:pPr>
                </w:p>
              </w:tc>
              <w:tc>
                <w:tcPr>
                  <w:tcW w:w="728" w:type="pct"/>
                  <w:shd w:val="clear" w:color="auto" w:fill="auto"/>
                  <w:vAlign w:val="center"/>
                </w:tcPr>
                <w:p w14:paraId="6E947E20">
                  <w:pPr>
                    <w:wordWrap/>
                    <w:spacing w:line="240" w:lineRule="auto"/>
                    <w:jc w:val="center"/>
                    <w:rPr>
                      <w:rFonts w:hint="default" w:ascii="Times New Roman" w:hAnsi="Times New Roman" w:cs="Times New Roman"/>
                      <w:bCs/>
                      <w:color w:val="auto"/>
                      <w:sz w:val="21"/>
                      <w:szCs w:val="21"/>
                      <w:highlight w:val="none"/>
                      <w:lang w:val="en-US" w:eastAsia="zh-CN"/>
                    </w:rPr>
                  </w:pPr>
                </w:p>
              </w:tc>
              <w:tc>
                <w:tcPr>
                  <w:tcW w:w="1344" w:type="pct"/>
                  <w:vAlign w:val="center"/>
                </w:tcPr>
                <w:p w14:paraId="722A3044">
                  <w:pPr>
                    <w:wordWrap/>
                    <w:spacing w:line="240" w:lineRule="auto"/>
                    <w:jc w:val="center"/>
                    <w:textAlignment w:val="baseline"/>
                    <w:rPr>
                      <w:rFonts w:hint="default" w:ascii="Times New Roman" w:hAnsi="Times New Roman" w:cs="Times New Roman"/>
                      <w:color w:val="auto"/>
                      <w:kern w:val="0"/>
                      <w:sz w:val="21"/>
                      <w:szCs w:val="21"/>
                      <w:highlight w:val="none"/>
                    </w:rPr>
                  </w:pPr>
                </w:p>
              </w:tc>
              <w:tc>
                <w:tcPr>
                  <w:tcW w:w="654" w:type="pct"/>
                  <w:vAlign w:val="center"/>
                </w:tcPr>
                <w:p w14:paraId="53B01D94">
                  <w:pPr>
                    <w:wordWrap/>
                    <w:spacing w:line="240" w:lineRule="auto"/>
                    <w:jc w:val="center"/>
                    <w:textAlignment w:val="baseline"/>
                    <w:rPr>
                      <w:rFonts w:hint="default" w:ascii="Times New Roman" w:hAnsi="Times New Roman" w:cs="Times New Roman"/>
                      <w:bCs/>
                      <w:color w:val="auto"/>
                      <w:kern w:val="0"/>
                      <w:sz w:val="21"/>
                      <w:szCs w:val="21"/>
                      <w:highlight w:val="none"/>
                      <w:lang w:val="en-US" w:eastAsia="zh-CN"/>
                    </w:rPr>
                  </w:pPr>
                </w:p>
              </w:tc>
              <w:tc>
                <w:tcPr>
                  <w:tcW w:w="1282" w:type="pct"/>
                  <w:vAlign w:val="center"/>
                </w:tcPr>
                <w:p w14:paraId="4268182D">
                  <w:pPr>
                    <w:wordWrap/>
                    <w:spacing w:line="240" w:lineRule="auto"/>
                    <w:jc w:val="center"/>
                    <w:textAlignment w:val="baseline"/>
                    <w:rPr>
                      <w:rFonts w:hint="default" w:ascii="Times New Roman" w:hAnsi="Times New Roman" w:cs="Times New Roman"/>
                      <w:color w:val="auto"/>
                      <w:kern w:val="0"/>
                      <w:sz w:val="21"/>
                      <w:szCs w:val="21"/>
                      <w:highlight w:val="none"/>
                      <w:lang w:val="en-US" w:eastAsia="zh-CN"/>
                    </w:rPr>
                  </w:pPr>
                </w:p>
              </w:tc>
            </w:tr>
            <w:tr w14:paraId="151C1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vAlign w:val="center"/>
                </w:tcPr>
                <w:p w14:paraId="06B72432">
                  <w:pPr>
                    <w:wordWrap/>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合计</w:t>
                  </w:r>
                </w:p>
              </w:tc>
              <w:tc>
                <w:tcPr>
                  <w:tcW w:w="728" w:type="pct"/>
                  <w:vAlign w:val="center"/>
                </w:tcPr>
                <w:p w14:paraId="08CEC90F">
                  <w:pPr>
                    <w:wordWrap/>
                    <w:spacing w:line="240" w:lineRule="auto"/>
                    <w:jc w:val="center"/>
                    <w:rPr>
                      <w:rFonts w:hint="default" w:ascii="Times New Roman" w:hAnsi="Times New Roman" w:cs="Times New Roman"/>
                      <w:bCs/>
                      <w:color w:val="auto"/>
                      <w:sz w:val="21"/>
                      <w:szCs w:val="21"/>
                      <w:highlight w:val="none"/>
                      <w:lang w:val="en-US"/>
                    </w:rPr>
                  </w:pPr>
                  <w:r>
                    <w:rPr>
                      <w:rFonts w:hint="default" w:ascii="Times New Roman" w:hAnsi="Times New Roman" w:cs="Times New Roman"/>
                      <w:bCs/>
                      <w:color w:val="auto"/>
                      <w:sz w:val="21"/>
                      <w:szCs w:val="21"/>
                      <w:highlight w:val="none"/>
                      <w:lang w:val="en-US" w:eastAsia="zh-CN"/>
                    </w:rPr>
                    <w:t>1.763825t</w:t>
                  </w:r>
                </w:p>
              </w:tc>
              <w:tc>
                <w:tcPr>
                  <w:tcW w:w="1344" w:type="pct"/>
                  <w:vAlign w:val="center"/>
                </w:tcPr>
                <w:p w14:paraId="6ECD979F">
                  <w:pPr>
                    <w:wordWrap/>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合计</w:t>
                  </w:r>
                </w:p>
              </w:tc>
              <w:tc>
                <w:tcPr>
                  <w:tcW w:w="654" w:type="pct"/>
                  <w:vAlign w:val="center"/>
                </w:tcPr>
                <w:p w14:paraId="797D5E77">
                  <w:pPr>
                    <w:wordWrap/>
                    <w:spacing w:line="240" w:lineRule="auto"/>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lang w:val="en-US" w:eastAsia="zh-CN"/>
                    </w:rPr>
                    <w:t>1.763825t</w:t>
                  </w:r>
                </w:p>
              </w:tc>
              <w:tc>
                <w:tcPr>
                  <w:tcW w:w="1282" w:type="pct"/>
                  <w:vAlign w:val="center"/>
                </w:tcPr>
                <w:p w14:paraId="6DFC9C21">
                  <w:pPr>
                    <w:wordWrap/>
                    <w:spacing w:line="240" w:lineRule="auto"/>
                    <w:jc w:val="center"/>
                    <w:textAlignment w:val="baseline"/>
                    <w:rPr>
                      <w:rFonts w:hint="default" w:ascii="Times New Roman" w:hAnsi="Times New Roman" w:cs="Times New Roman"/>
                      <w:color w:val="auto"/>
                      <w:kern w:val="0"/>
                      <w:sz w:val="21"/>
                      <w:szCs w:val="21"/>
                      <w:highlight w:val="none"/>
                    </w:rPr>
                  </w:pPr>
                </w:p>
              </w:tc>
            </w:tr>
          </w:tbl>
          <w:p w14:paraId="7A4A4007">
            <w:pPr>
              <w:wordWrap/>
              <w:adjustRightInd w:val="0"/>
              <w:snapToGrid w:val="0"/>
              <w:ind w:firstLine="482" w:firstLineChars="200"/>
              <w:rPr>
                <w:rFonts w:hint="default" w:ascii="Times New Roman" w:hAnsi="Times New Roman" w:cs="Times New Roman"/>
                <w:color w:val="auto"/>
                <w:highlight w:val="none"/>
                <w:lang w:bidi="ar"/>
              </w:rPr>
            </w:pPr>
            <w:r>
              <w:rPr>
                <w:rFonts w:hint="default" w:ascii="Times New Roman" w:hAnsi="Times New Roman" w:cs="Times New Roman"/>
                <w:b/>
                <w:bCs/>
                <w:color w:val="auto"/>
                <w:highlight w:val="none"/>
                <w:lang w:bidi="ar"/>
              </w:rPr>
              <w:t>（10）项目地理位置及四至情况</w:t>
            </w:r>
          </w:p>
          <w:p w14:paraId="4D833700">
            <w:pPr>
              <w:wordWrap/>
              <w:adjustRightInd w:val="0"/>
              <w:snapToGrid w:val="0"/>
              <w:ind w:firstLine="480" w:firstLineChars="200"/>
              <w:rPr>
                <w:rFonts w:hint="default" w:ascii="Times New Roman" w:hAnsi="Times New Roman" w:cs="Times New Roman"/>
                <w:color w:val="auto"/>
              </w:rPr>
            </w:pPr>
            <w:r>
              <w:rPr>
                <w:rFonts w:hint="default" w:ascii="Times New Roman" w:hAnsi="Times New Roman" w:cs="Times New Roman"/>
                <w:bCs/>
                <w:color w:val="auto"/>
              </w:rPr>
              <w:t>项目位于</w:t>
            </w:r>
            <w:r>
              <w:rPr>
                <w:rFonts w:hint="default" w:ascii="Times New Roman" w:hAnsi="Times New Roman" w:cs="Times New Roman"/>
                <w:color w:val="auto"/>
                <w:lang w:eastAsia="zh-CN"/>
              </w:rPr>
              <w:t>博罗县园洲镇博罗智能装备产业园园洲片区绿化北路3号(4-a/4-b号厂房601/701楼)</w:t>
            </w:r>
            <w:r>
              <w:rPr>
                <w:rFonts w:hint="default" w:ascii="Times New Roman" w:hAnsi="Times New Roman" w:cs="Times New Roman"/>
                <w:bCs/>
                <w:color w:val="auto"/>
              </w:rPr>
              <w:t>，</w:t>
            </w:r>
            <w:r>
              <w:rPr>
                <w:rFonts w:hint="default" w:ascii="Times New Roman" w:hAnsi="Times New Roman" w:cs="Times New Roman"/>
                <w:bCs/>
                <w:color w:val="auto"/>
                <w:lang w:val="en-US" w:eastAsia="zh-CN"/>
              </w:rPr>
              <w:t>四面均为厂房，东面为在建厂房，西面为</w:t>
            </w: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a</w:t>
            </w: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-b号厂房</w:t>
            </w:r>
            <w:r>
              <w:rPr>
                <w:rFonts w:hint="default" w:ascii="Times New Roman" w:hAnsi="Times New Roman" w:cs="Times New Roman"/>
                <w:bCs/>
                <w:color w:val="auto"/>
                <w:lang w:val="en-US" w:eastAsia="zh-CN"/>
              </w:rPr>
              <w:t>，南面为</w:t>
            </w:r>
            <w:r>
              <w:rPr>
                <w:rFonts w:hint="default" w:ascii="Times New Roman" w:hAnsi="Times New Roman" w:cs="Times New Roman"/>
                <w:color w:val="auto"/>
                <w:lang w:val="en-US" w:eastAsia="zh-CN"/>
              </w:rPr>
              <w:t>6-</w:t>
            </w:r>
            <w:r>
              <w:rPr>
                <w:rFonts w:hint="default" w:ascii="Times New Roman" w:hAnsi="Times New Roman" w:cs="Times New Roman"/>
                <w:color w:val="auto"/>
                <w:lang w:eastAsia="zh-CN"/>
              </w:rPr>
              <w:t>a</w:t>
            </w:r>
            <w:r>
              <w:rPr>
                <w:rFonts w:hint="default" w:ascii="Times New Roman" w:hAnsi="Times New Roman" w:cs="Times New Roman"/>
                <w:color w:val="auto"/>
                <w:lang w:val="en-US" w:eastAsia="zh-CN"/>
              </w:rPr>
              <w:t>/6</w:t>
            </w:r>
            <w:r>
              <w:rPr>
                <w:rFonts w:hint="default" w:ascii="Times New Roman" w:hAnsi="Times New Roman" w:cs="Times New Roman"/>
                <w:color w:val="auto"/>
                <w:lang w:eastAsia="zh-CN"/>
              </w:rPr>
              <w:t>-b号厂房</w:t>
            </w:r>
            <w:r>
              <w:rPr>
                <w:rFonts w:hint="default" w:ascii="Times New Roman" w:hAnsi="Times New Roman" w:cs="Times New Roman"/>
                <w:bCs/>
                <w:color w:val="auto"/>
                <w:lang w:val="en-US" w:eastAsia="zh-CN"/>
              </w:rPr>
              <w:t>，北面为广东江丰精密制造有限公司，</w:t>
            </w:r>
            <w:r>
              <w:rPr>
                <w:rFonts w:hint="default" w:ascii="Times New Roman" w:hAnsi="Times New Roman" w:cs="Times New Roman"/>
                <w:color w:val="auto"/>
              </w:rPr>
              <w:t>距离项目最近的</w:t>
            </w:r>
            <w:r>
              <w:rPr>
                <w:rFonts w:hint="default" w:ascii="Times New Roman" w:hAnsi="Times New Roman" w:cs="Times New Roman"/>
                <w:color w:val="auto"/>
                <w:lang w:val="en-US" w:eastAsia="zh-CN"/>
              </w:rPr>
              <w:t>敏感点北面416m的李屋村</w:t>
            </w:r>
            <w:r>
              <w:rPr>
                <w:rFonts w:hint="default" w:ascii="Times New Roman" w:hAnsi="Times New Roman" w:cs="Times New Roman"/>
                <w:color w:val="auto"/>
              </w:rPr>
              <w:t>。</w:t>
            </w:r>
          </w:p>
          <w:p w14:paraId="67851629">
            <w:pPr>
              <w:wordWrap/>
              <w:adjustRightInd w:val="0"/>
              <w:snapToGrid w:val="0"/>
              <w:ind w:firstLine="482" w:firstLineChars="200"/>
              <w:rPr>
                <w:rFonts w:hint="default" w:ascii="Times New Roman" w:hAnsi="Times New Roman" w:cs="Times New Roman"/>
                <w:b/>
                <w:bCs/>
                <w:color w:val="auto"/>
                <w:lang w:bidi="ar"/>
              </w:rPr>
            </w:pPr>
            <w:r>
              <w:rPr>
                <w:rFonts w:hint="default" w:ascii="Times New Roman" w:hAnsi="Times New Roman" w:cs="Times New Roman"/>
                <w:b/>
                <w:bCs/>
                <w:color w:val="auto"/>
                <w:lang w:bidi="ar"/>
              </w:rPr>
              <w:t>（11）厂区平面布置</w:t>
            </w:r>
          </w:p>
          <w:p w14:paraId="3D6CE359">
            <w:pPr>
              <w:wordWrap/>
              <w:adjustRightInd w:val="0"/>
              <w:snapToGrid w:val="0"/>
              <w:ind w:firstLine="480" w:firstLineChars="200"/>
              <w:rPr>
                <w:rFonts w:hint="default" w:ascii="Times New Roman" w:hAnsi="Times New Roman" w:cs="Times New Roman"/>
                <w:color w:val="auto"/>
                <w:spacing w:val="-2"/>
                <w:lang w:bidi="ar"/>
              </w:rPr>
            </w:pPr>
            <w:r>
              <w:rPr>
                <w:rFonts w:hint="default" w:ascii="Times New Roman" w:hAnsi="Times New Roman" w:cs="Times New Roman"/>
                <w:bCs/>
                <w:color w:val="auto"/>
              </w:rPr>
              <w:t>项目位于</w:t>
            </w:r>
            <w:r>
              <w:rPr>
                <w:rFonts w:hint="default" w:ascii="Times New Roman" w:hAnsi="Times New Roman" w:cs="Times New Roman"/>
                <w:color w:val="auto"/>
                <w:lang w:eastAsia="zh-CN"/>
              </w:rPr>
              <w:t>博罗县园洲镇博罗智能装备产业园园洲片区绿化北路3号(4-a/4-b号厂房601/701楼)</w:t>
            </w:r>
            <w:r>
              <w:rPr>
                <w:rFonts w:hint="default" w:ascii="Times New Roman" w:hAnsi="Times New Roman" w:cs="Times New Roman"/>
                <w:color w:val="auto"/>
              </w:rPr>
              <w:t>，厂区整体呈长方形，设</w:t>
            </w:r>
            <w:r>
              <w:rPr>
                <w:rFonts w:hint="default" w:ascii="Times New Roman" w:hAnsi="Times New Roman" w:cs="Times New Roman"/>
                <w:color w:val="auto"/>
                <w:lang w:val="en-US" w:eastAsia="zh-CN"/>
              </w:rPr>
              <w:t>2</w:t>
            </w:r>
            <w:r>
              <w:rPr>
                <w:rFonts w:hint="default" w:ascii="Times New Roman" w:hAnsi="Times New Roman" w:cs="Times New Roman"/>
                <w:color w:val="auto"/>
              </w:rPr>
              <w:t>个出入口，位于</w:t>
            </w:r>
            <w:r>
              <w:rPr>
                <w:rFonts w:hint="default" w:ascii="Times New Roman" w:hAnsi="Times New Roman" w:cs="Times New Roman"/>
                <w:color w:val="auto"/>
                <w:lang w:val="en-US" w:eastAsia="zh-CN"/>
              </w:rPr>
              <w:t>厂房东</w:t>
            </w:r>
            <w:r>
              <w:rPr>
                <w:rFonts w:hint="default" w:ascii="Times New Roman" w:hAnsi="Times New Roman" w:cs="Times New Roman"/>
                <w:color w:val="auto"/>
              </w:rPr>
              <w:t>南</w:t>
            </w:r>
            <w:r>
              <w:rPr>
                <w:rFonts w:hint="default" w:ascii="Times New Roman" w:hAnsi="Times New Roman" w:cs="Times New Roman"/>
                <w:color w:val="auto"/>
                <w:lang w:val="en-US" w:eastAsia="zh-CN"/>
              </w:rPr>
              <w:t>和西南</w:t>
            </w:r>
            <w:r>
              <w:rPr>
                <w:rFonts w:hint="default" w:ascii="Times New Roman" w:hAnsi="Times New Roman" w:cs="Times New Roman"/>
                <w:color w:val="auto"/>
              </w:rPr>
              <w:t>侧。</w:t>
            </w:r>
            <w:r>
              <w:rPr>
                <w:rFonts w:hint="default" w:ascii="Times New Roman" w:hAnsi="Times New Roman" w:cs="Times New Roman"/>
                <w:color w:val="auto"/>
                <w:lang w:val="en-US" w:eastAsia="zh-CN"/>
              </w:rPr>
              <w:t>厂房为一栋12层建筑，项目位于6-7层，6层和7层为生产车间，隔层为办公区与员工休息使用</w:t>
            </w:r>
            <w:r>
              <w:rPr>
                <w:rFonts w:hint="default" w:ascii="Times New Roman" w:hAnsi="Times New Roman" w:cs="Times New Roman"/>
                <w:color w:val="auto"/>
              </w:rPr>
              <w:t>。</w:t>
            </w:r>
            <w:r>
              <w:rPr>
                <w:rFonts w:hint="default" w:ascii="Times New Roman" w:hAnsi="Times New Roman" w:cs="Times New Roman"/>
                <w:color w:val="auto"/>
                <w:lang w:val="en-US" w:eastAsia="zh-CN"/>
              </w:rPr>
              <w:t>其中，6层包括空压机房、冲床、火花机、CNC、车床、铣床、移印、喷漆区、烘烤区、炼胶房和仓库，7层包括破碎区、碎料房、注塑区、液态成型区和仓库。</w:t>
            </w:r>
            <w:r>
              <w:rPr>
                <w:rFonts w:hint="default" w:ascii="Times New Roman" w:hAnsi="Times New Roman" w:cs="Times New Roman"/>
                <w:color w:val="auto"/>
              </w:rPr>
              <w:t>项目设有2根排气筒，分别为DA001和DA002，DA001位于厂房楼顶</w:t>
            </w:r>
            <w:r>
              <w:rPr>
                <w:rFonts w:hint="default" w:ascii="Times New Roman" w:hAnsi="Times New Roman" w:cs="Times New Roman"/>
                <w:color w:val="auto"/>
                <w:lang w:val="en-US" w:eastAsia="zh-CN"/>
              </w:rPr>
              <w:t>西南侧</w:t>
            </w:r>
            <w:r>
              <w:rPr>
                <w:rFonts w:hint="default" w:ascii="Times New Roman" w:hAnsi="Times New Roman" w:cs="Times New Roman"/>
                <w:color w:val="auto"/>
              </w:rPr>
              <w:t>，排放高度为</w:t>
            </w:r>
            <w:r>
              <w:rPr>
                <w:rFonts w:hint="default" w:ascii="Times New Roman" w:hAnsi="Times New Roman" w:cs="Times New Roman"/>
                <w:color w:val="auto"/>
                <w:lang w:val="en-US" w:eastAsia="zh-CN"/>
              </w:rPr>
              <w:t>54m</w:t>
            </w:r>
            <w:r>
              <w:rPr>
                <w:rFonts w:hint="default" w:ascii="Times New Roman" w:hAnsi="Times New Roman" w:cs="Times New Roman"/>
                <w:color w:val="auto"/>
              </w:rPr>
              <w:t>；DA002位于</w:t>
            </w:r>
            <w:r>
              <w:rPr>
                <w:rFonts w:hint="default" w:ascii="Times New Roman" w:hAnsi="Times New Roman" w:cs="Times New Roman"/>
                <w:color w:val="auto"/>
                <w:lang w:val="en-US" w:eastAsia="zh-CN"/>
              </w:rPr>
              <w:t>厂房楼顶东南侧</w:t>
            </w:r>
            <w:r>
              <w:rPr>
                <w:rFonts w:hint="default" w:ascii="Times New Roman" w:hAnsi="Times New Roman" w:cs="Times New Roman"/>
                <w:color w:val="auto"/>
              </w:rPr>
              <w:t>，排放高度为</w:t>
            </w:r>
            <w:r>
              <w:rPr>
                <w:rFonts w:hint="default" w:ascii="Times New Roman" w:hAnsi="Times New Roman" w:cs="Times New Roman"/>
                <w:color w:val="auto"/>
                <w:lang w:val="en-US" w:eastAsia="zh-CN"/>
              </w:rPr>
              <w:t>54m</w:t>
            </w:r>
            <w:r>
              <w:rPr>
                <w:rFonts w:hint="default" w:ascii="Times New Roman" w:hAnsi="Times New Roman" w:cs="Times New Roman"/>
                <w:color w:val="auto"/>
              </w:rPr>
              <w:t>。项目设有1个</w:t>
            </w:r>
            <w:r>
              <w:rPr>
                <w:rFonts w:hint="default" w:ascii="Times New Roman" w:hAnsi="Times New Roman" w:cs="Times New Roman"/>
                <w:color w:val="auto"/>
                <w:lang w:val="en-US" w:eastAsia="zh-CN"/>
              </w:rPr>
              <w:t>15</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的固废</w:t>
            </w:r>
            <w:r>
              <w:rPr>
                <w:rFonts w:hint="default" w:ascii="Times New Roman" w:hAnsi="Times New Roman" w:cs="Times New Roman"/>
                <w:color w:val="auto"/>
                <w:lang w:val="en-US" w:eastAsia="zh-CN"/>
              </w:rPr>
              <w:t>仓</w:t>
            </w:r>
            <w:r>
              <w:rPr>
                <w:rFonts w:hint="default" w:ascii="Times New Roman" w:hAnsi="Times New Roman" w:cs="Times New Roman"/>
                <w:color w:val="auto"/>
              </w:rPr>
              <w:t>和1个10m</w:t>
            </w:r>
            <w:r>
              <w:rPr>
                <w:rFonts w:hint="default" w:ascii="Times New Roman" w:hAnsi="Times New Roman" w:cs="Times New Roman"/>
                <w:color w:val="auto"/>
                <w:vertAlign w:val="superscript"/>
              </w:rPr>
              <w:t>2</w:t>
            </w:r>
            <w:r>
              <w:rPr>
                <w:rFonts w:hint="default" w:ascii="Times New Roman" w:hAnsi="Times New Roman" w:cs="Times New Roman"/>
                <w:color w:val="auto"/>
              </w:rPr>
              <w:t>的</w:t>
            </w:r>
            <w:r>
              <w:rPr>
                <w:rFonts w:hint="default" w:ascii="Times New Roman" w:hAnsi="Times New Roman" w:cs="Times New Roman"/>
                <w:color w:val="auto"/>
                <w:lang w:val="en-US" w:eastAsia="zh-CN"/>
              </w:rPr>
              <w:t>危废仓，</w:t>
            </w:r>
            <w:r>
              <w:rPr>
                <w:rFonts w:hint="default" w:ascii="Times New Roman" w:hAnsi="Times New Roman" w:cs="Times New Roman"/>
                <w:color w:val="auto"/>
              </w:rPr>
              <w:t>位于厂房</w:t>
            </w:r>
            <w:r>
              <w:rPr>
                <w:rFonts w:hint="default" w:ascii="Times New Roman" w:hAnsi="Times New Roman" w:cs="Times New Roman"/>
                <w:color w:val="auto"/>
                <w:lang w:val="en-US" w:eastAsia="zh-CN"/>
              </w:rPr>
              <w:t>6楼南</w:t>
            </w:r>
            <w:r>
              <w:rPr>
                <w:rFonts w:hint="default" w:ascii="Times New Roman" w:hAnsi="Times New Roman" w:cs="Times New Roman"/>
                <w:color w:val="auto"/>
              </w:rPr>
              <w:t>侧，</w:t>
            </w:r>
            <w:r>
              <w:rPr>
                <w:rFonts w:hint="default" w:ascii="Times New Roman" w:hAnsi="Times New Roman" w:cs="Times New Roman"/>
                <w:color w:val="auto"/>
                <w:lang w:val="en-US" w:eastAsia="zh-CN"/>
              </w:rPr>
              <w:t>放置一般固体废物和危险废物</w:t>
            </w:r>
            <w:r>
              <w:rPr>
                <w:rFonts w:hint="default" w:ascii="Times New Roman" w:hAnsi="Times New Roman" w:cs="Times New Roman"/>
                <w:color w:val="auto"/>
              </w:rPr>
              <w:t>。</w:t>
            </w:r>
            <w:r>
              <w:rPr>
                <w:rFonts w:hint="default" w:ascii="Times New Roman" w:hAnsi="Times New Roman" w:cs="Times New Roman"/>
                <w:bCs/>
                <w:color w:val="auto"/>
              </w:rPr>
              <w:t>项目生产功能区分区明确，布局合理，总平面布置做到了人流物流分流、方便生产和办公，同时生产对外环境造成的影响也降至最低。综上所述，项目平面布置合理。项目地理位置见</w:t>
            </w:r>
            <w:r>
              <w:rPr>
                <w:rFonts w:hint="default" w:ascii="Times New Roman" w:hAnsi="Times New Roman" w:cs="Times New Roman"/>
                <w:b/>
                <w:color w:val="auto"/>
              </w:rPr>
              <w:t>附图1</w:t>
            </w:r>
            <w:r>
              <w:rPr>
                <w:rFonts w:hint="default" w:ascii="Times New Roman" w:hAnsi="Times New Roman" w:cs="Times New Roman"/>
                <w:bCs/>
                <w:color w:val="auto"/>
              </w:rPr>
              <w:t>，平面布置见</w:t>
            </w:r>
            <w:r>
              <w:rPr>
                <w:rFonts w:hint="default" w:ascii="Times New Roman" w:hAnsi="Times New Roman" w:cs="Times New Roman"/>
                <w:b/>
                <w:color w:val="auto"/>
              </w:rPr>
              <w:t>附图5</w:t>
            </w:r>
            <w:r>
              <w:rPr>
                <w:rFonts w:hint="default" w:ascii="Times New Roman" w:hAnsi="Times New Roman" w:cs="Times New Roman"/>
                <w:bCs/>
                <w:color w:val="auto"/>
              </w:rPr>
              <w:t>，项目四至情况见</w:t>
            </w:r>
            <w:r>
              <w:rPr>
                <w:rFonts w:hint="default" w:ascii="Times New Roman" w:hAnsi="Times New Roman" w:cs="Times New Roman"/>
                <w:b/>
                <w:color w:val="auto"/>
              </w:rPr>
              <w:t>附图2</w:t>
            </w:r>
            <w:r>
              <w:rPr>
                <w:rFonts w:hint="default" w:ascii="Times New Roman" w:hAnsi="Times New Roman" w:cs="Times New Roman"/>
                <w:bCs/>
                <w:color w:val="auto"/>
              </w:rPr>
              <w:t>，项目周边环境勘查情况见</w:t>
            </w:r>
            <w:r>
              <w:rPr>
                <w:rFonts w:hint="default" w:ascii="Times New Roman" w:hAnsi="Times New Roman" w:cs="Times New Roman"/>
                <w:b/>
                <w:color w:val="auto"/>
              </w:rPr>
              <w:t>附图3</w:t>
            </w:r>
            <w:r>
              <w:rPr>
                <w:rFonts w:hint="default" w:ascii="Times New Roman" w:hAnsi="Times New Roman" w:cs="Times New Roman"/>
                <w:bCs/>
                <w:color w:val="auto"/>
              </w:rPr>
              <w:t>。</w:t>
            </w:r>
          </w:p>
        </w:tc>
      </w:tr>
      <w:tr w14:paraId="1B207F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65" w:hRule="atLeast"/>
          <w:jc w:val="center"/>
        </w:trPr>
        <w:tc>
          <w:tcPr>
            <w:tcW w:w="401" w:type="dxa"/>
            <w:vAlign w:val="center"/>
          </w:tcPr>
          <w:p w14:paraId="3D87696B">
            <w:pPr>
              <w:pStyle w:val="18"/>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 工艺流程和产排污环节</w:t>
            </w:r>
          </w:p>
        </w:tc>
        <w:tc>
          <w:tcPr>
            <w:tcW w:w="8670" w:type="dxa"/>
          </w:tcPr>
          <w:p w14:paraId="2AD37B85">
            <w:pPr>
              <w:adjustRightInd w:val="0"/>
              <w:snapToGrid w:val="0"/>
              <w:rPr>
                <w:rFonts w:hint="default" w:ascii="Times New Roman" w:hAnsi="Times New Roman" w:cs="Times New Roman"/>
                <w:b/>
                <w:bCs/>
                <w:color w:val="auto"/>
              </w:rPr>
            </w:pPr>
            <w:r>
              <w:rPr>
                <w:rFonts w:hint="default" w:ascii="Times New Roman" w:hAnsi="Times New Roman" w:cs="Times New Roman"/>
                <w:b/>
                <w:bCs/>
                <w:color w:val="auto"/>
              </w:rPr>
              <w:t>1、工艺流程图</w:t>
            </w:r>
          </w:p>
          <w:p w14:paraId="755DEA72">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object>
                <v:shape id="_x0000_i1027" o:spt="75" type="#_x0000_t75" style="height:409.5pt;width:356.75pt;" o:ole="t" filled="f" o:preferrelative="t" stroked="f" coordsize="21600,21600">
                  <v:path/>
                  <v:fill on="f" focussize="0,0"/>
                  <v:stroke on="f"/>
                  <v:imagedata r:id="rId20" cropleft="-8499f" o:title=""/>
                  <o:lock v:ext="edit" aspectratio="f"/>
                  <w10:wrap type="none"/>
                  <w10:anchorlock/>
                </v:shape>
                <o:OLEObject Type="Embed" ProgID="Visio.Drawing.15" ShapeID="_x0000_i1027" DrawAspect="Content" ObjectID="_1468075727" r:id="rId19">
                  <o:LockedField>false</o:LockedField>
                </o:OLEObject>
              </w:object>
            </w:r>
          </w:p>
          <w:p w14:paraId="1B2C78FB">
            <w:pPr>
              <w:adjustRightInd w:val="0"/>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图</w:t>
            </w:r>
            <w:r>
              <w:rPr>
                <w:rFonts w:hint="default" w:ascii="Times New Roman" w:hAnsi="Times New Roman" w:cs="Times New Roman"/>
                <w:b/>
                <w:bCs/>
                <w:color w:val="auto"/>
                <w:lang w:val="en-US" w:eastAsia="zh-CN"/>
              </w:rPr>
              <w:t>1</w:t>
            </w:r>
            <w:r>
              <w:rPr>
                <w:rFonts w:hint="default" w:ascii="Times New Roman" w:hAnsi="Times New Roman" w:cs="Times New Roman"/>
                <w:b/>
                <w:bCs/>
                <w:color w:val="auto"/>
              </w:rPr>
              <w:t xml:space="preserve"> </w:t>
            </w:r>
            <w:r>
              <w:rPr>
                <w:rFonts w:hint="default" w:ascii="Times New Roman" w:hAnsi="Times New Roman" w:cs="Times New Roman"/>
                <w:b/>
                <w:bCs/>
                <w:color w:val="auto"/>
                <w:lang w:val="en-US" w:eastAsia="zh-CN"/>
              </w:rPr>
              <w:t>硅胶耳机套</w:t>
            </w:r>
            <w:r>
              <w:rPr>
                <w:rFonts w:hint="default" w:ascii="Times New Roman" w:hAnsi="Times New Roman" w:cs="Times New Roman"/>
                <w:b/>
                <w:bCs/>
                <w:color w:val="auto"/>
              </w:rPr>
              <w:t>生产工艺流程图</w:t>
            </w:r>
          </w:p>
          <w:p w14:paraId="58FD1B47">
            <w:pPr>
              <w:adjustRightInd w:val="0"/>
              <w:snapToGrid w:val="0"/>
              <w:rPr>
                <w:rFonts w:hint="default" w:ascii="Times New Roman" w:hAnsi="Times New Roman" w:cs="Times New Roman"/>
                <w:b/>
                <w:color w:val="auto"/>
                <w:szCs w:val="21"/>
              </w:rPr>
            </w:pPr>
            <w:r>
              <w:rPr>
                <w:rFonts w:hint="default" w:ascii="Times New Roman" w:hAnsi="Times New Roman" w:cs="Times New Roman"/>
                <w:b/>
                <w:color w:val="auto"/>
                <w:szCs w:val="21"/>
              </w:rPr>
              <w:t>工艺流程说明：</w:t>
            </w:r>
          </w:p>
          <w:p w14:paraId="2DC5EE71">
            <w:pPr>
              <w:numPr>
                <w:ilvl w:val="0"/>
                <w:numId w:val="0"/>
              </w:numPr>
              <w:adjustRightInd w:val="0"/>
              <w:snapToGrid w:val="0"/>
              <w:ind w:firstLine="482" w:firstLineChars="200"/>
              <w:rPr>
                <w:rFonts w:hint="default" w:ascii="Times New Roman" w:hAnsi="Times New Roman" w:eastAsia="宋体" w:cs="Times New Roman"/>
                <w:bCs/>
                <w:color w:val="auto"/>
                <w:szCs w:val="21"/>
                <w:lang w:val="en-US" w:eastAsia="zh-CN"/>
              </w:rPr>
            </w:pPr>
            <w:r>
              <w:rPr>
                <w:rFonts w:hint="default" w:ascii="Times New Roman" w:hAnsi="Times New Roman" w:cs="Times New Roman"/>
                <w:b/>
                <w:bCs w:val="0"/>
                <w:color w:val="auto"/>
                <w:szCs w:val="21"/>
                <w:lang w:val="en-US" w:eastAsia="zh-CN"/>
              </w:rPr>
              <w:t>（1）密炼：</w:t>
            </w:r>
            <w:r>
              <w:rPr>
                <w:rFonts w:hint="default" w:ascii="Times New Roman" w:hAnsi="Times New Roman" w:cs="Times New Roman"/>
                <w:bCs/>
                <w:color w:val="auto"/>
                <w:szCs w:val="21"/>
                <w:lang w:val="en-US" w:eastAsia="zh-CN"/>
              </w:rPr>
              <w:t>将硅橡胶、色胶按照一定比例投放到密炼机中混炼辊压，连续辊压3-5遍</w:t>
            </w:r>
            <w:r>
              <w:rPr>
                <w:rFonts w:hint="default" w:ascii="Times New Roman" w:hAnsi="Times New Roman" w:cs="Times New Roman"/>
                <w:bCs/>
                <w:color w:val="auto"/>
                <w:szCs w:val="21"/>
              </w:rPr>
              <w:t>。两辊筒大小一般相同，各以不同速度相对回转，胶料随着辊筒的转动被卷入两辊间隙，受强烈挤压作用形成一定厚度和宽度的片状胶料。该过程为单纯的物理混合，不会产生化学反应。</w:t>
            </w:r>
            <w:r>
              <w:rPr>
                <w:rFonts w:hint="default" w:ascii="Times New Roman" w:hAnsi="Times New Roman" w:cs="Times New Roman"/>
                <w:bCs/>
                <w:color w:val="auto"/>
                <w:szCs w:val="21"/>
                <w:lang w:val="en-US" w:eastAsia="zh-CN"/>
              </w:rPr>
              <w:t>密炼过程仅包括混炼和辊压两个过程，一般在冷却水对混炼后的胶体进行间接冷却后再投入硫化剂，此过程仅为了让硫化剂和胶体充分混合，有利于后续平板硫化过程的进行，不会发生硫化反应。</w:t>
            </w:r>
          </w:p>
          <w:p w14:paraId="7CD89004">
            <w:pPr>
              <w:numPr>
                <w:ilvl w:val="0"/>
                <w:numId w:val="0"/>
              </w:numPr>
              <w:adjustRightInd w:val="0"/>
              <w:snapToGrid w:val="0"/>
              <w:ind w:firstLine="480" w:firstLineChars="200"/>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密炼机工作时使用电能，工作过程不需要加热，但挤压过程物质摩擦会产生热量，因此，密炼机配套套管使用冷却水进行间接冷却，冷却水不直接接触工件，对水质影响较小，可循环使用。原料硅橡胶、色胶为胶状固体，无粉状原料，工作时密炼机为密闭状态，因此投料及密炼过程不会产生粉尘。该工序会产生有机废气、噪声。</w:t>
            </w:r>
          </w:p>
          <w:p w14:paraId="6F26FD58">
            <w:pPr>
              <w:numPr>
                <w:ilvl w:val="0"/>
                <w:numId w:val="0"/>
              </w:numPr>
              <w:adjustRightInd w:val="0"/>
              <w:snapToGrid w:val="0"/>
              <w:ind w:firstLine="482" w:firstLineChars="200"/>
              <w:rPr>
                <w:rFonts w:hint="default" w:ascii="Times New Roman" w:hAnsi="Times New Roman" w:cs="Times New Roman"/>
                <w:b/>
                <w:bCs w:val="0"/>
                <w:color w:val="auto"/>
                <w:szCs w:val="21"/>
                <w:lang w:val="en-US" w:eastAsia="zh-CN"/>
              </w:rPr>
            </w:pPr>
            <w:r>
              <w:rPr>
                <w:rFonts w:hint="default" w:ascii="Times New Roman" w:hAnsi="Times New Roman" w:cs="Times New Roman"/>
                <w:b/>
                <w:bCs w:val="0"/>
                <w:color w:val="auto"/>
                <w:szCs w:val="21"/>
                <w:lang w:val="en-US" w:eastAsia="zh-CN"/>
              </w:rPr>
              <w:t>（2）切料：</w:t>
            </w:r>
            <w:r>
              <w:rPr>
                <w:rFonts w:hint="default" w:ascii="Times New Roman" w:hAnsi="Times New Roman" w:cs="Times New Roman"/>
                <w:b w:val="0"/>
                <w:bCs/>
                <w:color w:val="auto"/>
                <w:szCs w:val="21"/>
                <w:lang w:val="en-US" w:eastAsia="zh-CN"/>
              </w:rPr>
              <w:t>将炼胶出来的片状硅橡胶通过切料机加工成条状，该工序会产生废料、噪声。</w:t>
            </w:r>
          </w:p>
          <w:p w14:paraId="1CEBCD05">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（3）</w:t>
            </w:r>
            <w:bookmarkStart w:id="13" w:name="硫化"/>
            <w:r>
              <w:rPr>
                <w:rFonts w:hint="default" w:ascii="Times New Roman" w:hAnsi="Times New Roman" w:cs="Times New Roman"/>
                <w:b/>
                <w:bCs/>
                <w:color w:val="auto"/>
                <w:lang w:val="en-US" w:eastAsia="zh-CN"/>
              </w:rPr>
              <w:t>硫化</w:t>
            </w:r>
            <w:bookmarkEnd w:id="13"/>
            <w:r>
              <w:rPr>
                <w:rFonts w:hint="default" w:ascii="Times New Roman" w:hAnsi="Times New Roman" w:cs="Times New Roman"/>
                <w:b/>
                <w:bCs/>
                <w:color w:val="auto"/>
                <w:lang w:val="en-US" w:eastAsia="zh-CN"/>
              </w:rPr>
              <w:t>：</w:t>
            </w:r>
            <w:r>
              <w:rPr>
                <w:rFonts w:hint="default" w:ascii="Times New Roman" w:hAnsi="Times New Roman" w:cs="Times New Roman"/>
                <w:color w:val="auto"/>
                <w:lang w:val="en-US" w:eastAsia="zh-CN"/>
              </w:rPr>
              <w:t>使用平板硫化机将密炼后的胶料在一定的温度和压力下模压成型，即将装有胶料的模型放在两个平板之间，在高温条件下通过介质提供的压力进行加压，使其在硫化剂的催化作用下实现硫化。胶料被硫化的原理为，在加热等条件下，胶料中的活性组分发生接枝反应，从而由线型结构的大分子交联成立体网状结构的大分子的过程。成型温度为160-180度，该温度不会使硅胶和橡胶分解，但受热后有少量的单体分子逸出，</w:t>
            </w:r>
            <w:r>
              <w:rPr>
                <w:rFonts w:hint="default" w:ascii="Times New Roman" w:hAnsi="Times New Roman" w:cs="Times New Roman"/>
                <w:bCs/>
                <w:color w:val="auto"/>
                <w:szCs w:val="21"/>
                <w:lang w:val="en-US" w:eastAsia="zh-CN"/>
              </w:rPr>
              <w:t>年工作300天，每天工作16小时，</w:t>
            </w:r>
            <w:r>
              <w:rPr>
                <w:rFonts w:hint="default" w:ascii="Times New Roman" w:hAnsi="Times New Roman" w:cs="Times New Roman"/>
                <w:color w:val="auto"/>
                <w:lang w:val="en-US" w:eastAsia="zh-CN"/>
              </w:rPr>
              <w:t>会产生有机废气、噪声和废原料桶。</w:t>
            </w:r>
          </w:p>
          <w:p w14:paraId="759B4B4C">
            <w:pPr>
              <w:numPr>
                <w:ilvl w:val="0"/>
                <w:numId w:val="0"/>
              </w:numPr>
              <w:adjustRightInd w:val="0"/>
              <w:snapToGrid w:val="0"/>
              <w:ind w:firstLine="480" w:firstLineChars="200"/>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项目使用的硫化剂为铂金硫化剂，是一种双组份加成型硫化剂，具有硫化温度低、速度快的特点，适用于硫化温度较低的条件，与传统硫化剂相比具有环保高效无味的优势，硫化原理为以铂金水为催化剂，含氢硅油与乙烯基双键发生硅氢加成反应，从而达到交联硫化的目的。根据《甲基乙烯基硅橡胶硫化体系综述》（胡盛，方建伟，詹学贵，2014年），铂金硫化剂反应机理：硅氢加成硫化是使含乙烯基的生胶与含硅氢基的化合物或聚合物在催化剂（通常为铂络合物）作用之下发生硅氢加成反应生成交联网状结构。</w:t>
            </w:r>
            <w:r>
              <w:rPr>
                <w:rFonts w:hint="default" w:ascii="Times New Roman" w:hAnsi="Times New Roman" w:cs="Times New Roman"/>
                <w:b w:val="0"/>
                <w:bCs w:val="0"/>
                <w:color w:val="auto"/>
                <w:sz w:val="24"/>
                <w:szCs w:val="24"/>
                <w:lang w:val="en-US" w:eastAsia="zh-CN" w:bidi="zh-CN"/>
              </w:rPr>
              <w:t>铂金硫化剂无气味，</w:t>
            </w:r>
            <w:r>
              <w:rPr>
                <w:rFonts w:hint="default" w:ascii="Times New Roman" w:hAnsi="Times New Roman" w:eastAsia="宋体" w:cs="Times New Roman"/>
                <w:b w:val="0"/>
                <w:bCs w:val="0"/>
                <w:color w:val="auto"/>
                <w:sz w:val="24"/>
                <w:szCs w:val="24"/>
                <w:lang w:val="en-US" w:eastAsia="zh-CN" w:bidi="zh-CN"/>
              </w:rPr>
              <w:t>在硫化过程中没有小分子析出，硫化过程本身不产生任何副产物；催化剂的用量少，硫化制品对人体安全；硫化过程无需外来成分的参与，可以实现深度硫化；可以进行常压高温（热空气）硫化</w:t>
            </w:r>
            <w:r>
              <w:rPr>
                <w:rFonts w:hint="default" w:ascii="Times New Roman" w:hAnsi="Times New Roman" w:cs="Times New Roman"/>
                <w:b w:val="0"/>
                <w:bCs w:val="0"/>
                <w:color w:val="auto"/>
                <w:sz w:val="24"/>
                <w:szCs w:val="24"/>
                <w:lang w:val="en-US" w:eastAsia="zh-CN" w:bidi="zh-CN"/>
              </w:rPr>
              <w:t>。</w:t>
            </w:r>
          </w:p>
          <w:p w14:paraId="7EE72B2E">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（4）冲模：</w:t>
            </w:r>
            <w:r>
              <w:rPr>
                <w:rFonts w:hint="default" w:ascii="Times New Roman" w:hAnsi="Times New Roman" w:cs="Times New Roman"/>
                <w:b w:val="0"/>
                <w:bCs w:val="0"/>
                <w:color w:val="auto"/>
                <w:lang w:val="en-US" w:eastAsia="zh-CN"/>
              </w:rPr>
              <w:t>通过气动冲床进行冲孔，气动冲床利用压缩机产生的高压气体，通过管道将压缩气体输送至电磁阀，通过脚踏开关来控制电磁阀的动作来控制气缸的工作和返回，从而达到冲孔的目的。冲孔后方便进行下一步分离。该工序会产生废料、噪声。</w:t>
            </w:r>
          </w:p>
          <w:p w14:paraId="2D205B16">
            <w:pPr>
              <w:bidi w:val="0"/>
              <w:ind w:firstLine="482" w:firstLineChars="20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（5）人工撕毛边：</w:t>
            </w:r>
            <w:r>
              <w:rPr>
                <w:rFonts w:hint="default" w:ascii="Times New Roman" w:hAnsi="Times New Roman" w:cs="Times New Roman"/>
                <w:b w:val="0"/>
                <w:bCs w:val="0"/>
                <w:color w:val="auto"/>
                <w:lang w:val="en-US" w:eastAsia="zh-CN"/>
              </w:rPr>
              <w:t>根据产品需求，部分产品的毛边使用人工进行撕毛边处理，该工序会产生废料。</w:t>
            </w:r>
          </w:p>
          <w:p w14:paraId="78C3FD0E">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（6）喷漆：</w:t>
            </w:r>
            <w:r>
              <w:rPr>
                <w:rFonts w:hint="default" w:ascii="Times New Roman" w:hAnsi="Times New Roman" w:cs="Times New Roman"/>
                <w:color w:val="auto"/>
                <w:lang w:val="en-US" w:eastAsia="zh-CN"/>
              </w:rPr>
              <w:t>员工在喷漆工位使用喷枪，手动将水性漆喷涂在工件表面，水性漆在调漆房中按5:1的比例调配后使用。工件仅需喷2道水性漆，按喷漆-烘干-喷漆-烘干的方式进行。喷漆工位与水帘柜相连，喷漆时，漆雾与三面式水幕水帘柜的水幕相遇，捕捉漆雾的废水进入循环水池，由水泵提升到水帘过滤器顶的溢水槽，溢流到水幕板上形成水幕。未被水幕吸收的有机废气在排风机引力的作用下抽送至楼顶喷漆废气处理设施集中处理后由排气筒排放。喷枪使用一段时间后需使用自来水进行清洗，以免堵塞喷口影响喷涂效果。该工序会产生颗粒物、有机废气、噪声、水帘柜废水、漆渣和废原料桶。</w:t>
            </w:r>
          </w:p>
          <w:p w14:paraId="13FC2289">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（7）烘烤：</w:t>
            </w:r>
            <w:r>
              <w:rPr>
                <w:rFonts w:hint="default" w:ascii="Times New Roman" w:hAnsi="Times New Roman" w:cs="Times New Roman"/>
                <w:color w:val="auto"/>
                <w:lang w:val="en-US" w:eastAsia="zh-CN"/>
              </w:rPr>
              <w:t>喷漆机配备烘烤炉，工件在喷漆后经传送带输送至烘烤炉中烘烤，烘烤温度约80度，烘烤炉使用电加热。该工序会产生有机废气和噪声。</w:t>
            </w:r>
          </w:p>
          <w:p w14:paraId="5FE905B6">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（8）移印：</w:t>
            </w:r>
            <w:r>
              <w:rPr>
                <w:rFonts w:hint="default" w:ascii="Times New Roman" w:hAnsi="Times New Roman" w:cs="Times New Roman"/>
                <w:color w:val="auto"/>
                <w:lang w:val="en-US" w:eastAsia="zh-CN"/>
              </w:rPr>
              <w:t>项目工件需要通过移印给产品印上标签等精细内容，移印后的产品自然晾干，此过程会产生挥发性有机物。移印使用水性油墨，移印过程会产生有机废气和噪声。</w:t>
            </w:r>
          </w:p>
          <w:p w14:paraId="5D69D139">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（9）包装：</w:t>
            </w:r>
            <w:r>
              <w:rPr>
                <w:rFonts w:hint="default" w:ascii="Times New Roman" w:hAnsi="Times New Roman" w:cs="Times New Roman"/>
                <w:color w:val="auto"/>
                <w:lang w:val="en-US" w:eastAsia="zh-CN"/>
              </w:rPr>
              <w:t>将产品进行包装后出货。该工序会产生废包装材料。</w:t>
            </w:r>
          </w:p>
          <w:p w14:paraId="632F047E">
            <w:pPr>
              <w:bidi w:val="0"/>
              <w:ind w:firstLine="480" w:firstLineChars="200"/>
              <w:jc w:val="center"/>
              <w:rPr>
                <w:rFonts w:hint="default" w:ascii="Times New Roman" w:hAnsi="Times New Roman" w:cs="Times New Roman"/>
                <w:color w:val="auto"/>
              </w:rPr>
            </w:pPr>
            <w:r>
              <w:rPr>
                <w:rFonts w:hint="default" w:ascii="Times New Roman" w:hAnsi="Times New Roman" w:cs="Times New Roman"/>
                <w:color w:val="auto"/>
              </w:rPr>
              <w:object>
                <v:shape id="_x0000_i1028" o:spt="75" type="#_x0000_t75" style="height:411.25pt;width:356.75pt;" o:ole="t" filled="f" o:preferrelative="t" stroked="f" coordsize="21600,21600">
                  <v:path/>
                  <v:fill on="f" focussize="0,0"/>
                  <v:stroke on="f"/>
                  <v:imagedata r:id="rId22" cropleft="-8499f" croptop="-4401f" cropbottom="4121f" o:title=""/>
                  <o:lock v:ext="edit" aspectratio="f"/>
                  <w10:wrap type="none"/>
                  <w10:anchorlock/>
                </v:shape>
                <o:OLEObject Type="Embed" ProgID="Visio.Drawing.15" ShapeID="_x0000_i1028" DrawAspect="Content" ObjectID="_1468075728" r:id="rId21">
                  <o:LockedField>false</o:LockedField>
                </o:OLEObject>
              </w:object>
            </w:r>
          </w:p>
          <w:p w14:paraId="013B9DCE">
            <w:pPr>
              <w:adjustRightInd w:val="0"/>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图</w:t>
            </w:r>
            <w:r>
              <w:rPr>
                <w:rFonts w:hint="default" w:ascii="Times New Roman" w:hAnsi="Times New Roman" w:cs="Times New Roman"/>
                <w:b/>
                <w:bCs/>
                <w:color w:val="auto"/>
                <w:lang w:val="en-US" w:eastAsia="zh-CN"/>
              </w:rPr>
              <w:t>2</w:t>
            </w:r>
            <w:r>
              <w:rPr>
                <w:rFonts w:hint="default" w:ascii="Times New Roman" w:hAnsi="Times New Roman" w:cs="Times New Roman"/>
                <w:b/>
                <w:bCs/>
                <w:color w:val="auto"/>
              </w:rPr>
              <w:t xml:space="preserve"> </w:t>
            </w:r>
            <w:r>
              <w:rPr>
                <w:rFonts w:hint="default" w:ascii="Times New Roman" w:hAnsi="Times New Roman" w:cs="Times New Roman"/>
                <w:b/>
                <w:bCs/>
                <w:color w:val="auto"/>
                <w:lang w:val="en-US" w:eastAsia="zh-CN"/>
              </w:rPr>
              <w:t>耳挂线</w:t>
            </w:r>
            <w:r>
              <w:rPr>
                <w:rFonts w:hint="default" w:ascii="Times New Roman" w:hAnsi="Times New Roman" w:cs="Times New Roman"/>
                <w:b/>
                <w:bCs/>
                <w:color w:val="auto"/>
              </w:rPr>
              <w:t>生产工艺流程图</w:t>
            </w:r>
          </w:p>
          <w:p w14:paraId="01F98077">
            <w:pPr>
              <w:adjustRightInd w:val="0"/>
              <w:snapToGrid w:val="0"/>
              <w:rPr>
                <w:rFonts w:hint="default" w:ascii="Times New Roman" w:hAnsi="Times New Roman" w:cs="Times New Roman"/>
                <w:b/>
                <w:color w:val="auto"/>
                <w:szCs w:val="21"/>
              </w:rPr>
            </w:pPr>
            <w:r>
              <w:rPr>
                <w:rFonts w:hint="default" w:ascii="Times New Roman" w:hAnsi="Times New Roman" w:cs="Times New Roman"/>
                <w:b/>
                <w:color w:val="auto"/>
                <w:szCs w:val="21"/>
              </w:rPr>
              <w:t>工艺流程说明：</w:t>
            </w:r>
          </w:p>
          <w:p w14:paraId="2DCB8CBE">
            <w:pPr>
              <w:numPr>
                <w:ilvl w:val="0"/>
                <w:numId w:val="0"/>
              </w:numPr>
              <w:adjustRightInd w:val="0"/>
              <w:snapToGrid w:val="0"/>
              <w:ind w:firstLine="482" w:firstLineChars="200"/>
              <w:rPr>
                <w:rFonts w:hint="default" w:ascii="Times New Roman" w:hAnsi="Times New Roman" w:eastAsia="宋体" w:cs="Times New Roman"/>
                <w:bCs/>
                <w:color w:val="auto"/>
                <w:szCs w:val="21"/>
                <w:lang w:val="en-US" w:eastAsia="zh-CN"/>
              </w:rPr>
            </w:pPr>
            <w:r>
              <w:rPr>
                <w:rFonts w:hint="default" w:ascii="Times New Roman" w:hAnsi="Times New Roman" w:cs="Times New Roman"/>
                <w:b/>
                <w:bCs w:val="0"/>
                <w:color w:val="auto"/>
                <w:szCs w:val="21"/>
                <w:lang w:val="en-US" w:eastAsia="zh-CN"/>
              </w:rPr>
              <w:t>（1）混料：</w:t>
            </w:r>
            <w:r>
              <w:rPr>
                <w:rFonts w:hint="default" w:ascii="Times New Roman" w:hAnsi="Times New Roman" w:cs="Times New Roman"/>
                <w:color w:val="auto"/>
              </w:rPr>
              <w:t>项目</w:t>
            </w:r>
            <w:r>
              <w:rPr>
                <w:rFonts w:hint="default" w:ascii="Times New Roman" w:hAnsi="Times New Roman" w:cs="Times New Roman"/>
                <w:color w:val="auto"/>
                <w:lang w:val="en-US" w:eastAsia="zh-CN"/>
              </w:rPr>
              <w:t>根据产品需求由人工投料至封闭式混料机内进行搅拌，投入的原料包括ABS、PE、PP、色母粒、尼龙等</w:t>
            </w:r>
            <w:r>
              <w:rPr>
                <w:rFonts w:hint="default" w:ascii="Times New Roman" w:hAnsi="Times New Roman" w:cs="Times New Roman"/>
                <w:color w:val="auto"/>
              </w:rPr>
              <w:t>，</w:t>
            </w:r>
            <w:r>
              <w:rPr>
                <w:rFonts w:hint="default" w:ascii="Times New Roman" w:hAnsi="Times New Roman" w:cs="Times New Roman"/>
                <w:color w:val="auto"/>
                <w:lang w:val="en-US" w:eastAsia="zh-CN"/>
              </w:rPr>
              <w:t>其中塑胶粒为均匀粒径较大的颗粒状，投料混料过程不会产生粉尘</w:t>
            </w:r>
            <w:r>
              <w:rPr>
                <w:rFonts w:hint="default" w:ascii="Times New Roman" w:hAnsi="Times New Roman" w:cs="Times New Roman"/>
                <w:bCs/>
                <w:color w:val="auto"/>
                <w:szCs w:val="21"/>
                <w:lang w:val="en-US" w:eastAsia="zh-CN"/>
              </w:rPr>
              <w:t>。</w:t>
            </w:r>
          </w:p>
          <w:p w14:paraId="74F923A9">
            <w:pPr>
              <w:bidi w:val="0"/>
              <w:ind w:firstLine="482" w:firstLineChars="200"/>
              <w:rPr>
                <w:rFonts w:hint="default" w:ascii="Times New Roman" w:hAnsi="Times New Roman" w:cs="Times New Roman"/>
                <w:bCs/>
                <w:color w:val="auto"/>
                <w:szCs w:val="21"/>
                <w:lang w:val="en-US" w:eastAsia="zh-CN"/>
              </w:rPr>
            </w:pPr>
            <w:r>
              <w:rPr>
                <w:rFonts w:hint="default" w:ascii="Times New Roman" w:hAnsi="Times New Roman" w:cs="Times New Roman"/>
                <w:b/>
                <w:bCs/>
                <w:color w:val="auto"/>
                <w:lang w:val="en-US" w:eastAsia="zh-CN"/>
              </w:rPr>
              <w:t>（2）注塑：</w:t>
            </w:r>
            <w:r>
              <w:rPr>
                <w:rFonts w:hint="default" w:ascii="Times New Roman" w:hAnsi="Times New Roman" w:cs="Times New Roman"/>
                <w:b w:val="0"/>
                <w:bCs w:val="0"/>
                <w:color w:val="auto"/>
                <w:lang w:val="en-US" w:eastAsia="zh-CN"/>
              </w:rPr>
              <w:t>将外购的塑料粒送入注塑机，按规格尺寸注塑后冷却成型，冷却方式为冷却塔间接冷却，间接冷却过程冷却水循环使用不外排。项目使用的塑料原料为新料，非再生料，项目使用的ABS分解温度为250°C以上，成型温度为180-240℃；PE分解温度为300°C，成型温度为200-220℃；PP分解温度为350-380℃，成型温度为160-220℃。项目注塑温度为200℃，可见成型温度不超过分解温度，注塑过程塑料粒不会发生热分解，但在加热熔融过程中，会有部分未聚合的游离单体挥发，其中ABS树脂游离单体为苯乙烯、1,3-丁二烯、甲苯、乙苯、</w:t>
            </w:r>
            <w:r>
              <w:rPr>
                <w:rFonts w:hint="default" w:ascii="Times New Roman" w:hAnsi="Times New Roman" w:cs="Times New Roman"/>
                <w:color w:val="auto"/>
                <w:lang w:val="en-US" w:eastAsia="zh-CN"/>
              </w:rPr>
              <w:t>丙烯腈</w:t>
            </w:r>
            <w:r>
              <w:rPr>
                <w:rFonts w:hint="default" w:ascii="Times New Roman" w:hAnsi="Times New Roman" w:cs="Times New Roman"/>
                <w:b w:val="0"/>
                <w:bCs w:val="0"/>
                <w:color w:val="auto"/>
                <w:lang w:val="en-US" w:eastAsia="zh-CN"/>
              </w:rPr>
              <w:t>等。项目采购的塑料原料均为厂商质检合格的产品，因此塑料原料中残留的单体类物质很少，加热熔融过程的挥发量极少，基本可以忽略不计，项目只对其进行定性分析，加热熔融过程挥发的有机废气以非甲烷总烃为表征。该工序会产生有机废气、噪声和废料。注塑过程产生的废料经碎料机碎料后回用于生产，碎料过程会产生粉尘和噪声。</w:t>
            </w:r>
          </w:p>
          <w:p w14:paraId="584F26F7">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（3）硫化：</w:t>
            </w:r>
            <w:r>
              <w:rPr>
                <w:rFonts w:hint="default" w:ascii="Times New Roman" w:hAnsi="Times New Roman" w:cs="Times New Roman"/>
                <w:color w:val="auto"/>
                <w:lang w:val="en-US" w:eastAsia="zh-CN"/>
              </w:rPr>
              <w:t>使用平板硫化机将密炼后的胶料在一定的温度和压力下模压成型，即将装有胶料的模型放在两个平板之间，在高温条件下通过介质提供的压力进行加压，使其在硫化剂的催化作用下实现硫化。胶料被硫化的原理为，在加热等条件下，胶料中的活性组分发生接枝反应，从而由线型结构的大分子交联成立体网状结构的大分子的过程。成型温度为160-180度，该温度不会使硅胶和橡胶分解，但受热后有少量的单体分子逸出，</w:t>
            </w:r>
            <w:r>
              <w:rPr>
                <w:rFonts w:hint="default" w:ascii="Times New Roman" w:hAnsi="Times New Roman" w:cs="Times New Roman"/>
                <w:bCs/>
                <w:color w:val="auto"/>
                <w:szCs w:val="21"/>
                <w:lang w:val="en-US" w:eastAsia="zh-CN"/>
              </w:rPr>
              <w:t>年工作300天，每天工作16小时，</w:t>
            </w:r>
            <w:r>
              <w:rPr>
                <w:rFonts w:hint="default" w:ascii="Times New Roman" w:hAnsi="Times New Roman" w:cs="Times New Roman"/>
                <w:color w:val="auto"/>
                <w:lang w:val="en-US" w:eastAsia="zh-CN"/>
              </w:rPr>
              <w:t>会产生有机废气、噪声和废原料桶。</w:t>
            </w:r>
          </w:p>
          <w:p w14:paraId="3740C050">
            <w:pPr>
              <w:bidi w:val="0"/>
              <w:ind w:firstLine="480" w:firstLineChars="200"/>
              <w:rPr>
                <w:rFonts w:hint="default" w:ascii="Times New Roman" w:hAnsi="Times New Roman" w:cs="Times New Roman"/>
                <w:b w:val="0"/>
                <w:bCs w:val="0"/>
                <w:color w:val="auto"/>
                <w:sz w:val="24"/>
                <w:szCs w:val="24"/>
                <w:lang w:val="en-US" w:eastAsia="zh-CN" w:bidi="zh-CN"/>
              </w:rPr>
            </w:pPr>
            <w:r>
              <w:rPr>
                <w:rFonts w:hint="default" w:ascii="Times New Roman" w:hAnsi="Times New Roman" w:cs="Times New Roman"/>
                <w:bCs/>
                <w:color w:val="auto"/>
                <w:szCs w:val="21"/>
                <w:lang w:val="en-US" w:eastAsia="zh-CN"/>
              </w:rPr>
              <w:t>项目使用的硫化剂为铂金硫化剂，是一种双组份加成型硫化剂，具有硫化温度低、速度快的特点，适用于硫化温度较低的条件，与传统硫化剂相比具有环保高效无味的优势，硫化原理为以铂金水为催化剂，含氢硅油与乙烯基双键发生硅氢加成反应，从而达到交联硫化的目的。根据《甲基乙烯基硅橡胶硫化体系综述》（胡盛，方建伟，詹学贵，2014年），铂金硫化剂反应机理：硅氢加成硫化是使含乙烯基的生胶与含硅氢基的化合物或聚合物在催化剂（通常为铂络合物）作用之下发生硅氢加成反应生成交联网状结构。</w:t>
            </w:r>
            <w:r>
              <w:rPr>
                <w:rFonts w:hint="default" w:ascii="Times New Roman" w:hAnsi="Times New Roman" w:cs="Times New Roman"/>
                <w:b w:val="0"/>
                <w:bCs w:val="0"/>
                <w:color w:val="auto"/>
                <w:sz w:val="24"/>
                <w:szCs w:val="24"/>
                <w:lang w:val="en-US" w:eastAsia="zh-CN" w:bidi="zh-CN"/>
              </w:rPr>
              <w:t>铂金硫化剂无气味，</w:t>
            </w:r>
            <w:r>
              <w:rPr>
                <w:rFonts w:hint="default" w:ascii="Times New Roman" w:hAnsi="Times New Roman" w:eastAsia="宋体" w:cs="Times New Roman"/>
                <w:b w:val="0"/>
                <w:bCs w:val="0"/>
                <w:color w:val="auto"/>
                <w:sz w:val="24"/>
                <w:szCs w:val="24"/>
                <w:lang w:val="en-US" w:eastAsia="zh-CN" w:bidi="zh-CN"/>
              </w:rPr>
              <w:t>在硫化过程中没有小分子析出，硫化过程本身不产生任何副产物；催化剂的用量少，硫化制品对人体安全；硫化过程无需外来成分的参与，可以实现深度硫化；可以进行常压高温（热空气）硫化</w:t>
            </w:r>
            <w:r>
              <w:rPr>
                <w:rFonts w:hint="default" w:ascii="Times New Roman" w:hAnsi="Times New Roman" w:cs="Times New Roman"/>
                <w:b w:val="0"/>
                <w:bCs w:val="0"/>
                <w:color w:val="auto"/>
                <w:sz w:val="24"/>
                <w:szCs w:val="24"/>
                <w:lang w:val="en-US" w:eastAsia="zh-CN" w:bidi="zh-CN"/>
              </w:rPr>
              <w:t>。</w:t>
            </w:r>
          </w:p>
          <w:p w14:paraId="3F81B848">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（4）冲模：</w:t>
            </w:r>
            <w:r>
              <w:rPr>
                <w:rFonts w:hint="default" w:ascii="Times New Roman" w:hAnsi="Times New Roman" w:cs="Times New Roman"/>
                <w:b w:val="0"/>
                <w:bCs w:val="0"/>
                <w:color w:val="auto"/>
                <w:lang w:val="en-US" w:eastAsia="zh-CN"/>
              </w:rPr>
              <w:t>通过气动冲床进行冲孔，气动冲床利用压缩机产生的高压气体，通过管道将压缩气体输送至电磁阀，通过脚踏开关来控制电磁阀的动作来控制气缸的工作和返回，从而达到冲孔的目的。冲孔后方便进行下一步分离。该工序会产生废料、噪声。</w:t>
            </w:r>
          </w:p>
          <w:p w14:paraId="7273F3F3">
            <w:pPr>
              <w:bidi w:val="0"/>
              <w:ind w:firstLine="482" w:firstLineChars="20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（5）手工挑边：</w:t>
            </w:r>
            <w:r>
              <w:rPr>
                <w:rFonts w:hint="default" w:ascii="Times New Roman" w:hAnsi="Times New Roman" w:cs="Times New Roman"/>
                <w:b w:val="0"/>
                <w:bCs w:val="0"/>
                <w:color w:val="auto"/>
                <w:lang w:val="en-US" w:eastAsia="zh-CN"/>
              </w:rPr>
              <w:t>根据产品需求，部分产品的毛边使用人工进行挑边处理，该工序会产生废料。</w:t>
            </w:r>
          </w:p>
          <w:p w14:paraId="3D1D6ADD">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（6）喷漆：</w:t>
            </w:r>
            <w:r>
              <w:rPr>
                <w:rFonts w:hint="default" w:ascii="Times New Roman" w:hAnsi="Times New Roman" w:cs="Times New Roman"/>
                <w:color w:val="auto"/>
                <w:lang w:val="en-US" w:eastAsia="zh-CN"/>
              </w:rPr>
              <w:t>员工在喷漆工位使用喷枪，手动将水性漆喷涂在工件表面，水性漆在调漆房中按5:1的比例调配后使用。工件仅需喷2道水性漆，按喷漆-烘干-喷漆-烘干的方式进行。喷漆工位与水帘柜相连，喷漆时，漆雾与三面式水幕水帘柜的水幕相遇，捕捉漆雾的废水进入循环水池，由水泵提升到水帘过滤器顶的溢水槽，溢流到水幕板上形成水幕。未被水幕吸收的有机废气在排风机引力的作用下抽送至楼顶喷漆废气处理设施集中处理后由排气筒排放。喷枪使用一段时间后需使用自来水进行清洗，以免堵塞喷口影响喷涂效果。该工序会产生颗粒物、有机废气、噪声、水帘柜废水、漆渣和废原料桶。</w:t>
            </w:r>
          </w:p>
          <w:p w14:paraId="624ABC59">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（7）烘烤：</w:t>
            </w:r>
            <w:r>
              <w:rPr>
                <w:rFonts w:hint="default" w:ascii="Times New Roman" w:hAnsi="Times New Roman" w:cs="Times New Roman"/>
                <w:color w:val="auto"/>
                <w:lang w:val="en-US" w:eastAsia="zh-CN"/>
              </w:rPr>
              <w:t>喷漆机配备烘烤炉，工件在喷漆后经传送带输送至烘烤炉中烘烤，烘烤温度约80度，烘烤炉使用电加热。该工序会产生有机废气和噪声。</w:t>
            </w:r>
          </w:p>
          <w:p w14:paraId="206E64EF">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（8）移印：</w:t>
            </w:r>
            <w:r>
              <w:rPr>
                <w:rFonts w:hint="default" w:ascii="Times New Roman" w:hAnsi="Times New Roman" w:cs="Times New Roman"/>
                <w:color w:val="auto"/>
                <w:lang w:val="en-US" w:eastAsia="zh-CN"/>
              </w:rPr>
              <w:t>项目工件需要通过移印给产品印上标签等精细内容，此过程会产生挥发性有机物。移印使用水性油墨，移印过程会产生有机废气和噪声。</w:t>
            </w:r>
          </w:p>
          <w:p w14:paraId="441BE195">
            <w:pPr>
              <w:bidi w:val="0"/>
              <w:ind w:firstLine="482" w:firstLineChars="200"/>
              <w:rPr>
                <w:rFonts w:hint="default" w:ascii="Times New Roman" w:hAnsi="Times New Roman" w:cs="Times New Roman"/>
                <w:b w:val="0"/>
                <w:bCs w:val="0"/>
                <w:color w:val="auto"/>
                <w:lang w:val="en-US" w:eastAsia="zh-CN"/>
              </w:rPr>
            </w:pPr>
            <w:r>
              <w:rPr>
                <w:rFonts w:hint="default" w:ascii="Times New Roman" w:hAnsi="Times New Roman" w:cs="Times New Roman"/>
                <w:b/>
                <w:bCs/>
                <w:color w:val="auto"/>
                <w:lang w:val="en-US" w:eastAsia="zh-CN"/>
              </w:rPr>
              <w:t>（9）包装：</w:t>
            </w:r>
            <w:r>
              <w:rPr>
                <w:rFonts w:hint="default" w:ascii="Times New Roman" w:hAnsi="Times New Roman" w:cs="Times New Roman"/>
                <w:color w:val="auto"/>
                <w:lang w:val="en-US" w:eastAsia="zh-CN"/>
              </w:rPr>
              <w:t>将产品进行包装后出货。该工序会产生废包装材料。</w:t>
            </w:r>
          </w:p>
          <w:p w14:paraId="37ABF565">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object>
                <v:shape id="_x0000_i1029" o:spt="75" type="#_x0000_t75" style="height:225.65pt;width:335.05pt;" o:ole="t" filled="f" o:preferrelative="t" stroked="f" coordsize="21600,21600">
                  <v:path/>
                  <v:fill on="f" focussize="0,0"/>
                  <v:stroke on="f"/>
                  <v:imagedata r:id="rId24" cropleft="-8499f" cropright="4503f" cropbottom="29423f" o:title=""/>
                  <o:lock v:ext="edit" aspectratio="f"/>
                  <w10:wrap type="none"/>
                  <w10:anchorlock/>
                </v:shape>
                <o:OLEObject Type="Embed" ProgID="Visio.Drawing.15" ShapeID="_x0000_i1029" DrawAspect="Content" ObjectID="_1468075729" r:id="rId23">
                  <o:LockedField>false</o:LockedField>
                </o:OLEObject>
              </w:object>
            </w:r>
          </w:p>
          <w:p w14:paraId="322275EC">
            <w:pPr>
              <w:adjustRightInd w:val="0"/>
              <w:snapToGrid w:val="0"/>
              <w:jc w:val="center"/>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图3 硅胶音箱套生产工艺流程图</w:t>
            </w:r>
          </w:p>
          <w:p w14:paraId="274F0611">
            <w:pPr>
              <w:adjustRightInd w:val="0"/>
              <w:snapToGrid w:val="0"/>
              <w:rPr>
                <w:rFonts w:hint="default" w:ascii="Times New Roman" w:hAnsi="Times New Roman" w:cs="Times New Roman"/>
                <w:b/>
                <w:color w:val="auto"/>
                <w:szCs w:val="21"/>
              </w:rPr>
            </w:pPr>
            <w:r>
              <w:rPr>
                <w:rFonts w:hint="default" w:ascii="Times New Roman" w:hAnsi="Times New Roman" w:cs="Times New Roman"/>
                <w:b/>
                <w:color w:val="auto"/>
                <w:szCs w:val="21"/>
              </w:rPr>
              <w:t>工艺流程说明：</w:t>
            </w:r>
          </w:p>
          <w:p w14:paraId="2385C340">
            <w:pPr>
              <w:numPr>
                <w:ilvl w:val="0"/>
                <w:numId w:val="0"/>
              </w:numPr>
              <w:adjustRightInd w:val="0"/>
              <w:snapToGrid w:val="0"/>
              <w:ind w:firstLine="482" w:firstLineChars="200"/>
              <w:rPr>
                <w:rFonts w:hint="default" w:ascii="Times New Roman" w:hAnsi="Times New Roman" w:cs="Times New Roman"/>
                <w:bCs/>
                <w:color w:val="auto"/>
                <w:szCs w:val="21"/>
                <w:lang w:val="en-US" w:eastAsia="zh-CN"/>
              </w:rPr>
            </w:pPr>
            <w:r>
              <w:rPr>
                <w:rFonts w:hint="default" w:ascii="Times New Roman" w:hAnsi="Times New Roman" w:cs="Times New Roman"/>
                <w:b/>
                <w:bCs w:val="0"/>
                <w:color w:val="auto"/>
                <w:szCs w:val="21"/>
                <w:lang w:val="en-US" w:eastAsia="zh-CN"/>
              </w:rPr>
              <w:t>（1）液态成型：</w:t>
            </w:r>
            <w:r>
              <w:rPr>
                <w:rFonts w:hint="default" w:ascii="Times New Roman" w:hAnsi="Times New Roman" w:cs="Times New Roman"/>
                <w:b w:val="0"/>
                <w:bCs/>
                <w:color w:val="auto"/>
                <w:szCs w:val="21"/>
                <w:lang w:val="en-US" w:eastAsia="zh-CN"/>
              </w:rPr>
              <w:t>把液态硅胶放入液态机的模具中，借助模具在加热和压力作用使得硅胶加工成产品所需的形状，硅胶成型温度为160℃左右，成型时长约2min，取出后自然冷却，项目液态硅胶成型无需添加交联剂、架桥剂或硫化剂等材料，项目硅胶成型工序产生有机废气、臭气浓度、废原料桶和噪声。</w:t>
            </w:r>
          </w:p>
          <w:p w14:paraId="14F2CE78">
            <w:pPr>
              <w:numPr>
                <w:ilvl w:val="0"/>
                <w:numId w:val="0"/>
              </w:numPr>
              <w:adjustRightInd w:val="0"/>
              <w:snapToGrid w:val="0"/>
              <w:ind w:firstLine="482" w:firstLineChars="200"/>
              <w:rPr>
                <w:rFonts w:hint="default" w:ascii="Times New Roman" w:hAnsi="Times New Roman" w:cs="Times New Roman"/>
                <w:bCs/>
                <w:color w:val="auto"/>
                <w:szCs w:val="21"/>
                <w:lang w:val="en-US" w:eastAsia="zh-CN"/>
              </w:rPr>
            </w:pPr>
            <w:r>
              <w:rPr>
                <w:rFonts w:hint="default" w:ascii="Times New Roman" w:hAnsi="Times New Roman" w:cs="Times New Roman"/>
                <w:b/>
                <w:bCs/>
                <w:color w:val="auto"/>
                <w:lang w:val="en-US" w:eastAsia="zh-CN"/>
              </w:rPr>
              <w:t>（2）手工挑边：</w:t>
            </w:r>
            <w:r>
              <w:rPr>
                <w:rFonts w:hint="default" w:ascii="Times New Roman" w:hAnsi="Times New Roman" w:cs="Times New Roman"/>
                <w:b w:val="0"/>
                <w:bCs w:val="0"/>
                <w:color w:val="auto"/>
                <w:lang w:val="en-US" w:eastAsia="zh-CN"/>
              </w:rPr>
              <w:t>根据产品需求，部分产品的毛边使用人工进行挑边处理，该工序会产生废料。</w:t>
            </w:r>
          </w:p>
          <w:p w14:paraId="7DBB06DC">
            <w:pPr>
              <w:bidi w:val="0"/>
              <w:ind w:firstLine="482" w:firstLineChars="200"/>
              <w:rPr>
                <w:rFonts w:hint="default" w:ascii="Times New Roman" w:hAnsi="Times New Roman" w:cs="Times New Roman"/>
                <w:color w:val="auto"/>
                <w:lang w:val="en-US" w:eastAsia="zh-CN"/>
              </w:rPr>
            </w:pPr>
            <w:r>
              <w:rPr>
                <w:rFonts w:hint="default" w:ascii="Times New Roman" w:hAnsi="Times New Roman" w:cs="Times New Roman"/>
                <w:b/>
                <w:bCs/>
                <w:color w:val="auto"/>
                <w:lang w:val="en-US" w:eastAsia="zh-CN"/>
              </w:rPr>
              <w:t>（3）质检：</w:t>
            </w:r>
            <w:r>
              <w:rPr>
                <w:rFonts w:hint="default" w:ascii="Times New Roman" w:hAnsi="Times New Roman" w:cs="Times New Roman"/>
                <w:b w:val="0"/>
                <w:bCs w:val="0"/>
                <w:color w:val="auto"/>
                <w:lang w:val="en-US" w:eastAsia="zh-CN"/>
              </w:rPr>
              <w:t>对产品进行质量检测，筛选出合格品，不合格品交由专业回收公司回收处理。</w:t>
            </w:r>
          </w:p>
          <w:p w14:paraId="511354BE">
            <w:pPr>
              <w:adjustRightInd w:val="0"/>
              <w:snapToGrid w:val="0"/>
              <w:ind w:firstLine="482" w:firstLineChars="200"/>
              <w:jc w:val="both"/>
              <w:rPr>
                <w:rFonts w:hint="default" w:ascii="Times New Roman" w:hAnsi="Times New Roman" w:cs="Times New Roman"/>
                <w:b/>
                <w:bCs/>
                <w:color w:val="auto"/>
              </w:rPr>
            </w:pPr>
            <w:r>
              <w:rPr>
                <w:rFonts w:hint="default" w:ascii="Times New Roman" w:hAnsi="Times New Roman" w:cs="Times New Roman"/>
                <w:b/>
                <w:bCs/>
                <w:color w:val="auto"/>
                <w:lang w:val="en-US" w:eastAsia="zh-CN"/>
              </w:rPr>
              <w:t>（4）包装：</w:t>
            </w:r>
            <w:r>
              <w:rPr>
                <w:rFonts w:hint="default" w:ascii="Times New Roman" w:hAnsi="Times New Roman" w:cs="Times New Roman"/>
                <w:color w:val="auto"/>
                <w:lang w:val="en-US" w:eastAsia="zh-CN"/>
              </w:rPr>
              <w:t>将产品进行包装后出货。该工序会产生废包装材料。</w:t>
            </w:r>
          </w:p>
          <w:p w14:paraId="4B7AA929">
            <w:pPr>
              <w:bidi w:val="0"/>
              <w:ind w:firstLine="480" w:firstLineChars="200"/>
              <w:rPr>
                <w:rFonts w:hint="default" w:ascii="Times New Roman" w:hAnsi="Times New Roman" w:cs="Times New Roman"/>
                <w:color w:val="auto"/>
                <w:lang w:val="en-US" w:eastAsia="zh-CN"/>
              </w:rPr>
            </w:pPr>
          </w:p>
          <w:p w14:paraId="5B82F68D">
            <w:pPr>
              <w:rPr>
                <w:rFonts w:hint="default" w:ascii="Times New Roman" w:hAnsi="Times New Roman" w:cs="Times New Roman"/>
                <w:b/>
                <w:bCs/>
                <w:color w:val="auto"/>
              </w:rPr>
            </w:pPr>
            <w:r>
              <w:rPr>
                <w:rFonts w:hint="default" w:ascii="Times New Roman" w:hAnsi="Times New Roman" w:cs="Times New Roman"/>
                <w:b/>
                <w:bCs/>
                <w:color w:val="auto"/>
              </w:rPr>
              <w:t>2、</w:t>
            </w:r>
            <w:r>
              <w:rPr>
                <w:rFonts w:hint="default" w:ascii="Times New Roman" w:hAnsi="Times New Roman" w:cs="Times New Roman"/>
                <w:b/>
                <w:bCs/>
                <w:color w:val="auto"/>
                <w:lang w:val="en-US" w:eastAsia="zh-CN"/>
              </w:rPr>
              <w:t>模具</w:t>
            </w:r>
            <w:r>
              <w:rPr>
                <w:rFonts w:hint="default" w:ascii="Times New Roman" w:hAnsi="Times New Roman" w:cs="Times New Roman"/>
                <w:b/>
                <w:bCs/>
                <w:color w:val="auto"/>
              </w:rPr>
              <w:t>生产工艺流程</w:t>
            </w:r>
          </w:p>
          <w:p w14:paraId="4BEE04DE">
            <w:pPr>
              <w:adjustRightInd w:val="0"/>
              <w:snapToGrid w:val="0"/>
              <w:spacing w:line="240" w:lineRule="auto"/>
              <w:jc w:val="center"/>
              <w:rPr>
                <w:rFonts w:hint="default" w:ascii="Times New Roman" w:hAnsi="Times New Roman" w:cs="Times New Roman"/>
                <w:b/>
                <w:bCs/>
                <w:color w:val="auto"/>
              </w:rPr>
            </w:pPr>
            <w:r>
              <w:rPr>
                <w:rFonts w:hint="default" w:ascii="Times New Roman" w:hAnsi="Times New Roman" w:cs="Times New Roman"/>
                <w:color w:val="auto"/>
              </w:rPr>
              <w:object>
                <v:shape id="_x0000_i1030" o:spt="75" type="#_x0000_t75" style="height:225.65pt;width:335.05pt;" o:ole="t" filled="f" o:preferrelative="t" stroked="f" coordsize="21600,21600">
                  <v:path/>
                  <v:fill on="f" focussize="0,0"/>
                  <v:stroke on="f"/>
                  <v:imagedata r:id="rId26" cropleft="-8499f" cropright="4503f" cropbottom="29423f" o:title=""/>
                  <o:lock v:ext="edit" aspectratio="f"/>
                  <w10:wrap type="none"/>
                  <w10:anchorlock/>
                </v:shape>
                <o:OLEObject Type="Embed" ProgID="Visio.Drawing.15" ShapeID="_x0000_i1030" DrawAspect="Content" ObjectID="_1468075730" r:id="rId25">
                  <o:LockedField>false</o:LockedField>
                </o:OLEObject>
              </w:object>
            </w:r>
          </w:p>
          <w:p w14:paraId="619DC771">
            <w:pPr>
              <w:adjustRightInd w:val="0"/>
              <w:snapToGrid w:val="0"/>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t xml:space="preserve">图4 </w:t>
            </w:r>
            <w:r>
              <w:rPr>
                <w:rFonts w:hint="default" w:ascii="Times New Roman" w:hAnsi="Times New Roman" w:cs="Times New Roman"/>
                <w:b/>
                <w:bCs/>
                <w:color w:val="auto"/>
                <w:lang w:val="en-US" w:eastAsia="zh-CN"/>
              </w:rPr>
              <w:t>模具</w:t>
            </w:r>
            <w:r>
              <w:rPr>
                <w:rFonts w:hint="default" w:ascii="Times New Roman" w:hAnsi="Times New Roman" w:cs="Times New Roman"/>
                <w:b/>
                <w:bCs/>
                <w:color w:val="auto"/>
              </w:rPr>
              <w:t>生产工艺流程图</w:t>
            </w:r>
          </w:p>
          <w:p w14:paraId="3FCCE61D">
            <w:pPr>
              <w:adjustRightInd w:val="0"/>
              <w:snapToGrid w:val="0"/>
              <w:ind w:firstLine="482" w:firstLineChars="200"/>
              <w:rPr>
                <w:rFonts w:hint="default" w:ascii="Times New Roman" w:hAnsi="Times New Roman" w:cs="Times New Roman"/>
                <w:b/>
                <w:bCs w:val="0"/>
                <w:color w:val="auto"/>
                <w:szCs w:val="21"/>
              </w:rPr>
            </w:pPr>
            <w:r>
              <w:rPr>
                <w:rFonts w:hint="default" w:ascii="Times New Roman" w:hAnsi="Times New Roman" w:cs="Times New Roman"/>
                <w:b/>
                <w:bCs w:val="0"/>
                <w:color w:val="auto"/>
                <w:szCs w:val="21"/>
              </w:rPr>
              <w:t>工艺说明：</w:t>
            </w:r>
          </w:p>
          <w:p w14:paraId="13833F17">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cs="Times New Roman"/>
                <w:b/>
                <w:bCs w:val="0"/>
                <w:color w:val="auto"/>
                <w:szCs w:val="21"/>
                <w:lang w:eastAsia="zh-CN"/>
              </w:rPr>
              <w:t>（</w:t>
            </w:r>
            <w:r>
              <w:rPr>
                <w:rFonts w:hint="default" w:ascii="Times New Roman" w:hAnsi="Times New Roman" w:cs="Times New Roman"/>
                <w:b/>
                <w:bCs w:val="0"/>
                <w:color w:val="auto"/>
                <w:szCs w:val="21"/>
                <w:lang w:val="en-US" w:eastAsia="zh-CN"/>
              </w:rPr>
              <w:t>1</w:t>
            </w:r>
            <w:r>
              <w:rPr>
                <w:rFonts w:hint="default" w:ascii="Times New Roman" w:hAnsi="Times New Roman" w:cs="Times New Roman"/>
                <w:b/>
                <w:bCs w:val="0"/>
                <w:color w:val="auto"/>
                <w:szCs w:val="21"/>
                <w:lang w:eastAsia="zh-CN"/>
              </w:rPr>
              <w:t>）</w:t>
            </w:r>
            <w:r>
              <w:rPr>
                <w:rFonts w:hint="default" w:ascii="Times New Roman" w:hAnsi="Times New Roman" w:cs="Times New Roman"/>
                <w:b/>
                <w:bCs w:val="0"/>
                <w:color w:val="auto"/>
                <w:szCs w:val="21"/>
                <w:lang w:val="en-US" w:eastAsia="zh-CN"/>
              </w:rPr>
              <w:t>车床：</w:t>
            </w:r>
            <w:r>
              <w:rPr>
                <w:rFonts w:hint="default" w:ascii="Times New Roman" w:hAnsi="Times New Roman" w:cs="Times New Roman"/>
                <w:b w:val="0"/>
                <w:bCs/>
                <w:color w:val="auto"/>
                <w:szCs w:val="21"/>
                <w:lang w:val="en-US" w:eastAsia="zh-CN"/>
              </w:rPr>
              <w:t>使用车床对工件进行加工。</w:t>
            </w:r>
            <w:r>
              <w:rPr>
                <w:rFonts w:hint="default" w:ascii="Times New Roman" w:hAnsi="Times New Roman" w:cs="Times New Roman"/>
                <w:bCs/>
                <w:color w:val="auto"/>
                <w:szCs w:val="21"/>
                <w:lang w:val="en-US" w:eastAsia="zh-CN"/>
              </w:rPr>
              <w:t>该工序会产生含油金属屑、废料和噪声。</w:t>
            </w:r>
          </w:p>
          <w:p w14:paraId="573CE117">
            <w:pPr>
              <w:adjustRightInd w:val="0"/>
              <w:snapToGrid w:val="0"/>
              <w:ind w:firstLine="482" w:firstLineChars="200"/>
              <w:rPr>
                <w:rFonts w:hint="default" w:ascii="Times New Roman" w:hAnsi="Times New Roman" w:cs="Times New Roman"/>
                <w:bCs/>
                <w:color w:val="auto"/>
                <w:szCs w:val="21"/>
              </w:rPr>
            </w:pPr>
            <w:r>
              <w:rPr>
                <w:rFonts w:hint="default" w:ascii="Times New Roman" w:hAnsi="Times New Roman" w:cs="Times New Roman"/>
                <w:b/>
                <w:bCs w:val="0"/>
                <w:color w:val="auto"/>
                <w:szCs w:val="21"/>
              </w:rPr>
              <w:t>（</w:t>
            </w:r>
            <w:r>
              <w:rPr>
                <w:rFonts w:hint="default" w:ascii="Times New Roman" w:hAnsi="Times New Roman" w:cs="Times New Roman"/>
                <w:b/>
                <w:bCs w:val="0"/>
                <w:color w:val="auto"/>
                <w:szCs w:val="21"/>
                <w:lang w:val="en-US" w:eastAsia="zh-CN"/>
              </w:rPr>
              <w:t>2</w:t>
            </w:r>
            <w:r>
              <w:rPr>
                <w:rFonts w:hint="default" w:ascii="Times New Roman" w:hAnsi="Times New Roman" w:cs="Times New Roman"/>
                <w:b/>
                <w:bCs w:val="0"/>
                <w:color w:val="auto"/>
                <w:szCs w:val="21"/>
              </w:rPr>
              <w:t>）</w:t>
            </w:r>
            <w:r>
              <w:rPr>
                <w:rFonts w:hint="default" w:ascii="Times New Roman" w:hAnsi="Times New Roman" w:cs="Times New Roman"/>
                <w:b/>
                <w:bCs w:val="0"/>
                <w:color w:val="auto"/>
                <w:szCs w:val="21"/>
                <w:lang w:val="en-US" w:eastAsia="zh-CN"/>
              </w:rPr>
              <w:t>铣床：</w:t>
            </w:r>
            <w:r>
              <w:rPr>
                <w:rFonts w:hint="default" w:ascii="Times New Roman" w:hAnsi="Times New Roman" w:cs="Times New Roman"/>
                <w:bCs/>
                <w:color w:val="auto"/>
                <w:szCs w:val="21"/>
                <w:lang w:val="en-US" w:eastAsia="zh-CN"/>
              </w:rPr>
              <w:t>使用铣床对工件进行铣型处理，该工序会产生含油金属屑、废料和噪声。</w:t>
            </w:r>
          </w:p>
          <w:p w14:paraId="75293CA5">
            <w:pPr>
              <w:adjustRightInd w:val="0"/>
              <w:snapToGrid w:val="0"/>
              <w:ind w:firstLine="482" w:firstLineChars="200"/>
              <w:rPr>
                <w:rFonts w:hint="default" w:ascii="Times New Roman" w:hAnsi="Times New Roman" w:eastAsia="宋体" w:cs="Times New Roman"/>
                <w:bCs/>
                <w:color w:val="auto"/>
                <w:szCs w:val="21"/>
                <w:lang w:val="en-US" w:eastAsia="zh-CN"/>
              </w:rPr>
            </w:pPr>
            <w:r>
              <w:rPr>
                <w:rFonts w:hint="default" w:ascii="Times New Roman" w:hAnsi="Times New Roman" w:cs="Times New Roman"/>
                <w:b/>
                <w:bCs w:val="0"/>
                <w:color w:val="auto"/>
                <w:szCs w:val="21"/>
              </w:rPr>
              <w:t>（</w:t>
            </w:r>
            <w:r>
              <w:rPr>
                <w:rFonts w:hint="default" w:ascii="Times New Roman" w:hAnsi="Times New Roman" w:cs="Times New Roman"/>
                <w:b/>
                <w:bCs w:val="0"/>
                <w:color w:val="auto"/>
                <w:szCs w:val="21"/>
                <w:lang w:val="en-US" w:eastAsia="zh-CN"/>
              </w:rPr>
              <w:t>3</w:t>
            </w:r>
            <w:r>
              <w:rPr>
                <w:rFonts w:hint="default" w:ascii="Times New Roman" w:hAnsi="Times New Roman" w:cs="Times New Roman"/>
                <w:b/>
                <w:bCs w:val="0"/>
                <w:color w:val="auto"/>
                <w:szCs w:val="21"/>
              </w:rPr>
              <w:t>）</w:t>
            </w:r>
            <w:r>
              <w:rPr>
                <w:rFonts w:hint="default" w:ascii="Times New Roman" w:hAnsi="Times New Roman" w:cs="Times New Roman"/>
                <w:b/>
                <w:bCs w:val="0"/>
                <w:color w:val="auto"/>
                <w:szCs w:val="21"/>
                <w:lang w:val="en-US" w:eastAsia="zh-CN"/>
              </w:rPr>
              <w:t>CNC加工：</w:t>
            </w:r>
            <w:r>
              <w:rPr>
                <w:rFonts w:hint="default" w:ascii="Times New Roman" w:hAnsi="Times New Roman" w:cs="Times New Roman"/>
                <w:bCs/>
                <w:color w:val="auto"/>
                <w:szCs w:val="21"/>
                <w:lang w:val="en-US" w:eastAsia="zh-CN"/>
              </w:rPr>
              <w:t>将外购的钢材使用CNC电脑锣进行加工，</w:t>
            </w:r>
            <w:r>
              <w:rPr>
                <w:rFonts w:hint="default" w:ascii="Times New Roman" w:hAnsi="Times New Roman" w:cs="Times New Roman"/>
                <w:color w:val="auto"/>
                <w:lang w:val="en-US" w:eastAsia="zh-CN"/>
              </w:rPr>
              <w:t>切削时刀具与工件表面摩擦会导致温度过高，因此使用切削液对工件表面进行冷却，同时起到润滑作用。</w:t>
            </w:r>
            <w:r>
              <w:rPr>
                <w:rFonts w:hint="default" w:ascii="Times New Roman" w:hAnsi="Times New Roman" w:cs="Times New Roman"/>
                <w:color w:val="auto"/>
                <w:highlight w:val="none"/>
                <w:lang w:val="en-US" w:eastAsia="zh-CN"/>
              </w:rPr>
              <w:t>加工过程产生的粉尘在切削液稀释液的冲刷下混入废切削液中，加工产生的金属碎屑粒径较大，粘附了切削液的含油金属屑自然沉降后收集至有资质的单位处置。</w:t>
            </w:r>
            <w:r>
              <w:rPr>
                <w:rFonts w:hint="default" w:ascii="Times New Roman" w:hAnsi="Times New Roman" w:cs="Times New Roman"/>
                <w:bCs/>
                <w:color w:val="auto"/>
                <w:szCs w:val="21"/>
                <w:lang w:val="en-US" w:eastAsia="zh-CN"/>
              </w:rPr>
              <w:t>该工序会产生含油金属屑、噪声、废切削液和废原料桶。</w:t>
            </w:r>
          </w:p>
          <w:p w14:paraId="6F966FC4">
            <w:pPr>
              <w:ind w:firstLine="482"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b/>
                <w:bCs w:val="0"/>
                <w:color w:val="auto"/>
                <w:szCs w:val="21"/>
              </w:rPr>
              <w:t>（</w:t>
            </w:r>
            <w:r>
              <w:rPr>
                <w:rFonts w:hint="default" w:ascii="Times New Roman" w:hAnsi="Times New Roman" w:cs="Times New Roman"/>
                <w:b/>
                <w:bCs w:val="0"/>
                <w:color w:val="auto"/>
                <w:szCs w:val="21"/>
                <w:lang w:val="en-US" w:eastAsia="zh-CN"/>
              </w:rPr>
              <w:t>4</w:t>
            </w:r>
            <w:r>
              <w:rPr>
                <w:rFonts w:hint="default" w:ascii="Times New Roman" w:hAnsi="Times New Roman" w:cs="Times New Roman"/>
                <w:b/>
                <w:bCs w:val="0"/>
                <w:color w:val="auto"/>
                <w:szCs w:val="21"/>
              </w:rPr>
              <w:t>）</w:t>
            </w:r>
            <w:r>
              <w:rPr>
                <w:rFonts w:hint="default" w:ascii="Times New Roman" w:hAnsi="Times New Roman" w:cs="Times New Roman"/>
                <w:b/>
                <w:bCs w:val="0"/>
                <w:color w:val="auto"/>
                <w:szCs w:val="21"/>
                <w:lang w:val="en-US" w:eastAsia="zh-CN"/>
              </w:rPr>
              <w:t>电火花：</w:t>
            </w:r>
            <w:r>
              <w:rPr>
                <w:rFonts w:hint="default" w:ascii="Times New Roman" w:hAnsi="Times New Roman" w:cs="Times New Roman"/>
                <w:bCs/>
                <w:color w:val="auto"/>
                <w:szCs w:val="21"/>
                <w:lang w:val="en-US" w:eastAsia="zh-CN"/>
              </w:rPr>
              <w:t>使用电火花机对工件进行加工。</w:t>
            </w:r>
            <w:r>
              <w:rPr>
                <w:rFonts w:hint="default" w:ascii="Times New Roman" w:hAnsi="Times New Roman" w:cs="Times New Roman"/>
                <w:color w:val="auto"/>
                <w:highlight w:val="none"/>
                <w:lang w:val="en-US" w:eastAsia="zh-CN"/>
              </w:rPr>
              <w:t>电火花加工时，脉冲电源的一极接火花机的工具电极，另一端接工件，两极均浸入火花油中。火花油是电火花机的工作液，作为放电介质，在加工过程中也起到冷却排屑的作用。工件和电极间保持适当的间隙，当两电极之间加上脉冲电压后，工件与电极之间的火花油被击穿，形成放电通道，放电通道中产生瞬时高温，使工件表面材料熔化甚至气化，同时也使火花油气化，在放电间隙处迅速热膨胀并产生爆炸，工件表面一小部分材料被蚀除，形成微小的电蚀坑。脉冲放电结束后，经过一段时间间隔，火花油恢复绝缘，上述过程不断重复进行，工件材料逐渐被蚀除，直至加工出所需尺寸的工件规格。加工产生的金属碎屑和粉尘粒径较大，混入了火花油的含油金属屑自然沉降后收集至有资质的单位处置。该工序会产生油雾、噪声和废矿物油。</w:t>
            </w:r>
          </w:p>
          <w:p w14:paraId="1652007B">
            <w:pPr>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highlight w:val="none"/>
                <w:lang w:val="en-US" w:eastAsia="zh-CN"/>
              </w:rPr>
              <w:t>3</w:t>
            </w:r>
            <w:r>
              <w:rPr>
                <w:rFonts w:hint="default" w:ascii="Times New Roman" w:hAnsi="Times New Roman" w:cs="Times New Roman"/>
                <w:b/>
                <w:bCs/>
                <w:color w:val="auto"/>
                <w:lang w:val="en-US" w:eastAsia="zh-CN"/>
              </w:rPr>
              <w:t>、产污环节</w:t>
            </w:r>
          </w:p>
          <w:p w14:paraId="16A4EA71">
            <w:pPr>
              <w:ind w:firstLine="480" w:firstLineChars="200"/>
              <w:jc w:val="left"/>
              <w:rPr>
                <w:rFonts w:hint="default" w:ascii="Times New Roman" w:hAnsi="Times New Roman" w:cs="Times New Roman"/>
                <w:color w:val="auto"/>
                <w:szCs w:val="22"/>
              </w:rPr>
            </w:pPr>
            <w:r>
              <w:rPr>
                <w:rFonts w:hint="default" w:ascii="Times New Roman" w:hAnsi="Times New Roman" w:cs="Times New Roman"/>
                <w:color w:val="auto"/>
                <w:szCs w:val="22"/>
              </w:rPr>
              <w:t>运营期污染源污染因子分析见下表。</w:t>
            </w:r>
          </w:p>
          <w:p w14:paraId="54093BF7">
            <w:pPr>
              <w:spacing w:line="240" w:lineRule="auto"/>
              <w:ind w:left="-480" w:leftChars="-200"/>
              <w:jc w:val="center"/>
              <w:rPr>
                <w:rFonts w:hint="default" w:ascii="Times New Roman" w:hAnsi="Times New Roman" w:cs="Times New Roman"/>
                <w:b/>
                <w:snapToGrid w:val="0"/>
                <w:color w:val="auto"/>
                <w:kern w:val="0"/>
                <w:szCs w:val="22"/>
              </w:rPr>
            </w:pPr>
            <w:r>
              <w:rPr>
                <w:rFonts w:hint="default" w:ascii="Times New Roman" w:hAnsi="Times New Roman" w:cs="Times New Roman"/>
                <w:b/>
                <w:bCs/>
                <w:snapToGrid w:val="0"/>
                <w:color w:val="auto"/>
                <w:kern w:val="0"/>
                <w:szCs w:val="22"/>
              </w:rPr>
              <w:t xml:space="preserve">   表</w:t>
            </w:r>
            <w:r>
              <w:rPr>
                <w:rFonts w:hint="default" w:ascii="Times New Roman" w:hAnsi="Times New Roman" w:cs="Times New Roman"/>
                <w:b/>
                <w:bCs/>
                <w:snapToGrid w:val="0"/>
                <w:color w:val="auto"/>
                <w:kern w:val="0"/>
                <w:szCs w:val="22"/>
                <w:lang w:val="en-US" w:eastAsia="zh-CN"/>
              </w:rPr>
              <w:t>2-11</w:t>
            </w:r>
            <w:r>
              <w:rPr>
                <w:rFonts w:hint="default" w:ascii="Times New Roman" w:hAnsi="Times New Roman" w:cs="Times New Roman"/>
                <w:b/>
                <w:bCs/>
                <w:snapToGrid w:val="0"/>
                <w:color w:val="auto"/>
                <w:kern w:val="0"/>
                <w:szCs w:val="22"/>
              </w:rPr>
              <w:t xml:space="preserve">  运营期污染源污染因子分析汇总表</w:t>
            </w:r>
          </w:p>
          <w:tbl>
            <w:tblPr>
              <w:tblStyle w:val="22"/>
              <w:tblW w:w="49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451"/>
              <w:gridCol w:w="2095"/>
              <w:gridCol w:w="1890"/>
              <w:gridCol w:w="3831"/>
            </w:tblGrid>
            <w:tr w14:paraId="089F4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Align w:val="center"/>
                </w:tcPr>
                <w:p w14:paraId="6EA04151">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类别</w:t>
                  </w:r>
                </w:p>
              </w:tc>
              <w:tc>
                <w:tcPr>
                  <w:tcW w:w="1422" w:type="pct"/>
                  <w:gridSpan w:val="2"/>
                  <w:vAlign w:val="center"/>
                </w:tcPr>
                <w:p w14:paraId="61D06F9B">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污染源</w:t>
                  </w:r>
                </w:p>
              </w:tc>
              <w:tc>
                <w:tcPr>
                  <w:tcW w:w="1055" w:type="pct"/>
                  <w:vAlign w:val="center"/>
                </w:tcPr>
                <w:p w14:paraId="1421C8FC">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污染物</w:t>
                  </w:r>
                </w:p>
              </w:tc>
              <w:tc>
                <w:tcPr>
                  <w:tcW w:w="2140" w:type="pct"/>
                  <w:vAlign w:val="center"/>
                </w:tcPr>
                <w:p w14:paraId="1ADA1542">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处置方式</w:t>
                  </w:r>
                </w:p>
              </w:tc>
            </w:tr>
            <w:tr w14:paraId="740B5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restart"/>
                  <w:vAlign w:val="center"/>
                </w:tcPr>
                <w:p w14:paraId="25F0DFE9">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废气</w:t>
                  </w:r>
                </w:p>
              </w:tc>
              <w:tc>
                <w:tcPr>
                  <w:tcW w:w="1422" w:type="pct"/>
                  <w:gridSpan w:val="2"/>
                  <w:vAlign w:val="center"/>
                </w:tcPr>
                <w:p w14:paraId="6946F38F">
                  <w:pPr>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调漆、喷漆及烘烤</w:t>
                  </w:r>
                </w:p>
              </w:tc>
              <w:tc>
                <w:tcPr>
                  <w:tcW w:w="1055" w:type="pct"/>
                  <w:vAlign w:val="center"/>
                </w:tcPr>
                <w:p w14:paraId="2160AFB9">
                  <w:pPr>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VOCs、颗粒物</w:t>
                  </w:r>
                </w:p>
              </w:tc>
              <w:tc>
                <w:tcPr>
                  <w:tcW w:w="2140" w:type="pct"/>
                  <w:vMerge w:val="restart"/>
                  <w:vAlign w:val="center"/>
                </w:tcPr>
                <w:p w14:paraId="68DA7253">
                  <w:pPr>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lang w:val="en-US" w:eastAsia="zh-CN"/>
                    </w:rPr>
                    <w:t>水帘柜预处理后进入</w:t>
                  </w:r>
                  <w:r>
                    <w:rPr>
                      <w:rFonts w:hint="default" w:ascii="Times New Roman" w:hAnsi="Times New Roman" w:cs="Times New Roman"/>
                      <w:color w:val="auto"/>
                      <w:sz w:val="21"/>
                      <w:szCs w:val="21"/>
                    </w:rPr>
                    <w:t>“水喷淋塔+干式过滤棉+</w:t>
                  </w:r>
                  <w:r>
                    <w:rPr>
                      <w:rFonts w:hint="default" w:ascii="Times New Roman" w:hAnsi="Times New Roman" w:cs="Times New Roman"/>
                      <w:color w:val="auto"/>
                      <w:sz w:val="21"/>
                      <w:szCs w:val="21"/>
                      <w:lang w:eastAsia="zh-CN"/>
                    </w:rPr>
                    <w:t>二级活性炭</w:t>
                  </w:r>
                  <w:r>
                    <w:rPr>
                      <w:rFonts w:hint="default" w:ascii="Times New Roman" w:hAnsi="Times New Roman" w:cs="Times New Roman"/>
                      <w:color w:val="auto"/>
                      <w:sz w:val="21"/>
                      <w:szCs w:val="21"/>
                    </w:rPr>
                    <w:t>吸附装置”处理后引至排气筒DA001排放</w:t>
                  </w:r>
                </w:p>
              </w:tc>
            </w:tr>
            <w:tr w14:paraId="11768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60EB7665">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7F4E39E3">
                  <w:pPr>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密炼、硫化</w:t>
                  </w:r>
                </w:p>
              </w:tc>
              <w:tc>
                <w:tcPr>
                  <w:tcW w:w="1055" w:type="pct"/>
                  <w:vAlign w:val="center"/>
                </w:tcPr>
                <w:p w14:paraId="0AE70F60">
                  <w:pPr>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非甲烷总烃、臭气浓度</w:t>
                  </w:r>
                </w:p>
              </w:tc>
              <w:tc>
                <w:tcPr>
                  <w:tcW w:w="2140" w:type="pct"/>
                  <w:vMerge w:val="continue"/>
                  <w:vAlign w:val="center"/>
                </w:tcPr>
                <w:p w14:paraId="0F0D7F92">
                  <w:pPr>
                    <w:spacing w:line="240" w:lineRule="auto"/>
                    <w:jc w:val="center"/>
                    <w:rPr>
                      <w:rFonts w:hint="default" w:ascii="Times New Roman" w:hAnsi="Times New Roman" w:cs="Times New Roman"/>
                      <w:color w:val="auto"/>
                      <w:sz w:val="21"/>
                      <w:szCs w:val="21"/>
                      <w:lang w:val="en-US" w:eastAsia="zh-CN"/>
                    </w:rPr>
                  </w:pPr>
                </w:p>
              </w:tc>
            </w:tr>
            <w:tr w14:paraId="70243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465A3DD9">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5284680F">
                  <w:pPr>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移印</w:t>
                  </w:r>
                </w:p>
              </w:tc>
              <w:tc>
                <w:tcPr>
                  <w:tcW w:w="1055" w:type="pct"/>
                  <w:vAlign w:val="center"/>
                </w:tcPr>
                <w:p w14:paraId="2239BDF3">
                  <w:pPr>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VOCs</w:t>
                  </w:r>
                </w:p>
              </w:tc>
              <w:tc>
                <w:tcPr>
                  <w:tcW w:w="2140" w:type="pct"/>
                  <w:vMerge w:val="continue"/>
                  <w:vAlign w:val="center"/>
                </w:tcPr>
                <w:p w14:paraId="1AB46D60">
                  <w:pPr>
                    <w:spacing w:line="240" w:lineRule="auto"/>
                    <w:jc w:val="center"/>
                    <w:rPr>
                      <w:rFonts w:hint="default" w:ascii="Times New Roman" w:hAnsi="Times New Roman" w:cs="Times New Roman"/>
                      <w:color w:val="auto"/>
                      <w:sz w:val="21"/>
                      <w:szCs w:val="21"/>
                      <w:lang w:val="en-US" w:eastAsia="zh-CN"/>
                    </w:rPr>
                  </w:pPr>
                </w:p>
              </w:tc>
            </w:tr>
            <w:tr w14:paraId="1C93D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40C1CFE4">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213AF0AB">
                  <w:pPr>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注塑、液态成型</w:t>
                  </w:r>
                </w:p>
              </w:tc>
              <w:tc>
                <w:tcPr>
                  <w:tcW w:w="1055" w:type="pct"/>
                  <w:vAlign w:val="center"/>
                </w:tcPr>
                <w:p w14:paraId="103E1D6D">
                  <w:pPr>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非甲烷总烃、臭气浓度</w:t>
                  </w:r>
                </w:p>
              </w:tc>
              <w:tc>
                <w:tcPr>
                  <w:tcW w:w="2140" w:type="pct"/>
                  <w:vAlign w:val="center"/>
                </w:tcPr>
                <w:p w14:paraId="3C4F31A9">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进入</w:t>
                  </w:r>
                  <w:r>
                    <w:rPr>
                      <w:rFonts w:hint="default" w:ascii="Times New Roman" w:hAnsi="Times New Roman" w:cs="Times New Roman"/>
                      <w:color w:val="auto"/>
                      <w:sz w:val="21"/>
                      <w:szCs w:val="21"/>
                    </w:rPr>
                    <w:t>“水喷淋塔+干式过滤棉+</w:t>
                  </w:r>
                  <w:r>
                    <w:rPr>
                      <w:rFonts w:hint="default" w:ascii="Times New Roman" w:hAnsi="Times New Roman" w:cs="Times New Roman"/>
                      <w:color w:val="auto"/>
                      <w:sz w:val="21"/>
                      <w:szCs w:val="21"/>
                      <w:lang w:eastAsia="zh-CN"/>
                    </w:rPr>
                    <w:t>二级活性炭</w:t>
                  </w:r>
                  <w:r>
                    <w:rPr>
                      <w:rFonts w:hint="default" w:ascii="Times New Roman" w:hAnsi="Times New Roman" w:cs="Times New Roman"/>
                      <w:color w:val="auto"/>
                      <w:sz w:val="21"/>
                      <w:szCs w:val="21"/>
                    </w:rPr>
                    <w:t>吸附装置”处理后引至排气筒DA00</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排放</w:t>
                  </w:r>
                </w:p>
              </w:tc>
            </w:tr>
            <w:tr w14:paraId="3D50A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6B41EAB">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223B59AD">
                  <w:pPr>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破碎</w:t>
                  </w:r>
                </w:p>
              </w:tc>
              <w:tc>
                <w:tcPr>
                  <w:tcW w:w="1055" w:type="pct"/>
                  <w:vAlign w:val="center"/>
                </w:tcPr>
                <w:p w14:paraId="1B3F4FD9">
                  <w:pPr>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颗粒物</w:t>
                  </w:r>
                </w:p>
              </w:tc>
              <w:tc>
                <w:tcPr>
                  <w:tcW w:w="2140" w:type="pct"/>
                  <w:vAlign w:val="center"/>
                </w:tcPr>
                <w:p w14:paraId="3BB12718">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在车间自然沉降</w:t>
                  </w:r>
                  <w:r>
                    <w:rPr>
                      <w:rFonts w:hint="default" w:ascii="Times New Roman" w:hAnsi="Times New Roman" w:cs="Times New Roman"/>
                      <w:bCs/>
                      <w:color w:val="auto"/>
                      <w:sz w:val="21"/>
                      <w:szCs w:val="21"/>
                      <w:lang w:val="en-US" w:eastAsia="zh-CN"/>
                    </w:rPr>
                    <w:t>后</w:t>
                  </w:r>
                  <w:r>
                    <w:rPr>
                      <w:rFonts w:hint="default" w:ascii="Times New Roman" w:hAnsi="Times New Roman" w:cs="Times New Roman"/>
                      <w:bCs/>
                      <w:color w:val="auto"/>
                      <w:sz w:val="21"/>
                      <w:szCs w:val="21"/>
                    </w:rPr>
                    <w:t>无组织排放</w:t>
                  </w:r>
                </w:p>
              </w:tc>
            </w:tr>
            <w:tr w14:paraId="743B8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B4C7EF1">
                  <w:pPr>
                    <w:spacing w:line="240" w:lineRule="auto"/>
                    <w:jc w:val="center"/>
                    <w:rPr>
                      <w:rFonts w:hint="default" w:ascii="Times New Roman" w:hAnsi="Times New Roman" w:cs="Times New Roman"/>
                      <w:bCs/>
                      <w:color w:val="auto"/>
                      <w:sz w:val="21"/>
                      <w:szCs w:val="21"/>
                    </w:rPr>
                  </w:pPr>
                </w:p>
              </w:tc>
              <w:tc>
                <w:tcPr>
                  <w:tcW w:w="2546" w:type="dxa"/>
                  <w:gridSpan w:val="2"/>
                  <w:vMerge w:val="restart"/>
                  <w:vAlign w:val="center"/>
                </w:tcPr>
                <w:p w14:paraId="46DE875B">
                  <w:pPr>
                    <w:spacing w:line="240" w:lineRule="auto"/>
                    <w:jc w:val="center"/>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val="en-US" w:eastAsia="zh-CN"/>
                    </w:rPr>
                    <w:t>电火花</w:t>
                  </w:r>
                </w:p>
              </w:tc>
              <w:tc>
                <w:tcPr>
                  <w:tcW w:w="1890" w:type="dxa"/>
                  <w:vAlign w:val="center"/>
                </w:tcPr>
                <w:p w14:paraId="32788B56">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颗粒物</w:t>
                  </w:r>
                </w:p>
              </w:tc>
              <w:tc>
                <w:tcPr>
                  <w:tcW w:w="3831" w:type="dxa"/>
                  <w:vAlign w:val="center"/>
                </w:tcPr>
                <w:p w14:paraId="05F3C7E8">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在车间自然沉降</w:t>
                  </w:r>
                  <w:r>
                    <w:rPr>
                      <w:rFonts w:hint="default" w:ascii="Times New Roman" w:hAnsi="Times New Roman" w:cs="Times New Roman"/>
                      <w:bCs/>
                      <w:color w:val="auto"/>
                      <w:sz w:val="21"/>
                      <w:szCs w:val="21"/>
                      <w:lang w:val="en-US" w:eastAsia="zh-CN"/>
                    </w:rPr>
                    <w:t>后</w:t>
                  </w:r>
                  <w:r>
                    <w:rPr>
                      <w:rFonts w:hint="default" w:ascii="Times New Roman" w:hAnsi="Times New Roman" w:cs="Times New Roman"/>
                      <w:bCs/>
                      <w:color w:val="auto"/>
                      <w:sz w:val="21"/>
                      <w:szCs w:val="21"/>
                    </w:rPr>
                    <w:t>无组织排放</w:t>
                  </w:r>
                </w:p>
              </w:tc>
            </w:tr>
            <w:tr w14:paraId="59000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2D20F68B">
                  <w:pPr>
                    <w:spacing w:line="240" w:lineRule="auto"/>
                    <w:jc w:val="center"/>
                    <w:rPr>
                      <w:rFonts w:hint="default" w:ascii="Times New Roman" w:hAnsi="Times New Roman" w:cs="Times New Roman"/>
                      <w:bCs/>
                      <w:color w:val="auto"/>
                      <w:sz w:val="21"/>
                      <w:szCs w:val="21"/>
                    </w:rPr>
                  </w:pPr>
                </w:p>
              </w:tc>
              <w:tc>
                <w:tcPr>
                  <w:tcW w:w="2546" w:type="dxa"/>
                  <w:gridSpan w:val="2"/>
                  <w:vMerge w:val="continue"/>
                  <w:vAlign w:val="center"/>
                </w:tcPr>
                <w:p w14:paraId="26815FA5">
                  <w:pPr>
                    <w:spacing w:line="240" w:lineRule="auto"/>
                    <w:jc w:val="center"/>
                    <w:rPr>
                      <w:rFonts w:hint="default" w:ascii="Times New Roman" w:hAnsi="Times New Roman" w:cs="Times New Roman"/>
                      <w:bCs/>
                      <w:color w:val="auto"/>
                      <w:sz w:val="21"/>
                      <w:szCs w:val="21"/>
                    </w:rPr>
                  </w:pPr>
                </w:p>
              </w:tc>
              <w:tc>
                <w:tcPr>
                  <w:tcW w:w="1890" w:type="dxa"/>
                  <w:vAlign w:val="center"/>
                </w:tcPr>
                <w:p w14:paraId="34F56ED8">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油雾</w:t>
                  </w:r>
                </w:p>
              </w:tc>
              <w:tc>
                <w:tcPr>
                  <w:tcW w:w="3831" w:type="dxa"/>
                  <w:vAlign w:val="center"/>
                </w:tcPr>
                <w:p w14:paraId="27A5F2F4">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在车间无组织排放</w:t>
                  </w:r>
                </w:p>
              </w:tc>
            </w:tr>
            <w:tr w14:paraId="4C015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5A052C2">
                  <w:pPr>
                    <w:spacing w:line="240" w:lineRule="auto"/>
                    <w:jc w:val="center"/>
                    <w:rPr>
                      <w:rFonts w:hint="default" w:ascii="Times New Roman" w:hAnsi="Times New Roman" w:cs="Times New Roman"/>
                      <w:bCs/>
                      <w:color w:val="auto"/>
                      <w:sz w:val="21"/>
                      <w:szCs w:val="21"/>
                    </w:rPr>
                  </w:pPr>
                </w:p>
              </w:tc>
              <w:tc>
                <w:tcPr>
                  <w:tcW w:w="1422" w:type="pct"/>
                  <w:gridSpan w:val="2"/>
                  <w:vMerge w:val="restart"/>
                  <w:vAlign w:val="center"/>
                </w:tcPr>
                <w:p w14:paraId="25E93C4F">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机加工</w:t>
                  </w:r>
                </w:p>
              </w:tc>
              <w:tc>
                <w:tcPr>
                  <w:tcW w:w="1055" w:type="pct"/>
                  <w:vAlign w:val="center"/>
                </w:tcPr>
                <w:p w14:paraId="6E74C9B0">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颗粒物</w:t>
                  </w:r>
                </w:p>
              </w:tc>
              <w:tc>
                <w:tcPr>
                  <w:tcW w:w="2140" w:type="pct"/>
                  <w:vAlign w:val="center"/>
                </w:tcPr>
                <w:p w14:paraId="4AD616D9">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在车间自然沉降</w:t>
                  </w:r>
                  <w:r>
                    <w:rPr>
                      <w:rFonts w:hint="default" w:ascii="Times New Roman" w:hAnsi="Times New Roman" w:cs="Times New Roman"/>
                      <w:bCs/>
                      <w:color w:val="auto"/>
                      <w:sz w:val="21"/>
                      <w:szCs w:val="21"/>
                      <w:lang w:val="en-US" w:eastAsia="zh-CN"/>
                    </w:rPr>
                    <w:t>后</w:t>
                  </w:r>
                  <w:r>
                    <w:rPr>
                      <w:rFonts w:hint="default" w:ascii="Times New Roman" w:hAnsi="Times New Roman" w:cs="Times New Roman"/>
                      <w:bCs/>
                      <w:color w:val="auto"/>
                      <w:sz w:val="21"/>
                      <w:szCs w:val="21"/>
                    </w:rPr>
                    <w:t>无组织排放</w:t>
                  </w:r>
                </w:p>
              </w:tc>
            </w:tr>
            <w:tr w14:paraId="2752C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D25BA3D">
                  <w:pPr>
                    <w:spacing w:line="240" w:lineRule="auto"/>
                    <w:jc w:val="center"/>
                    <w:rPr>
                      <w:rFonts w:hint="default" w:ascii="Times New Roman" w:hAnsi="Times New Roman" w:cs="Times New Roman"/>
                      <w:bCs/>
                      <w:color w:val="auto"/>
                      <w:sz w:val="21"/>
                      <w:szCs w:val="21"/>
                    </w:rPr>
                  </w:pPr>
                </w:p>
              </w:tc>
              <w:tc>
                <w:tcPr>
                  <w:tcW w:w="1422" w:type="pct"/>
                  <w:gridSpan w:val="2"/>
                  <w:vMerge w:val="continue"/>
                  <w:vAlign w:val="center"/>
                </w:tcPr>
                <w:p w14:paraId="3814CD74">
                  <w:pPr>
                    <w:spacing w:line="240" w:lineRule="auto"/>
                    <w:jc w:val="center"/>
                    <w:rPr>
                      <w:rFonts w:hint="default" w:ascii="Times New Roman" w:hAnsi="Times New Roman" w:eastAsia="宋体" w:cs="Times New Roman"/>
                      <w:bCs/>
                      <w:color w:val="auto"/>
                      <w:kern w:val="2"/>
                      <w:sz w:val="21"/>
                      <w:szCs w:val="21"/>
                      <w:lang w:val="en-US" w:eastAsia="zh-CN" w:bidi="ar-SA"/>
                    </w:rPr>
                  </w:pPr>
                </w:p>
              </w:tc>
              <w:tc>
                <w:tcPr>
                  <w:tcW w:w="1055" w:type="pct"/>
                  <w:vAlign w:val="center"/>
                </w:tcPr>
                <w:p w14:paraId="27442067">
                  <w:pPr>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油雾</w:t>
                  </w:r>
                </w:p>
              </w:tc>
              <w:tc>
                <w:tcPr>
                  <w:tcW w:w="2140" w:type="pct"/>
                  <w:vAlign w:val="center"/>
                </w:tcPr>
                <w:p w14:paraId="3C0D8E56">
                  <w:pPr>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在车间无组织排放</w:t>
                  </w:r>
                </w:p>
              </w:tc>
            </w:tr>
            <w:tr w14:paraId="67361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restart"/>
                  <w:vAlign w:val="center"/>
                </w:tcPr>
                <w:p w14:paraId="0D7631A5">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废水</w:t>
                  </w:r>
                </w:p>
              </w:tc>
              <w:tc>
                <w:tcPr>
                  <w:tcW w:w="1422" w:type="pct"/>
                  <w:gridSpan w:val="2"/>
                  <w:vAlign w:val="center"/>
                </w:tcPr>
                <w:p w14:paraId="076A087A">
                  <w:pPr>
                    <w:spacing w:line="240" w:lineRule="auto"/>
                    <w:jc w:val="center"/>
                    <w:rPr>
                      <w:rFonts w:hint="default" w:ascii="Times New Roman" w:hAnsi="Times New Roman" w:eastAsia="宋体" w:cs="Times New Roman"/>
                      <w:color w:val="auto"/>
                      <w:position w:val="-10"/>
                      <w:sz w:val="21"/>
                      <w:szCs w:val="21"/>
                      <w:lang w:val="en-US" w:eastAsia="zh-CN"/>
                    </w:rPr>
                  </w:pPr>
                  <w:r>
                    <w:rPr>
                      <w:rFonts w:hint="default" w:ascii="Times New Roman" w:hAnsi="Times New Roman" w:cs="Times New Roman"/>
                      <w:color w:val="auto"/>
                      <w:position w:val="-10"/>
                      <w:sz w:val="21"/>
                      <w:szCs w:val="21"/>
                      <w:lang w:val="en-US" w:eastAsia="zh-CN"/>
                    </w:rPr>
                    <w:t>间接冷却废水</w:t>
                  </w:r>
                </w:p>
              </w:tc>
              <w:tc>
                <w:tcPr>
                  <w:tcW w:w="1055" w:type="pct"/>
                  <w:vMerge w:val="restart"/>
                  <w:vAlign w:val="center"/>
                </w:tcPr>
                <w:p w14:paraId="26D96B23">
                  <w:pPr>
                    <w:spacing w:line="240" w:lineRule="auto"/>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CODcr、SS、石油类</w:t>
                  </w:r>
                </w:p>
              </w:tc>
              <w:tc>
                <w:tcPr>
                  <w:tcW w:w="2140" w:type="pct"/>
                  <w:vAlign w:val="center"/>
                </w:tcPr>
                <w:p w14:paraId="44F62122">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循环使用不外排</w:t>
                  </w:r>
                </w:p>
              </w:tc>
            </w:tr>
            <w:tr w14:paraId="4A2B0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CAAFA25">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4431A053">
                  <w:pPr>
                    <w:spacing w:line="240" w:lineRule="auto"/>
                    <w:jc w:val="center"/>
                    <w:rPr>
                      <w:rFonts w:hint="default" w:ascii="Times New Roman" w:hAnsi="Times New Roman" w:cs="Times New Roman"/>
                      <w:color w:val="auto"/>
                      <w:position w:val="-10"/>
                      <w:sz w:val="21"/>
                      <w:szCs w:val="21"/>
                    </w:rPr>
                  </w:pPr>
                  <w:r>
                    <w:rPr>
                      <w:rFonts w:hint="default" w:ascii="Times New Roman" w:hAnsi="Times New Roman" w:cs="Times New Roman"/>
                      <w:color w:val="auto"/>
                      <w:position w:val="-10"/>
                      <w:sz w:val="21"/>
                      <w:szCs w:val="21"/>
                    </w:rPr>
                    <w:t>水帘柜废水</w:t>
                  </w:r>
                </w:p>
              </w:tc>
              <w:tc>
                <w:tcPr>
                  <w:tcW w:w="1055" w:type="pct"/>
                  <w:vMerge w:val="continue"/>
                  <w:vAlign w:val="center"/>
                </w:tcPr>
                <w:p w14:paraId="215CDCCB">
                  <w:pPr>
                    <w:spacing w:line="240" w:lineRule="auto"/>
                    <w:jc w:val="center"/>
                    <w:textAlignment w:val="center"/>
                    <w:rPr>
                      <w:rFonts w:hint="default" w:ascii="Times New Roman" w:hAnsi="Times New Roman" w:cs="Times New Roman"/>
                      <w:color w:val="auto"/>
                      <w:sz w:val="21"/>
                      <w:szCs w:val="21"/>
                    </w:rPr>
                  </w:pPr>
                </w:p>
              </w:tc>
              <w:tc>
                <w:tcPr>
                  <w:tcW w:w="2140" w:type="pct"/>
                  <w:vMerge w:val="restart"/>
                  <w:vAlign w:val="center"/>
                </w:tcPr>
                <w:p w14:paraId="73559BA1">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收集后交由有资质的单位处理</w:t>
                  </w:r>
                </w:p>
              </w:tc>
            </w:tr>
            <w:tr w14:paraId="17489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0CB15D0">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382A192B">
                  <w:pPr>
                    <w:spacing w:line="240" w:lineRule="auto"/>
                    <w:jc w:val="center"/>
                    <w:rPr>
                      <w:rFonts w:hint="default" w:ascii="Times New Roman" w:hAnsi="Times New Roman" w:cs="Times New Roman"/>
                      <w:color w:val="auto"/>
                      <w:position w:val="-10"/>
                      <w:sz w:val="21"/>
                      <w:szCs w:val="21"/>
                    </w:rPr>
                  </w:pPr>
                  <w:r>
                    <w:rPr>
                      <w:rFonts w:hint="default" w:ascii="Times New Roman" w:hAnsi="Times New Roman" w:cs="Times New Roman"/>
                      <w:color w:val="auto"/>
                      <w:position w:val="-10"/>
                      <w:sz w:val="21"/>
                      <w:szCs w:val="21"/>
                    </w:rPr>
                    <w:t>喷淋塔废水</w:t>
                  </w:r>
                </w:p>
              </w:tc>
              <w:tc>
                <w:tcPr>
                  <w:tcW w:w="1055" w:type="pct"/>
                  <w:vMerge w:val="continue"/>
                  <w:vAlign w:val="center"/>
                </w:tcPr>
                <w:p w14:paraId="78DF5236">
                  <w:pPr>
                    <w:spacing w:line="240" w:lineRule="auto"/>
                    <w:jc w:val="center"/>
                    <w:textAlignment w:val="center"/>
                    <w:rPr>
                      <w:rFonts w:hint="default" w:ascii="Times New Roman" w:hAnsi="Times New Roman" w:cs="Times New Roman"/>
                      <w:color w:val="auto"/>
                      <w:sz w:val="21"/>
                      <w:szCs w:val="21"/>
                    </w:rPr>
                  </w:pPr>
                </w:p>
              </w:tc>
              <w:tc>
                <w:tcPr>
                  <w:tcW w:w="2140" w:type="pct"/>
                  <w:vMerge w:val="continue"/>
                  <w:vAlign w:val="center"/>
                </w:tcPr>
                <w:p w14:paraId="212147E3">
                  <w:pPr>
                    <w:spacing w:line="240" w:lineRule="auto"/>
                    <w:jc w:val="center"/>
                    <w:rPr>
                      <w:rFonts w:hint="default" w:ascii="Times New Roman" w:hAnsi="Times New Roman" w:cs="Times New Roman"/>
                      <w:color w:val="auto"/>
                      <w:sz w:val="21"/>
                      <w:szCs w:val="21"/>
                    </w:rPr>
                  </w:pPr>
                </w:p>
              </w:tc>
            </w:tr>
            <w:tr w14:paraId="3CC3F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06B3EB12">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0198E06A">
                  <w:pPr>
                    <w:spacing w:line="240" w:lineRule="auto"/>
                    <w:jc w:val="center"/>
                    <w:rPr>
                      <w:rFonts w:hint="default" w:ascii="Times New Roman" w:hAnsi="Times New Roman" w:eastAsia="宋体" w:cs="Times New Roman"/>
                      <w:color w:val="auto"/>
                      <w:position w:val="-10"/>
                      <w:sz w:val="21"/>
                      <w:szCs w:val="21"/>
                      <w:lang w:val="en-US" w:eastAsia="zh-CN"/>
                    </w:rPr>
                  </w:pPr>
                  <w:r>
                    <w:rPr>
                      <w:rFonts w:hint="default" w:ascii="Times New Roman" w:hAnsi="Times New Roman" w:cs="Times New Roman"/>
                      <w:color w:val="auto"/>
                      <w:position w:val="-10"/>
                      <w:sz w:val="21"/>
                      <w:szCs w:val="21"/>
                      <w:lang w:val="en-US" w:eastAsia="zh-CN"/>
                    </w:rPr>
                    <w:t>喷枪清洗废水</w:t>
                  </w:r>
                </w:p>
              </w:tc>
              <w:tc>
                <w:tcPr>
                  <w:tcW w:w="1055" w:type="pct"/>
                  <w:vMerge w:val="continue"/>
                  <w:vAlign w:val="center"/>
                </w:tcPr>
                <w:p w14:paraId="26CA27C8">
                  <w:pPr>
                    <w:spacing w:line="240" w:lineRule="auto"/>
                    <w:jc w:val="center"/>
                    <w:textAlignment w:val="center"/>
                    <w:rPr>
                      <w:rFonts w:hint="default" w:ascii="Times New Roman" w:hAnsi="Times New Roman" w:cs="Times New Roman"/>
                      <w:color w:val="auto"/>
                      <w:sz w:val="21"/>
                      <w:szCs w:val="21"/>
                    </w:rPr>
                  </w:pPr>
                </w:p>
              </w:tc>
              <w:tc>
                <w:tcPr>
                  <w:tcW w:w="2140" w:type="pct"/>
                  <w:vMerge w:val="continue"/>
                  <w:vAlign w:val="center"/>
                </w:tcPr>
                <w:p w14:paraId="5DBCF632">
                  <w:pPr>
                    <w:spacing w:line="240" w:lineRule="auto"/>
                    <w:jc w:val="center"/>
                    <w:rPr>
                      <w:rFonts w:hint="default" w:ascii="Times New Roman" w:hAnsi="Times New Roman" w:cs="Times New Roman"/>
                      <w:color w:val="auto"/>
                      <w:sz w:val="21"/>
                      <w:szCs w:val="21"/>
                    </w:rPr>
                  </w:pPr>
                </w:p>
              </w:tc>
            </w:tr>
            <w:tr w14:paraId="06268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81" w:type="pct"/>
                  <w:vMerge w:val="continue"/>
                  <w:vAlign w:val="center"/>
                </w:tcPr>
                <w:p w14:paraId="51F065A3">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12F1D317">
                  <w:pPr>
                    <w:spacing w:line="240" w:lineRule="auto"/>
                    <w:jc w:val="center"/>
                    <w:rPr>
                      <w:rFonts w:hint="default" w:ascii="Times New Roman" w:hAnsi="Times New Roman" w:cs="Times New Roman"/>
                      <w:color w:val="auto"/>
                      <w:position w:val="-10"/>
                      <w:sz w:val="21"/>
                      <w:szCs w:val="21"/>
                      <w:lang w:val="en"/>
                    </w:rPr>
                  </w:pPr>
                  <w:r>
                    <w:rPr>
                      <w:rFonts w:hint="default" w:ascii="Times New Roman" w:hAnsi="Times New Roman" w:cs="Times New Roman"/>
                      <w:bCs/>
                      <w:color w:val="auto"/>
                      <w:sz w:val="21"/>
                      <w:szCs w:val="21"/>
                    </w:rPr>
                    <w:t>生活污水</w:t>
                  </w:r>
                </w:p>
              </w:tc>
              <w:tc>
                <w:tcPr>
                  <w:tcW w:w="1055" w:type="pct"/>
                  <w:vAlign w:val="center"/>
                </w:tcPr>
                <w:p w14:paraId="0D0F6AFB">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CODcr、BOD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、SS、NH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石油类</w:t>
                  </w:r>
                </w:p>
              </w:tc>
              <w:tc>
                <w:tcPr>
                  <w:tcW w:w="2140" w:type="pct"/>
                  <w:vAlign w:val="center"/>
                </w:tcPr>
                <w:p w14:paraId="53522614">
                  <w:pPr>
                    <w:spacing w:line="240" w:lineRule="auto"/>
                    <w:jc w:val="center"/>
                    <w:rPr>
                      <w:rFonts w:hint="default" w:ascii="Times New Roman" w:hAnsi="Times New Roman" w:eastAsia="楷体_GB2312" w:cs="Times New Roman"/>
                      <w:color w:val="auto"/>
                      <w:sz w:val="21"/>
                      <w:szCs w:val="21"/>
                    </w:rPr>
                  </w:pPr>
                  <w:r>
                    <w:rPr>
                      <w:rFonts w:hint="default" w:ascii="Times New Roman" w:hAnsi="Times New Roman" w:cs="Times New Roman"/>
                      <w:color w:val="auto"/>
                      <w:sz w:val="21"/>
                      <w:szCs w:val="21"/>
                    </w:rPr>
                    <w:t>三级化粪池预处理后纳入市政管网进入</w:t>
                  </w:r>
                  <w:r>
                    <w:rPr>
                      <w:rFonts w:hint="default" w:ascii="Times New Roman" w:hAnsi="Times New Roman" w:cs="Times New Roman"/>
                      <w:color w:val="auto"/>
                      <w:sz w:val="21"/>
                      <w:szCs w:val="21"/>
                      <w:lang w:eastAsia="zh-CN"/>
                    </w:rPr>
                    <w:t>园洲镇第五污水处理厂</w:t>
                  </w:r>
                  <w:r>
                    <w:rPr>
                      <w:rFonts w:hint="default" w:ascii="Times New Roman" w:hAnsi="Times New Roman" w:cs="Times New Roman"/>
                      <w:color w:val="auto"/>
                      <w:sz w:val="21"/>
                      <w:szCs w:val="21"/>
                    </w:rPr>
                    <w:t>处理</w:t>
                  </w:r>
                </w:p>
              </w:tc>
            </w:tr>
            <w:tr w14:paraId="628A4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Align w:val="center"/>
                </w:tcPr>
                <w:p w14:paraId="2BAEB31B">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噪声</w:t>
                  </w:r>
                </w:p>
              </w:tc>
              <w:tc>
                <w:tcPr>
                  <w:tcW w:w="1422" w:type="pct"/>
                  <w:gridSpan w:val="2"/>
                  <w:vAlign w:val="center"/>
                </w:tcPr>
                <w:p w14:paraId="792B4CB2">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w:t>
                  </w:r>
                </w:p>
              </w:tc>
              <w:tc>
                <w:tcPr>
                  <w:tcW w:w="1055" w:type="pct"/>
                  <w:vAlign w:val="center"/>
                </w:tcPr>
                <w:p w14:paraId="20B9FCFB">
                  <w:pPr>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噪声</w:t>
                  </w:r>
                </w:p>
              </w:tc>
              <w:tc>
                <w:tcPr>
                  <w:tcW w:w="2140" w:type="pct"/>
                  <w:vAlign w:val="center"/>
                </w:tcPr>
                <w:p w14:paraId="02097F17">
                  <w:pPr>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隔声、减振、合理安排生产时间</w:t>
                  </w:r>
                </w:p>
              </w:tc>
            </w:tr>
            <w:tr w14:paraId="5F2A5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restart"/>
                  <w:vAlign w:val="center"/>
                </w:tcPr>
                <w:p w14:paraId="744EFE0C">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固废</w:t>
                  </w:r>
                </w:p>
              </w:tc>
              <w:tc>
                <w:tcPr>
                  <w:tcW w:w="251" w:type="pct"/>
                  <w:vMerge w:val="restart"/>
                  <w:vAlign w:val="center"/>
                </w:tcPr>
                <w:p w14:paraId="0086542A">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一般固废</w:t>
                  </w:r>
                </w:p>
              </w:tc>
              <w:tc>
                <w:tcPr>
                  <w:tcW w:w="1170" w:type="pct"/>
                  <w:vAlign w:val="center"/>
                </w:tcPr>
                <w:p w14:paraId="5F90A6D3">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机加工</w:t>
                  </w:r>
                </w:p>
              </w:tc>
              <w:tc>
                <w:tcPr>
                  <w:tcW w:w="1055" w:type="pct"/>
                  <w:vAlign w:val="center"/>
                </w:tcPr>
                <w:p w14:paraId="13162B20">
                  <w:pPr>
                    <w:wordWrap/>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sz w:val="21"/>
                      <w:szCs w:val="21"/>
                      <w:lang w:val="en-US" w:eastAsia="zh-CN"/>
                    </w:rPr>
                    <w:t>废模具</w:t>
                  </w:r>
                </w:p>
              </w:tc>
              <w:tc>
                <w:tcPr>
                  <w:tcW w:w="2140" w:type="pct"/>
                  <w:vMerge w:val="restart"/>
                  <w:vAlign w:val="center"/>
                </w:tcPr>
                <w:p w14:paraId="3CBC73F3">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交由专业回收公司回收处理</w:t>
                  </w:r>
                </w:p>
              </w:tc>
            </w:tr>
            <w:tr w14:paraId="74C27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559E1C3E">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2BB17379">
                  <w:pPr>
                    <w:spacing w:line="240" w:lineRule="auto"/>
                    <w:jc w:val="center"/>
                    <w:rPr>
                      <w:rFonts w:hint="default" w:ascii="Times New Roman" w:hAnsi="Times New Roman" w:cs="Times New Roman"/>
                      <w:color w:val="auto"/>
                      <w:sz w:val="21"/>
                      <w:szCs w:val="21"/>
                    </w:rPr>
                  </w:pPr>
                </w:p>
              </w:tc>
              <w:tc>
                <w:tcPr>
                  <w:tcW w:w="1170" w:type="pct"/>
                  <w:vAlign w:val="center"/>
                </w:tcPr>
                <w:p w14:paraId="6829C68D">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质量检验</w:t>
                  </w:r>
                </w:p>
              </w:tc>
              <w:tc>
                <w:tcPr>
                  <w:tcW w:w="1055" w:type="pct"/>
                  <w:vAlign w:val="center"/>
                </w:tcPr>
                <w:p w14:paraId="656372A6">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不合格品</w:t>
                  </w:r>
                </w:p>
              </w:tc>
              <w:tc>
                <w:tcPr>
                  <w:tcW w:w="2140" w:type="pct"/>
                  <w:vMerge w:val="continue"/>
                  <w:vAlign w:val="center"/>
                </w:tcPr>
                <w:p w14:paraId="5AC0F2F9">
                  <w:pPr>
                    <w:wordWrap/>
                    <w:spacing w:line="240" w:lineRule="auto"/>
                    <w:jc w:val="center"/>
                    <w:rPr>
                      <w:rFonts w:hint="default" w:ascii="Times New Roman" w:hAnsi="Times New Roman" w:cs="Times New Roman"/>
                      <w:color w:val="auto"/>
                      <w:sz w:val="21"/>
                      <w:szCs w:val="21"/>
                    </w:rPr>
                  </w:pPr>
                </w:p>
              </w:tc>
            </w:tr>
            <w:tr w14:paraId="05E7B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0AC9F17">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43DEFD09">
                  <w:pPr>
                    <w:spacing w:line="240" w:lineRule="auto"/>
                    <w:jc w:val="center"/>
                    <w:rPr>
                      <w:rFonts w:hint="default" w:ascii="Times New Roman" w:hAnsi="Times New Roman" w:cs="Times New Roman"/>
                      <w:color w:val="auto"/>
                      <w:sz w:val="21"/>
                      <w:szCs w:val="21"/>
                    </w:rPr>
                  </w:pPr>
                </w:p>
              </w:tc>
              <w:tc>
                <w:tcPr>
                  <w:tcW w:w="1170" w:type="pct"/>
                  <w:vAlign w:val="center"/>
                </w:tcPr>
                <w:p w14:paraId="10B4354F">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生产过程</w:t>
                  </w:r>
                </w:p>
              </w:tc>
              <w:tc>
                <w:tcPr>
                  <w:tcW w:w="1055" w:type="pct"/>
                  <w:vAlign w:val="center"/>
                </w:tcPr>
                <w:p w14:paraId="13A0BDBD">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废料</w:t>
                  </w:r>
                </w:p>
              </w:tc>
              <w:tc>
                <w:tcPr>
                  <w:tcW w:w="2140" w:type="pct"/>
                  <w:vMerge w:val="continue"/>
                  <w:vAlign w:val="center"/>
                </w:tcPr>
                <w:p w14:paraId="15800A53">
                  <w:pPr>
                    <w:wordWrap/>
                    <w:spacing w:line="240" w:lineRule="auto"/>
                    <w:jc w:val="center"/>
                    <w:rPr>
                      <w:rFonts w:hint="default" w:ascii="Times New Roman" w:hAnsi="Times New Roman" w:cs="Times New Roman"/>
                      <w:color w:val="auto"/>
                      <w:sz w:val="21"/>
                      <w:szCs w:val="21"/>
                    </w:rPr>
                  </w:pPr>
                </w:p>
              </w:tc>
            </w:tr>
            <w:tr w14:paraId="60572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6B472861">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0D6B8885">
                  <w:pPr>
                    <w:spacing w:line="240" w:lineRule="auto"/>
                    <w:jc w:val="center"/>
                    <w:rPr>
                      <w:rFonts w:hint="default" w:ascii="Times New Roman" w:hAnsi="Times New Roman" w:cs="Times New Roman"/>
                      <w:color w:val="auto"/>
                      <w:sz w:val="21"/>
                      <w:szCs w:val="21"/>
                    </w:rPr>
                  </w:pPr>
                </w:p>
              </w:tc>
              <w:tc>
                <w:tcPr>
                  <w:tcW w:w="1170" w:type="pct"/>
                  <w:vAlign w:val="center"/>
                </w:tcPr>
                <w:p w14:paraId="73C75135">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包装</w:t>
                  </w:r>
                </w:p>
              </w:tc>
              <w:tc>
                <w:tcPr>
                  <w:tcW w:w="1055" w:type="pct"/>
                  <w:vAlign w:val="center"/>
                </w:tcPr>
                <w:p w14:paraId="3DEDA5A6">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废包装材料</w:t>
                  </w:r>
                </w:p>
              </w:tc>
              <w:tc>
                <w:tcPr>
                  <w:tcW w:w="2140" w:type="pct"/>
                  <w:vMerge w:val="continue"/>
                  <w:vAlign w:val="center"/>
                </w:tcPr>
                <w:p w14:paraId="2E291205">
                  <w:pPr>
                    <w:wordWrap/>
                    <w:spacing w:line="240" w:lineRule="auto"/>
                    <w:jc w:val="center"/>
                    <w:rPr>
                      <w:rFonts w:hint="default" w:ascii="Times New Roman" w:hAnsi="Times New Roman" w:cs="Times New Roman"/>
                      <w:color w:val="auto"/>
                      <w:sz w:val="21"/>
                      <w:szCs w:val="21"/>
                    </w:rPr>
                  </w:pPr>
                </w:p>
              </w:tc>
            </w:tr>
            <w:tr w14:paraId="3DE0A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795B9B9B">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4A6CB497">
                  <w:pPr>
                    <w:spacing w:line="240" w:lineRule="auto"/>
                    <w:jc w:val="center"/>
                    <w:rPr>
                      <w:rFonts w:hint="default" w:ascii="Times New Roman" w:hAnsi="Times New Roman" w:cs="Times New Roman"/>
                      <w:color w:val="auto"/>
                      <w:sz w:val="21"/>
                      <w:szCs w:val="21"/>
                    </w:rPr>
                  </w:pPr>
                </w:p>
              </w:tc>
              <w:tc>
                <w:tcPr>
                  <w:tcW w:w="1170" w:type="pct"/>
                  <w:vAlign w:val="center"/>
                </w:tcPr>
                <w:p w14:paraId="75FF2B63">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废水处理</w:t>
                  </w:r>
                </w:p>
              </w:tc>
              <w:tc>
                <w:tcPr>
                  <w:tcW w:w="1055" w:type="pct"/>
                  <w:vAlign w:val="center"/>
                </w:tcPr>
                <w:p w14:paraId="602CFE7A">
                  <w:pPr>
                    <w:wordWrap/>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废过滤网</w:t>
                  </w:r>
                </w:p>
              </w:tc>
              <w:tc>
                <w:tcPr>
                  <w:tcW w:w="2140" w:type="pct"/>
                  <w:vMerge w:val="continue"/>
                  <w:vAlign w:val="center"/>
                </w:tcPr>
                <w:p w14:paraId="726D0DF3">
                  <w:pPr>
                    <w:wordWrap/>
                    <w:spacing w:line="240" w:lineRule="auto"/>
                    <w:jc w:val="center"/>
                    <w:rPr>
                      <w:rFonts w:hint="default" w:ascii="Times New Roman" w:hAnsi="Times New Roman" w:cs="Times New Roman"/>
                      <w:color w:val="auto"/>
                      <w:sz w:val="21"/>
                      <w:szCs w:val="21"/>
                    </w:rPr>
                  </w:pPr>
                </w:p>
              </w:tc>
            </w:tr>
            <w:tr w14:paraId="1F058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3D95991">
                  <w:pPr>
                    <w:spacing w:line="240" w:lineRule="auto"/>
                    <w:jc w:val="center"/>
                    <w:rPr>
                      <w:rFonts w:hint="default" w:ascii="Times New Roman" w:hAnsi="Times New Roman" w:cs="Times New Roman"/>
                      <w:bCs/>
                      <w:color w:val="auto"/>
                      <w:sz w:val="21"/>
                      <w:szCs w:val="21"/>
                    </w:rPr>
                  </w:pPr>
                </w:p>
              </w:tc>
              <w:tc>
                <w:tcPr>
                  <w:tcW w:w="251" w:type="pct"/>
                  <w:vMerge w:val="restart"/>
                  <w:vAlign w:val="center"/>
                </w:tcPr>
                <w:p w14:paraId="06387122">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1170" w:type="pct"/>
                  <w:vAlign w:val="center"/>
                </w:tcPr>
                <w:p w14:paraId="7902C97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设备维护、电火花</w:t>
                  </w:r>
                </w:p>
              </w:tc>
              <w:tc>
                <w:tcPr>
                  <w:tcW w:w="1055" w:type="pct"/>
                  <w:vAlign w:val="center"/>
                </w:tcPr>
                <w:p w14:paraId="5F8163B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w:t>
                  </w:r>
                  <w:r>
                    <w:rPr>
                      <w:rFonts w:hint="default" w:ascii="Times New Roman" w:hAnsi="Times New Roman" w:cs="Times New Roman"/>
                      <w:color w:val="auto"/>
                      <w:sz w:val="21"/>
                      <w:szCs w:val="21"/>
                    </w:rPr>
                    <w:t>油</w:t>
                  </w:r>
                </w:p>
              </w:tc>
              <w:tc>
                <w:tcPr>
                  <w:tcW w:w="2140" w:type="pct"/>
                  <w:vMerge w:val="restart"/>
                  <w:vAlign w:val="center"/>
                </w:tcPr>
                <w:p w14:paraId="30988507">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收集后交由有资质的单位回收处理</w:t>
                  </w:r>
                </w:p>
              </w:tc>
            </w:tr>
            <w:tr w14:paraId="3A250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8A24F67">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06CEB6AD">
                  <w:pPr>
                    <w:spacing w:line="240" w:lineRule="auto"/>
                    <w:jc w:val="center"/>
                    <w:rPr>
                      <w:rFonts w:hint="default" w:ascii="Times New Roman" w:hAnsi="Times New Roman" w:cs="Times New Roman"/>
                      <w:color w:val="auto"/>
                      <w:sz w:val="21"/>
                      <w:szCs w:val="21"/>
                    </w:rPr>
                  </w:pPr>
                </w:p>
              </w:tc>
              <w:tc>
                <w:tcPr>
                  <w:tcW w:w="1170" w:type="pct"/>
                  <w:vAlign w:val="center"/>
                </w:tcPr>
                <w:p w14:paraId="2940F9D7">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055" w:type="pct"/>
                  <w:vAlign w:val="center"/>
                </w:tcPr>
                <w:p w14:paraId="4D5D3C7D">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废原料桶</w:t>
                  </w:r>
                </w:p>
              </w:tc>
              <w:tc>
                <w:tcPr>
                  <w:tcW w:w="2140" w:type="pct"/>
                  <w:vMerge w:val="continue"/>
                  <w:vAlign w:val="center"/>
                </w:tcPr>
                <w:p w14:paraId="0667D208">
                  <w:pPr>
                    <w:spacing w:line="240" w:lineRule="auto"/>
                    <w:jc w:val="center"/>
                    <w:rPr>
                      <w:rFonts w:hint="default" w:ascii="Times New Roman" w:hAnsi="Times New Roman" w:cs="Times New Roman"/>
                      <w:color w:val="auto"/>
                      <w:sz w:val="21"/>
                      <w:szCs w:val="21"/>
                    </w:rPr>
                  </w:pPr>
                </w:p>
              </w:tc>
            </w:tr>
            <w:tr w14:paraId="00968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72AA994">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5C26B443">
                  <w:pPr>
                    <w:spacing w:line="240" w:lineRule="auto"/>
                    <w:jc w:val="center"/>
                    <w:rPr>
                      <w:rFonts w:hint="default" w:ascii="Times New Roman" w:hAnsi="Times New Roman" w:cs="Times New Roman"/>
                      <w:color w:val="auto"/>
                      <w:sz w:val="21"/>
                      <w:szCs w:val="21"/>
                    </w:rPr>
                  </w:pPr>
                </w:p>
              </w:tc>
              <w:tc>
                <w:tcPr>
                  <w:tcW w:w="1170" w:type="pct"/>
                  <w:vAlign w:val="center"/>
                </w:tcPr>
                <w:p w14:paraId="4F59675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055" w:type="pct"/>
                  <w:vAlign w:val="center"/>
                </w:tcPr>
                <w:p w14:paraId="26B72F1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废抹布及废手套</w:t>
                  </w:r>
                </w:p>
              </w:tc>
              <w:tc>
                <w:tcPr>
                  <w:tcW w:w="2140" w:type="pct"/>
                  <w:vMerge w:val="continue"/>
                  <w:vAlign w:val="center"/>
                </w:tcPr>
                <w:p w14:paraId="29B616B5">
                  <w:pPr>
                    <w:spacing w:line="240" w:lineRule="auto"/>
                    <w:jc w:val="center"/>
                    <w:rPr>
                      <w:rFonts w:hint="default" w:ascii="Times New Roman" w:hAnsi="Times New Roman" w:cs="Times New Roman"/>
                      <w:color w:val="auto"/>
                      <w:sz w:val="21"/>
                      <w:szCs w:val="21"/>
                    </w:rPr>
                  </w:pPr>
                </w:p>
              </w:tc>
            </w:tr>
            <w:tr w14:paraId="67E19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7502C495">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1ED09C2A">
                  <w:pPr>
                    <w:spacing w:line="240" w:lineRule="auto"/>
                    <w:jc w:val="center"/>
                    <w:rPr>
                      <w:rFonts w:hint="default" w:ascii="Times New Roman" w:hAnsi="Times New Roman" w:cs="Times New Roman"/>
                      <w:color w:val="auto"/>
                      <w:sz w:val="21"/>
                      <w:szCs w:val="21"/>
                    </w:rPr>
                  </w:pPr>
                </w:p>
              </w:tc>
              <w:tc>
                <w:tcPr>
                  <w:tcW w:w="1170" w:type="pct"/>
                  <w:vAlign w:val="center"/>
                </w:tcPr>
                <w:p w14:paraId="4CBB663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水帘柜</w:t>
                  </w:r>
                </w:p>
              </w:tc>
              <w:tc>
                <w:tcPr>
                  <w:tcW w:w="1055" w:type="pct"/>
                  <w:vAlign w:val="center"/>
                </w:tcPr>
                <w:p w14:paraId="26E42E58">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漆渣</w:t>
                  </w:r>
                </w:p>
              </w:tc>
              <w:tc>
                <w:tcPr>
                  <w:tcW w:w="2140" w:type="pct"/>
                  <w:vMerge w:val="continue"/>
                  <w:vAlign w:val="center"/>
                </w:tcPr>
                <w:p w14:paraId="5E275100">
                  <w:pPr>
                    <w:spacing w:line="240" w:lineRule="auto"/>
                    <w:jc w:val="center"/>
                    <w:rPr>
                      <w:rFonts w:hint="default" w:ascii="Times New Roman" w:hAnsi="Times New Roman" w:cs="Times New Roman"/>
                      <w:color w:val="auto"/>
                      <w:sz w:val="21"/>
                      <w:szCs w:val="21"/>
                    </w:rPr>
                  </w:pPr>
                </w:p>
              </w:tc>
            </w:tr>
            <w:tr w14:paraId="299A9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FCDC8CA">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419AADD5">
                  <w:pPr>
                    <w:spacing w:line="240" w:lineRule="auto"/>
                    <w:jc w:val="center"/>
                    <w:rPr>
                      <w:rFonts w:hint="default" w:ascii="Times New Roman" w:hAnsi="Times New Roman" w:cs="Times New Roman"/>
                      <w:color w:val="auto"/>
                      <w:sz w:val="21"/>
                      <w:szCs w:val="21"/>
                    </w:rPr>
                  </w:pPr>
                </w:p>
              </w:tc>
              <w:tc>
                <w:tcPr>
                  <w:tcW w:w="1170" w:type="pct"/>
                  <w:vAlign w:val="center"/>
                </w:tcPr>
                <w:p w14:paraId="56AEC6F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055" w:type="pct"/>
                  <w:vAlign w:val="center"/>
                </w:tcPr>
                <w:p w14:paraId="5EA0A2A8">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喷淋废水</w:t>
                  </w:r>
                </w:p>
              </w:tc>
              <w:tc>
                <w:tcPr>
                  <w:tcW w:w="2140" w:type="pct"/>
                  <w:vMerge w:val="continue"/>
                  <w:vAlign w:val="center"/>
                </w:tcPr>
                <w:p w14:paraId="54B66DA6">
                  <w:pPr>
                    <w:spacing w:line="240" w:lineRule="auto"/>
                    <w:jc w:val="center"/>
                    <w:rPr>
                      <w:rFonts w:hint="default" w:ascii="Times New Roman" w:hAnsi="Times New Roman" w:cs="Times New Roman"/>
                      <w:color w:val="auto"/>
                      <w:sz w:val="21"/>
                      <w:szCs w:val="21"/>
                    </w:rPr>
                  </w:pPr>
                </w:p>
              </w:tc>
            </w:tr>
            <w:tr w14:paraId="088E3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6F1AF867">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72F77E12">
                  <w:pPr>
                    <w:spacing w:line="240" w:lineRule="auto"/>
                    <w:jc w:val="center"/>
                    <w:rPr>
                      <w:rFonts w:hint="default" w:ascii="Times New Roman" w:hAnsi="Times New Roman" w:cs="Times New Roman"/>
                      <w:color w:val="auto"/>
                      <w:sz w:val="21"/>
                      <w:szCs w:val="21"/>
                    </w:rPr>
                  </w:pPr>
                </w:p>
              </w:tc>
              <w:tc>
                <w:tcPr>
                  <w:tcW w:w="1170" w:type="pct"/>
                  <w:vAlign w:val="center"/>
                </w:tcPr>
                <w:p w14:paraId="7E8AC84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CNC加工</w:t>
                  </w:r>
                </w:p>
              </w:tc>
              <w:tc>
                <w:tcPr>
                  <w:tcW w:w="1055" w:type="pct"/>
                  <w:vAlign w:val="center"/>
                </w:tcPr>
                <w:p w14:paraId="1972D93D">
                  <w:pPr>
                    <w:autoSpaceDE w:val="0"/>
                    <w:autoSpaceDN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val="en-US" w:eastAsia="zh-CN"/>
                    </w:rPr>
                    <w:t>含油金属屑</w:t>
                  </w:r>
                </w:p>
              </w:tc>
              <w:tc>
                <w:tcPr>
                  <w:tcW w:w="2140" w:type="pct"/>
                  <w:vMerge w:val="continue"/>
                  <w:vAlign w:val="center"/>
                </w:tcPr>
                <w:p w14:paraId="7A00C4AF">
                  <w:pPr>
                    <w:spacing w:line="240" w:lineRule="auto"/>
                    <w:jc w:val="center"/>
                    <w:rPr>
                      <w:rFonts w:hint="default" w:ascii="Times New Roman" w:hAnsi="Times New Roman" w:cs="Times New Roman"/>
                      <w:color w:val="auto"/>
                      <w:sz w:val="21"/>
                      <w:szCs w:val="21"/>
                    </w:rPr>
                  </w:pPr>
                </w:p>
              </w:tc>
            </w:tr>
            <w:tr w14:paraId="2103A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D9E75CB">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42812503">
                  <w:pPr>
                    <w:spacing w:line="240" w:lineRule="auto"/>
                    <w:jc w:val="center"/>
                    <w:rPr>
                      <w:rFonts w:hint="default" w:ascii="Times New Roman" w:hAnsi="Times New Roman" w:cs="Times New Roman"/>
                      <w:color w:val="auto"/>
                      <w:sz w:val="21"/>
                      <w:szCs w:val="21"/>
                    </w:rPr>
                  </w:pPr>
                </w:p>
              </w:tc>
              <w:tc>
                <w:tcPr>
                  <w:tcW w:w="1170" w:type="pct"/>
                  <w:vAlign w:val="center"/>
                </w:tcPr>
                <w:p w14:paraId="28962FA0">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CNC加工</w:t>
                  </w:r>
                </w:p>
              </w:tc>
              <w:tc>
                <w:tcPr>
                  <w:tcW w:w="1055" w:type="pct"/>
                  <w:vAlign w:val="center"/>
                </w:tcPr>
                <w:p w14:paraId="03830C5A">
                  <w:pPr>
                    <w:autoSpaceDE w:val="0"/>
                    <w:autoSpaceDN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val="en-US" w:eastAsia="zh-CN"/>
                    </w:rPr>
                    <w:t>废切削液</w:t>
                  </w:r>
                </w:p>
              </w:tc>
              <w:tc>
                <w:tcPr>
                  <w:tcW w:w="2140" w:type="pct"/>
                  <w:vMerge w:val="continue"/>
                  <w:vAlign w:val="center"/>
                </w:tcPr>
                <w:p w14:paraId="103E0DE2">
                  <w:pPr>
                    <w:spacing w:line="240" w:lineRule="auto"/>
                    <w:jc w:val="center"/>
                    <w:rPr>
                      <w:rFonts w:hint="default" w:ascii="Times New Roman" w:hAnsi="Times New Roman" w:cs="Times New Roman"/>
                      <w:color w:val="auto"/>
                      <w:sz w:val="21"/>
                      <w:szCs w:val="21"/>
                    </w:rPr>
                  </w:pPr>
                </w:p>
              </w:tc>
            </w:tr>
            <w:tr w14:paraId="346BB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FC22685">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69BC6E04">
                  <w:pPr>
                    <w:spacing w:line="240" w:lineRule="auto"/>
                    <w:jc w:val="center"/>
                    <w:rPr>
                      <w:rFonts w:hint="default" w:ascii="Times New Roman" w:hAnsi="Times New Roman" w:cs="Times New Roman"/>
                      <w:color w:val="auto"/>
                      <w:sz w:val="21"/>
                      <w:szCs w:val="21"/>
                    </w:rPr>
                  </w:pPr>
                </w:p>
              </w:tc>
              <w:tc>
                <w:tcPr>
                  <w:tcW w:w="1170" w:type="pct"/>
                  <w:vAlign w:val="center"/>
                </w:tcPr>
                <w:p w14:paraId="2D87579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活性炭吸附装置</w:t>
                  </w:r>
                </w:p>
              </w:tc>
              <w:tc>
                <w:tcPr>
                  <w:tcW w:w="1055" w:type="pct"/>
                  <w:vAlign w:val="center"/>
                </w:tcPr>
                <w:p w14:paraId="544CE933">
                  <w:pPr>
                    <w:autoSpaceDE w:val="0"/>
                    <w:autoSpaceDN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废活性炭</w:t>
                  </w:r>
                </w:p>
              </w:tc>
              <w:tc>
                <w:tcPr>
                  <w:tcW w:w="2140" w:type="pct"/>
                  <w:vMerge w:val="continue"/>
                  <w:vAlign w:val="center"/>
                </w:tcPr>
                <w:p w14:paraId="525FC61C">
                  <w:pPr>
                    <w:spacing w:line="240" w:lineRule="auto"/>
                    <w:jc w:val="center"/>
                    <w:rPr>
                      <w:rFonts w:hint="default" w:ascii="Times New Roman" w:hAnsi="Times New Roman" w:cs="Times New Roman"/>
                      <w:color w:val="auto"/>
                      <w:sz w:val="21"/>
                      <w:szCs w:val="21"/>
                    </w:rPr>
                  </w:pPr>
                </w:p>
              </w:tc>
            </w:tr>
            <w:tr w14:paraId="5A181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2F825D4C">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77F85FBE">
                  <w:pPr>
                    <w:spacing w:line="240" w:lineRule="auto"/>
                    <w:jc w:val="center"/>
                    <w:rPr>
                      <w:rFonts w:hint="default" w:ascii="Times New Roman" w:hAnsi="Times New Roman" w:cs="Times New Roman"/>
                      <w:color w:val="auto"/>
                      <w:sz w:val="21"/>
                      <w:szCs w:val="21"/>
                    </w:rPr>
                  </w:pPr>
                </w:p>
              </w:tc>
              <w:tc>
                <w:tcPr>
                  <w:tcW w:w="1170" w:type="pct"/>
                  <w:vAlign w:val="center"/>
                </w:tcPr>
                <w:p w14:paraId="09A51B44">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钢网清洗</w:t>
                  </w:r>
                </w:p>
              </w:tc>
              <w:tc>
                <w:tcPr>
                  <w:tcW w:w="1055" w:type="pct"/>
                  <w:vAlign w:val="center"/>
                </w:tcPr>
                <w:p w14:paraId="7CD15B8C">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废钢网</w:t>
                  </w:r>
                </w:p>
              </w:tc>
              <w:tc>
                <w:tcPr>
                  <w:tcW w:w="2140" w:type="pct"/>
                  <w:vMerge w:val="continue"/>
                  <w:vAlign w:val="center"/>
                </w:tcPr>
                <w:p w14:paraId="6A298389">
                  <w:pPr>
                    <w:spacing w:line="240" w:lineRule="auto"/>
                    <w:jc w:val="center"/>
                    <w:rPr>
                      <w:rFonts w:hint="default" w:ascii="Times New Roman" w:hAnsi="Times New Roman" w:cs="Times New Roman"/>
                      <w:color w:val="auto"/>
                      <w:sz w:val="21"/>
                      <w:szCs w:val="21"/>
                    </w:rPr>
                  </w:pPr>
                </w:p>
              </w:tc>
            </w:tr>
            <w:tr w14:paraId="5906B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4D07F6E2">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2539282D">
                  <w:pPr>
                    <w:spacing w:line="240" w:lineRule="auto"/>
                    <w:jc w:val="center"/>
                    <w:rPr>
                      <w:rFonts w:hint="default" w:ascii="Times New Roman" w:hAnsi="Times New Roman" w:cs="Times New Roman"/>
                      <w:color w:val="auto"/>
                      <w:sz w:val="21"/>
                      <w:szCs w:val="21"/>
                    </w:rPr>
                  </w:pPr>
                </w:p>
              </w:tc>
              <w:tc>
                <w:tcPr>
                  <w:tcW w:w="1170" w:type="pct"/>
                  <w:vAlign w:val="center"/>
                </w:tcPr>
                <w:p w14:paraId="01FA1A3C">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喷漆</w:t>
                  </w:r>
                </w:p>
              </w:tc>
              <w:tc>
                <w:tcPr>
                  <w:tcW w:w="1055" w:type="pct"/>
                  <w:vAlign w:val="center"/>
                </w:tcPr>
                <w:p w14:paraId="5F74A713">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喷枪清洗废水</w:t>
                  </w:r>
                </w:p>
              </w:tc>
              <w:tc>
                <w:tcPr>
                  <w:tcW w:w="2140" w:type="pct"/>
                  <w:vMerge w:val="continue"/>
                  <w:vAlign w:val="center"/>
                </w:tcPr>
                <w:p w14:paraId="5CA0FFCA">
                  <w:pPr>
                    <w:spacing w:line="240" w:lineRule="auto"/>
                    <w:jc w:val="center"/>
                    <w:rPr>
                      <w:rFonts w:hint="default" w:ascii="Times New Roman" w:hAnsi="Times New Roman" w:cs="Times New Roman"/>
                      <w:color w:val="auto"/>
                      <w:sz w:val="21"/>
                      <w:szCs w:val="21"/>
                    </w:rPr>
                  </w:pPr>
                </w:p>
              </w:tc>
            </w:tr>
            <w:tr w14:paraId="37686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28F0525A">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1E4A9333">
                  <w:pPr>
                    <w:spacing w:line="240" w:lineRule="auto"/>
                    <w:jc w:val="center"/>
                    <w:rPr>
                      <w:rFonts w:hint="default" w:ascii="Times New Roman" w:hAnsi="Times New Roman" w:cs="Times New Roman"/>
                      <w:color w:val="auto"/>
                      <w:sz w:val="21"/>
                      <w:szCs w:val="21"/>
                    </w:rPr>
                  </w:pPr>
                </w:p>
              </w:tc>
              <w:tc>
                <w:tcPr>
                  <w:tcW w:w="1170" w:type="pct"/>
                  <w:vAlign w:val="center"/>
                </w:tcPr>
                <w:p w14:paraId="11D851F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设备维护、电火花</w:t>
                  </w:r>
                </w:p>
              </w:tc>
              <w:tc>
                <w:tcPr>
                  <w:tcW w:w="1055" w:type="pct"/>
                  <w:vAlign w:val="center"/>
                </w:tcPr>
                <w:p w14:paraId="4F79AE9C">
                  <w:pPr>
                    <w:autoSpaceDE w:val="0"/>
                    <w:autoSpaceDN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w:t>
                  </w:r>
                  <w:r>
                    <w:rPr>
                      <w:rFonts w:hint="default" w:ascii="Times New Roman" w:hAnsi="Times New Roman" w:cs="Times New Roman"/>
                      <w:color w:val="auto"/>
                      <w:sz w:val="21"/>
                      <w:szCs w:val="21"/>
                    </w:rPr>
                    <w:t>油</w:t>
                  </w:r>
                </w:p>
              </w:tc>
              <w:tc>
                <w:tcPr>
                  <w:tcW w:w="2140" w:type="pct"/>
                  <w:vMerge w:val="continue"/>
                  <w:vAlign w:val="center"/>
                </w:tcPr>
                <w:p w14:paraId="2112CC42">
                  <w:pPr>
                    <w:spacing w:line="240" w:lineRule="auto"/>
                    <w:jc w:val="center"/>
                    <w:rPr>
                      <w:rFonts w:hint="default" w:ascii="Times New Roman" w:hAnsi="Times New Roman" w:cs="Times New Roman"/>
                      <w:color w:val="auto"/>
                      <w:sz w:val="21"/>
                      <w:szCs w:val="21"/>
                    </w:rPr>
                  </w:pPr>
                </w:p>
              </w:tc>
            </w:tr>
          </w:tbl>
          <w:p w14:paraId="0A9CA8B1">
            <w:pPr>
              <w:rPr>
                <w:rFonts w:hint="default" w:ascii="Times New Roman" w:hAnsi="Times New Roman" w:eastAsia="宋体" w:cs="Times New Roman"/>
                <w:color w:val="auto"/>
                <w:lang w:val="en-US" w:eastAsia="zh-CN"/>
              </w:rPr>
            </w:pPr>
          </w:p>
        </w:tc>
      </w:tr>
      <w:tr w14:paraId="4F1661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49" w:hRule="atLeast"/>
          <w:jc w:val="center"/>
        </w:trPr>
        <w:tc>
          <w:tcPr>
            <w:tcW w:w="401" w:type="dxa"/>
            <w:vAlign w:val="center"/>
          </w:tcPr>
          <w:p w14:paraId="7C4BC016">
            <w:pPr>
              <w:pStyle w:val="18"/>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bCs/>
                <w:color w:val="auto"/>
                <w:kern w:val="2"/>
                <w:sz w:val="21"/>
                <w:szCs w:val="21"/>
              </w:rPr>
              <w:t>与项目有关的原有环境污染问题</w:t>
            </w:r>
          </w:p>
        </w:tc>
        <w:tc>
          <w:tcPr>
            <w:tcW w:w="8670" w:type="dxa"/>
            <w:vAlign w:val="center"/>
          </w:tcPr>
          <w:p w14:paraId="47E5682A">
            <w:pPr>
              <w:adjustRightInd w:val="0"/>
              <w:snapToGrid w:val="0"/>
              <w:rPr>
                <w:rFonts w:hint="default" w:ascii="Times New Roman" w:hAnsi="Times New Roman" w:cs="Times New Roman"/>
                <w:bCs/>
                <w:color w:val="auto"/>
                <w:szCs w:val="21"/>
              </w:rPr>
            </w:pPr>
            <w:r>
              <w:rPr>
                <w:rFonts w:hint="default" w:ascii="Times New Roman" w:hAnsi="Times New Roman" w:cs="Times New Roman"/>
                <w:color w:val="auto"/>
                <w:szCs w:val="22"/>
              </w:rPr>
              <w:t xml:space="preserve">  项目属新建项目，使用已有</w:t>
            </w:r>
            <w:r>
              <w:rPr>
                <w:rFonts w:hint="default" w:ascii="Times New Roman" w:hAnsi="Times New Roman" w:cs="Times New Roman"/>
                <w:color w:val="auto"/>
                <w:szCs w:val="22"/>
                <w:lang w:val="en-US" w:eastAsia="zh-CN"/>
              </w:rPr>
              <w:t>厂房</w:t>
            </w:r>
            <w:r>
              <w:rPr>
                <w:rFonts w:hint="default" w:ascii="Times New Roman" w:hAnsi="Times New Roman" w:cs="Times New Roman"/>
                <w:color w:val="auto"/>
                <w:szCs w:val="22"/>
              </w:rPr>
              <w:t>进行建设，不存在与项目有关的原有污染问题。</w:t>
            </w:r>
          </w:p>
        </w:tc>
      </w:tr>
    </w:tbl>
    <w:p w14:paraId="4584DEE3">
      <w:pPr>
        <w:pStyle w:val="18"/>
        <w:jc w:val="center"/>
        <w:rPr>
          <w:rFonts w:hint="default" w:ascii="Times New Roman" w:hAnsi="Times New Roman" w:eastAsia="黑体" w:cs="Times New Roman"/>
          <w:snapToGrid w:val="0"/>
          <w:color w:val="auto"/>
          <w:sz w:val="36"/>
          <w:szCs w:val="36"/>
        </w:rPr>
        <w:sectPr>
          <w:pgSz w:w="11906" w:h="16838"/>
          <w:pgMar w:top="1701" w:right="1531" w:bottom="1701" w:left="1531" w:header="851" w:footer="851" w:gutter="0"/>
          <w:cols w:space="720" w:num="1"/>
          <w:docGrid w:linePitch="312" w:charSpace="0"/>
        </w:sectPr>
      </w:pPr>
    </w:p>
    <w:p w14:paraId="6ADEF7DF">
      <w:pPr>
        <w:pStyle w:val="18"/>
        <w:spacing w:before="0" w:beforeAutospacing="0" w:after="0" w:afterAutospacing="0"/>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三、区域环境质量现状、环境保护目标及评价标准</w:t>
      </w:r>
    </w:p>
    <w:p w14:paraId="431A2D9A">
      <w:pPr>
        <w:adjustRightInd w:val="0"/>
        <w:snapToGrid w:val="0"/>
        <w:jc w:val="center"/>
        <w:rPr>
          <w:rFonts w:hint="default" w:ascii="Times New Roman" w:hAnsi="Times New Roman" w:cs="Times New Roman"/>
          <w:color w:val="auto"/>
          <w:kern w:val="0"/>
          <w:szCs w:val="21"/>
        </w:rPr>
        <w:sectPr>
          <w:pgSz w:w="11907" w:h="16840"/>
          <w:pgMar w:top="1701" w:right="1531" w:bottom="2127" w:left="1531" w:header="851" w:footer="1417" w:gutter="0"/>
          <w:cols w:space="720" w:num="1"/>
          <w:docGrid w:linePitch="312" w:charSpace="0"/>
        </w:sectPr>
      </w:pPr>
    </w:p>
    <w:tbl>
      <w:tblPr>
        <w:tblStyle w:val="22"/>
        <w:tblW w:w="95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6"/>
        <w:gridCol w:w="9090"/>
      </w:tblGrid>
      <w:tr w14:paraId="3AF715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26" w:hRule="atLeast"/>
          <w:jc w:val="center"/>
        </w:trPr>
        <w:tc>
          <w:tcPr>
            <w:tcW w:w="456" w:type="dxa"/>
            <w:tcBorders>
              <w:top w:val="single" w:color="auto" w:sz="4" w:space="0"/>
              <w:left w:val="single" w:color="auto" w:sz="4" w:space="0"/>
              <w:bottom w:val="single" w:color="auto" w:sz="4" w:space="0"/>
              <w:right w:val="single" w:color="auto" w:sz="4" w:space="0"/>
            </w:tcBorders>
            <w:vAlign w:val="center"/>
          </w:tcPr>
          <w:p w14:paraId="15A39121">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区域</w:t>
            </w:r>
          </w:p>
          <w:p w14:paraId="3B34720A">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w:t>
            </w:r>
          </w:p>
          <w:p w14:paraId="25DE660A">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质量</w:t>
            </w:r>
          </w:p>
          <w:p w14:paraId="40A2C4D9">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现状</w:t>
            </w:r>
          </w:p>
        </w:tc>
        <w:tc>
          <w:tcPr>
            <w:tcW w:w="9090" w:type="dxa"/>
            <w:tcBorders>
              <w:top w:val="single" w:color="auto" w:sz="4" w:space="0"/>
              <w:left w:val="single" w:color="auto" w:sz="4" w:space="0"/>
              <w:bottom w:val="single" w:color="auto" w:sz="4" w:space="0"/>
              <w:right w:val="single" w:color="auto" w:sz="4" w:space="0"/>
            </w:tcBorders>
          </w:tcPr>
          <w:p w14:paraId="64AEA1B0">
            <w:pPr>
              <w:rPr>
                <w:rFonts w:hint="default" w:ascii="Times New Roman" w:hAnsi="Times New Roman" w:cs="Times New Roman"/>
                <w:b/>
                <w:bCs/>
                <w:color w:val="auto"/>
                <w:szCs w:val="22"/>
              </w:rPr>
            </w:pPr>
            <w:r>
              <w:rPr>
                <w:rFonts w:hint="default" w:ascii="Times New Roman" w:hAnsi="Times New Roman" w:cs="Times New Roman"/>
                <w:b/>
                <w:color w:val="auto"/>
                <w:kern w:val="0"/>
                <w:szCs w:val="22"/>
              </w:rPr>
              <w:t>1、</w:t>
            </w:r>
            <w:r>
              <w:rPr>
                <w:rFonts w:hint="default" w:ascii="Times New Roman" w:hAnsi="Times New Roman" w:cs="Times New Roman"/>
                <w:b/>
                <w:bCs/>
                <w:color w:val="auto"/>
                <w:szCs w:val="22"/>
              </w:rPr>
              <w:t>环境质量现状</w:t>
            </w:r>
          </w:p>
          <w:p w14:paraId="763FB900">
            <w:pPr>
              <w:ind w:firstLine="472" w:firstLineChars="196"/>
              <w:textAlignment w:val="baseline"/>
              <w:rPr>
                <w:rFonts w:hint="default" w:ascii="Times New Roman" w:hAnsi="Times New Roman" w:cs="Times New Roman"/>
                <w:b/>
                <w:color w:val="auto"/>
                <w:kern w:val="0"/>
              </w:rPr>
            </w:pPr>
            <w:r>
              <w:rPr>
                <w:rFonts w:hint="default" w:ascii="Times New Roman" w:hAnsi="Times New Roman" w:cs="Times New Roman"/>
                <w:b/>
                <w:color w:val="auto"/>
                <w:kern w:val="0"/>
              </w:rPr>
              <w:t>（1）地表水质量现状</w:t>
            </w:r>
          </w:p>
          <w:p w14:paraId="20D6DBCF">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项目所在区域主要纳污水体为园洲中心排渠，水质保护目标为Ⅴ类，执行国家《地表水环境质量标准》（GB3838-2002）Ⅴ类标准。根据《202</w:t>
            </w:r>
            <w:r>
              <w:rPr>
                <w:rFonts w:hint="eastAsia" w:cs="Times New Roman"/>
                <w:color w:val="auto"/>
                <w:lang w:val="en-US" w:eastAsia="zh-CN"/>
              </w:rPr>
              <w:t>4</w:t>
            </w:r>
            <w:r>
              <w:rPr>
                <w:rFonts w:hint="default" w:ascii="Times New Roman" w:hAnsi="Times New Roman" w:cs="Times New Roman"/>
                <w:color w:val="auto"/>
              </w:rPr>
              <w:t>年惠州市生态环境状况公报》，2024年，9条主要河流（段）中，东江干流（惠州段）、西枝江、增江干流（惠州段）、沙河、公庄河、吉隆河等6条河流水质优，占66.7%；淡水河和淡澳河2条河流水质良好，占22.2%；潼湖水水质轻度污染，占11.1%。与2023年相比，主要河流（段）水质保持稳定。</w:t>
            </w:r>
          </w:p>
          <w:p w14:paraId="54BB8868">
            <w:pPr>
              <w:ind w:firstLine="480" w:firstLineChars="200"/>
              <w:rPr>
                <w:rFonts w:hint="default" w:ascii="Times New Roman" w:hAnsi="Times New Roman" w:cs="Times New Roman"/>
                <w:bCs/>
                <w:color w:val="auto"/>
                <w:szCs w:val="22"/>
                <w:lang w:bidi="ar"/>
              </w:rPr>
            </w:pPr>
            <w:r>
              <w:rPr>
                <w:rFonts w:hint="default" w:ascii="Times New Roman" w:hAnsi="Times New Roman" w:cs="Times New Roman"/>
                <w:color w:val="auto"/>
              </w:rPr>
              <w:t>为了解本项目附近水体中心排渠水质现状，本次地表水环境质量现状引用《惠州市源茂环保科技发展有限公司改扩建项目环境影响报告书》（惠市环建〔2024〕41号）中的监测数据（报告编号：SZT221939G1），监测单位为广东三正检测技术有限公司，监测时间为2022年11月19日～21日。引用项目地表水监测与本项目受纳水体属同一条河流，且为近3年有效监测数据，因此引用数据具有可行性，具体监测断面和监测数据见下表，具体监测断面和监测数据见下表：</w:t>
            </w:r>
          </w:p>
          <w:p w14:paraId="7945AC0A">
            <w:pPr>
              <w:spacing w:line="240" w:lineRule="auto"/>
              <w:jc w:val="center"/>
              <w:rPr>
                <w:rFonts w:hint="default" w:ascii="Times New Roman" w:hAnsi="Times New Roman" w:cs="Times New Roman"/>
                <w:b/>
                <w:bCs/>
                <w:color w:val="auto"/>
                <w:szCs w:val="22"/>
              </w:rPr>
            </w:pPr>
            <w:r>
              <w:rPr>
                <w:rFonts w:hint="default" w:ascii="Times New Roman" w:hAnsi="Times New Roman" w:cs="Times New Roman"/>
                <w:b/>
                <w:bCs/>
                <w:color w:val="auto"/>
                <w:szCs w:val="22"/>
              </w:rPr>
              <w:t>表</w:t>
            </w:r>
            <w:r>
              <w:rPr>
                <w:rFonts w:hint="default" w:ascii="Times New Roman" w:hAnsi="Times New Roman" w:cs="Times New Roman"/>
                <w:b/>
                <w:bCs/>
                <w:color w:val="auto"/>
                <w:szCs w:val="22"/>
                <w:lang w:val="en-US" w:eastAsia="zh-CN"/>
              </w:rPr>
              <w:t>3-1</w:t>
            </w:r>
            <w:r>
              <w:rPr>
                <w:rFonts w:hint="default" w:ascii="Times New Roman" w:hAnsi="Times New Roman" w:cs="Times New Roman"/>
                <w:b/>
                <w:bCs/>
                <w:color w:val="auto"/>
                <w:szCs w:val="22"/>
              </w:rPr>
              <w:t xml:space="preserve"> 水质监测断面基本信息</w:t>
            </w:r>
          </w:p>
          <w:tbl>
            <w:tblPr>
              <w:tblStyle w:val="23"/>
              <w:tblW w:w="88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3550"/>
              <w:gridCol w:w="1734"/>
              <w:gridCol w:w="1700"/>
              <w:gridCol w:w="1154"/>
            </w:tblGrid>
            <w:tr w14:paraId="65D3C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vAlign w:val="center"/>
                </w:tcPr>
                <w:p w14:paraId="70127276">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编号</w:t>
                  </w:r>
                </w:p>
              </w:tc>
              <w:tc>
                <w:tcPr>
                  <w:tcW w:w="3550" w:type="dxa"/>
                  <w:vAlign w:val="center"/>
                </w:tcPr>
                <w:p w14:paraId="40D13B1A">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断面位置</w:t>
                  </w:r>
                </w:p>
              </w:tc>
              <w:tc>
                <w:tcPr>
                  <w:tcW w:w="3434" w:type="dxa"/>
                  <w:gridSpan w:val="2"/>
                  <w:vAlign w:val="center"/>
                </w:tcPr>
                <w:p w14:paraId="34138E1E">
                  <w:pPr>
                    <w:spacing w:line="240" w:lineRule="auto"/>
                    <w:jc w:val="center"/>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采样点经纬度</w:t>
                  </w:r>
                </w:p>
              </w:tc>
              <w:tc>
                <w:tcPr>
                  <w:tcW w:w="1154" w:type="dxa"/>
                  <w:vAlign w:val="center"/>
                </w:tcPr>
                <w:p w14:paraId="08BC2709">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所属水体</w:t>
                  </w:r>
                </w:p>
              </w:tc>
            </w:tr>
            <w:tr w14:paraId="23199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vAlign w:val="center"/>
                </w:tcPr>
                <w:p w14:paraId="5DCAB171">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W1</w:t>
                  </w:r>
                </w:p>
              </w:tc>
              <w:tc>
                <w:tcPr>
                  <w:tcW w:w="3550" w:type="dxa"/>
                  <w:vAlign w:val="center"/>
                </w:tcPr>
                <w:p w14:paraId="37D86E59">
                  <w:pPr>
                    <w:spacing w:line="240" w:lineRule="auto"/>
                    <w:jc w:val="center"/>
                    <w:rPr>
                      <w:rFonts w:hint="default" w:ascii="Times New Roman" w:hAnsi="Times New Roman" w:cs="Times New Roman"/>
                      <w:b w:val="0"/>
                      <w:bCs w:val="0"/>
                      <w:color w:val="auto"/>
                      <w:sz w:val="21"/>
                      <w:szCs w:val="21"/>
                      <w:vertAlign w:val="baseline"/>
                    </w:rPr>
                  </w:pPr>
                  <w:r>
                    <w:rPr>
                      <w:rFonts w:hint="default" w:ascii="Times New Roman" w:hAnsi="Times New Roman" w:cs="Times New Roman"/>
                      <w:b w:val="0"/>
                      <w:bCs w:val="0"/>
                      <w:color w:val="auto"/>
                      <w:sz w:val="21"/>
                      <w:szCs w:val="21"/>
                      <w:vertAlign w:val="baseline"/>
                    </w:rPr>
                    <w:t>园洲镇第五污水处理厂排污口中心排渠上游500m</w:t>
                  </w:r>
                </w:p>
              </w:tc>
              <w:tc>
                <w:tcPr>
                  <w:tcW w:w="1734" w:type="dxa"/>
                  <w:vAlign w:val="center"/>
                </w:tcPr>
                <w:p w14:paraId="72C7510A">
                  <w:pPr>
                    <w:spacing w:line="240" w:lineRule="auto"/>
                    <w:jc w:val="center"/>
                    <w:rPr>
                      <w:rFonts w:hint="default" w:ascii="Times New Roman" w:hAnsi="Times New Roman" w:cs="Times New Roman"/>
                      <w:b w:val="0"/>
                      <w:bCs w:val="0"/>
                      <w:color w:val="auto"/>
                      <w:sz w:val="21"/>
                      <w:szCs w:val="21"/>
                      <w:vertAlign w:val="baseline"/>
                    </w:rPr>
                  </w:pPr>
                  <w:r>
                    <w:rPr>
                      <w:rFonts w:hint="default" w:ascii="Times New Roman" w:hAnsi="Times New Roman" w:cs="Times New Roman"/>
                      <w:b w:val="0"/>
                      <w:bCs w:val="0"/>
                      <w:color w:val="auto"/>
                      <w:sz w:val="21"/>
                      <w:szCs w:val="21"/>
                      <w:vertAlign w:val="baseline"/>
                    </w:rPr>
                    <w:t>E:113°59′19.56″</w:t>
                  </w:r>
                </w:p>
              </w:tc>
              <w:tc>
                <w:tcPr>
                  <w:tcW w:w="1700" w:type="dxa"/>
                  <w:vAlign w:val="center"/>
                </w:tcPr>
                <w:p w14:paraId="1078B39A">
                  <w:pPr>
                    <w:spacing w:line="240" w:lineRule="auto"/>
                    <w:jc w:val="center"/>
                    <w:rPr>
                      <w:rFonts w:hint="default" w:ascii="Times New Roman" w:hAnsi="Times New Roman" w:cs="Times New Roman"/>
                      <w:b w:val="0"/>
                      <w:bCs w:val="0"/>
                      <w:color w:val="auto"/>
                      <w:sz w:val="21"/>
                      <w:szCs w:val="21"/>
                      <w:vertAlign w:val="baseline"/>
                    </w:rPr>
                  </w:pPr>
                  <w:r>
                    <w:rPr>
                      <w:rFonts w:hint="default" w:ascii="Times New Roman" w:hAnsi="Times New Roman" w:cs="Times New Roman"/>
                      <w:b w:val="0"/>
                      <w:bCs w:val="0"/>
                      <w:color w:val="auto"/>
                      <w:sz w:val="21"/>
                      <w:szCs w:val="21"/>
                      <w:vertAlign w:val="baseline"/>
                    </w:rPr>
                    <w:t>N:23°07′44.54″</w:t>
                  </w:r>
                </w:p>
              </w:tc>
              <w:tc>
                <w:tcPr>
                  <w:tcW w:w="1154" w:type="dxa"/>
                  <w:vMerge w:val="restart"/>
                  <w:vAlign w:val="center"/>
                </w:tcPr>
                <w:p w14:paraId="36D2938B">
                  <w:pPr>
                    <w:spacing w:line="240" w:lineRule="auto"/>
                    <w:jc w:val="center"/>
                    <w:rPr>
                      <w:rFonts w:hint="default" w:ascii="Times New Roman" w:hAnsi="Times New Roman" w:cs="Times New Roman"/>
                      <w:b w:val="0"/>
                      <w:bCs w:val="0"/>
                      <w:color w:val="auto"/>
                      <w:sz w:val="21"/>
                      <w:szCs w:val="21"/>
                      <w:vertAlign w:val="baseline"/>
                    </w:rPr>
                  </w:pPr>
                  <w:r>
                    <w:rPr>
                      <w:rFonts w:hint="default" w:ascii="Times New Roman" w:hAnsi="Times New Roman" w:cs="Times New Roman"/>
                      <w:b w:val="0"/>
                      <w:bCs w:val="0"/>
                      <w:color w:val="auto"/>
                      <w:sz w:val="21"/>
                      <w:szCs w:val="21"/>
                      <w:vertAlign w:val="baseline"/>
                    </w:rPr>
                    <w:t>园洲镇</w:t>
                  </w:r>
                </w:p>
                <w:p w14:paraId="42BD8589">
                  <w:pPr>
                    <w:spacing w:line="240" w:lineRule="auto"/>
                    <w:jc w:val="center"/>
                    <w:rPr>
                      <w:rFonts w:hint="default" w:ascii="Times New Roman" w:hAnsi="Times New Roman" w:cs="Times New Roman"/>
                      <w:b w:val="0"/>
                      <w:bCs w:val="0"/>
                      <w:color w:val="auto"/>
                      <w:sz w:val="21"/>
                      <w:szCs w:val="21"/>
                      <w:vertAlign w:val="baseline"/>
                    </w:rPr>
                  </w:pPr>
                  <w:r>
                    <w:rPr>
                      <w:rFonts w:hint="default" w:ascii="Times New Roman" w:hAnsi="Times New Roman" w:cs="Times New Roman"/>
                      <w:b w:val="0"/>
                      <w:bCs w:val="0"/>
                      <w:color w:val="auto"/>
                      <w:sz w:val="21"/>
                      <w:szCs w:val="21"/>
                      <w:vertAlign w:val="baseline"/>
                    </w:rPr>
                    <w:t>中心排渠</w:t>
                  </w:r>
                </w:p>
              </w:tc>
            </w:tr>
            <w:tr w14:paraId="7B1AB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vAlign w:val="center"/>
                </w:tcPr>
                <w:p w14:paraId="58C3698F">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W2</w:t>
                  </w:r>
                </w:p>
              </w:tc>
              <w:tc>
                <w:tcPr>
                  <w:tcW w:w="3550" w:type="dxa"/>
                  <w:vAlign w:val="center"/>
                </w:tcPr>
                <w:p w14:paraId="3D318588">
                  <w:pPr>
                    <w:spacing w:line="240" w:lineRule="auto"/>
                    <w:jc w:val="center"/>
                    <w:rPr>
                      <w:rFonts w:hint="default" w:ascii="Times New Roman" w:hAnsi="Times New Roman" w:cs="Times New Roman"/>
                      <w:b w:val="0"/>
                      <w:bCs w:val="0"/>
                      <w:color w:val="auto"/>
                      <w:sz w:val="21"/>
                      <w:szCs w:val="21"/>
                      <w:vertAlign w:val="baseline"/>
                    </w:rPr>
                  </w:pPr>
                  <w:r>
                    <w:rPr>
                      <w:rFonts w:hint="default" w:ascii="Times New Roman" w:hAnsi="Times New Roman" w:cs="Times New Roman"/>
                      <w:b w:val="0"/>
                      <w:bCs w:val="0"/>
                      <w:color w:val="auto"/>
                      <w:sz w:val="21"/>
                      <w:szCs w:val="21"/>
                      <w:vertAlign w:val="baseline"/>
                    </w:rPr>
                    <w:t>园洲镇第五污水处理厂排污口中心排渠</w:t>
                  </w:r>
                  <w:r>
                    <w:rPr>
                      <w:rFonts w:hint="default" w:ascii="Times New Roman" w:hAnsi="Times New Roman" w:cs="Times New Roman"/>
                      <w:b w:val="0"/>
                      <w:bCs w:val="0"/>
                      <w:color w:val="auto"/>
                      <w:sz w:val="21"/>
                      <w:szCs w:val="21"/>
                      <w:vertAlign w:val="baseline"/>
                      <w:lang w:val="en-US" w:eastAsia="zh-CN"/>
                    </w:rPr>
                    <w:t>下游240</w:t>
                  </w:r>
                  <w:r>
                    <w:rPr>
                      <w:rFonts w:hint="default" w:ascii="Times New Roman" w:hAnsi="Times New Roman" w:cs="Times New Roman"/>
                      <w:b w:val="0"/>
                      <w:bCs w:val="0"/>
                      <w:color w:val="auto"/>
                      <w:sz w:val="21"/>
                      <w:szCs w:val="21"/>
                      <w:vertAlign w:val="baseline"/>
                    </w:rPr>
                    <w:t>0m</w:t>
                  </w:r>
                </w:p>
              </w:tc>
              <w:tc>
                <w:tcPr>
                  <w:tcW w:w="1734" w:type="dxa"/>
                  <w:vAlign w:val="center"/>
                </w:tcPr>
                <w:p w14:paraId="5EF80403">
                  <w:pPr>
                    <w:spacing w:line="240" w:lineRule="auto"/>
                    <w:jc w:val="center"/>
                    <w:rPr>
                      <w:rFonts w:hint="default" w:ascii="Times New Roman" w:hAnsi="Times New Roman" w:cs="Times New Roman"/>
                      <w:b w:val="0"/>
                      <w:bCs w:val="0"/>
                      <w:color w:val="auto"/>
                      <w:sz w:val="21"/>
                      <w:szCs w:val="21"/>
                      <w:vertAlign w:val="baseline"/>
                    </w:rPr>
                  </w:pPr>
                  <w:r>
                    <w:rPr>
                      <w:rFonts w:hint="default" w:ascii="Times New Roman" w:hAnsi="Times New Roman" w:cs="Times New Roman"/>
                      <w:b w:val="0"/>
                      <w:bCs w:val="0"/>
                      <w:color w:val="auto"/>
                      <w:sz w:val="21"/>
                      <w:szCs w:val="21"/>
                      <w:vertAlign w:val="baseline"/>
                    </w:rPr>
                    <w:t>E:113°57′44.15″</w:t>
                  </w:r>
                </w:p>
              </w:tc>
              <w:tc>
                <w:tcPr>
                  <w:tcW w:w="1700" w:type="dxa"/>
                  <w:vAlign w:val="center"/>
                </w:tcPr>
                <w:p w14:paraId="71229FBA">
                  <w:pPr>
                    <w:spacing w:line="240" w:lineRule="auto"/>
                    <w:jc w:val="center"/>
                    <w:rPr>
                      <w:rFonts w:hint="default" w:ascii="Times New Roman" w:hAnsi="Times New Roman" w:cs="Times New Roman"/>
                      <w:b w:val="0"/>
                      <w:bCs w:val="0"/>
                      <w:color w:val="auto"/>
                      <w:sz w:val="21"/>
                      <w:szCs w:val="21"/>
                      <w:vertAlign w:val="baseline"/>
                    </w:rPr>
                  </w:pPr>
                  <w:r>
                    <w:rPr>
                      <w:rFonts w:hint="default" w:ascii="Times New Roman" w:hAnsi="Times New Roman" w:cs="Times New Roman"/>
                      <w:b w:val="0"/>
                      <w:bCs w:val="0"/>
                      <w:color w:val="auto"/>
                      <w:sz w:val="21"/>
                      <w:szCs w:val="21"/>
                      <w:vertAlign w:val="baseline"/>
                    </w:rPr>
                    <w:t>N:23°07′56.27″</w:t>
                  </w:r>
                </w:p>
              </w:tc>
              <w:tc>
                <w:tcPr>
                  <w:tcW w:w="1154" w:type="dxa"/>
                  <w:vMerge w:val="continue"/>
                  <w:vAlign w:val="center"/>
                </w:tcPr>
                <w:p w14:paraId="75169E56">
                  <w:pPr>
                    <w:spacing w:line="240" w:lineRule="auto"/>
                    <w:jc w:val="center"/>
                    <w:rPr>
                      <w:rFonts w:hint="default" w:ascii="Times New Roman" w:hAnsi="Times New Roman" w:cs="Times New Roman"/>
                      <w:b w:val="0"/>
                      <w:bCs w:val="0"/>
                      <w:color w:val="auto"/>
                      <w:sz w:val="21"/>
                      <w:szCs w:val="21"/>
                      <w:vertAlign w:val="baseline"/>
                    </w:rPr>
                  </w:pPr>
                </w:p>
              </w:tc>
            </w:tr>
          </w:tbl>
          <w:p w14:paraId="22DCEB3E">
            <w:pPr>
              <w:spacing w:line="240" w:lineRule="auto"/>
              <w:jc w:val="center"/>
              <w:rPr>
                <w:rFonts w:hint="default" w:ascii="Times New Roman" w:hAnsi="Times New Roman" w:cs="Times New Roman"/>
                <w:b/>
                <w:bCs/>
                <w:color w:val="auto"/>
                <w:szCs w:val="22"/>
              </w:rPr>
            </w:pPr>
            <w:r>
              <w:rPr>
                <w:rFonts w:hint="default" w:ascii="Times New Roman" w:hAnsi="Times New Roman" w:cs="Times New Roman"/>
                <w:b/>
                <w:bCs/>
                <w:color w:val="auto"/>
                <w:szCs w:val="22"/>
              </w:rPr>
              <w:t>表</w:t>
            </w:r>
            <w:r>
              <w:rPr>
                <w:rFonts w:hint="default" w:ascii="Times New Roman" w:hAnsi="Times New Roman" w:cs="Times New Roman"/>
                <w:b/>
                <w:bCs/>
                <w:color w:val="auto"/>
                <w:szCs w:val="22"/>
                <w:lang w:val="en-US" w:eastAsia="zh-CN"/>
              </w:rPr>
              <w:t>3-2</w:t>
            </w:r>
            <w:r>
              <w:rPr>
                <w:rFonts w:hint="default" w:ascii="Times New Roman" w:hAnsi="Times New Roman" w:cs="Times New Roman"/>
                <w:b/>
                <w:bCs/>
                <w:color w:val="auto"/>
                <w:szCs w:val="22"/>
              </w:rPr>
              <w:t xml:space="preserve"> 地表水环境质量现状监测结果</w:t>
            </w:r>
          </w:p>
          <w:tbl>
            <w:tblPr>
              <w:tblStyle w:val="22"/>
              <w:tblW w:w="8659"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7"/>
              <w:gridCol w:w="1265"/>
              <w:gridCol w:w="730"/>
              <w:gridCol w:w="748"/>
              <w:gridCol w:w="817"/>
              <w:gridCol w:w="679"/>
              <w:gridCol w:w="748"/>
              <w:gridCol w:w="748"/>
              <w:gridCol w:w="748"/>
              <w:gridCol w:w="748"/>
              <w:gridCol w:w="761"/>
            </w:tblGrid>
            <w:tr w14:paraId="5B510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6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B16D0F">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采样位置</w:t>
                  </w:r>
                </w:p>
              </w:tc>
              <w:tc>
                <w:tcPr>
                  <w:tcW w:w="12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7F3752">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采样日期</w:t>
                  </w:r>
                </w:p>
              </w:tc>
              <w:tc>
                <w:tcPr>
                  <w:tcW w:w="672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694E609">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检测项目及结果(单位: pH值无量纲、水温C、其他mg/L)</w:t>
                  </w:r>
                </w:p>
              </w:tc>
            </w:tr>
            <w:tr w14:paraId="0F7B4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372AA9">
                  <w:pPr>
                    <w:spacing w:line="240" w:lineRule="auto"/>
                    <w:jc w:val="center"/>
                    <w:rPr>
                      <w:rFonts w:hint="default" w:ascii="Times New Roman" w:hAnsi="Times New Roman" w:eastAsia="宋体" w:cs="Times New Roman"/>
                      <w:b/>
                      <w:bCs/>
                      <w:color w:val="auto"/>
                      <w:sz w:val="21"/>
                      <w:szCs w:val="21"/>
                      <w:vertAlign w:val="baseline"/>
                      <w:lang w:val="en-US" w:eastAsia="zh-CN"/>
                    </w:rPr>
                  </w:pPr>
                </w:p>
              </w:tc>
              <w:tc>
                <w:tcPr>
                  <w:tcW w:w="12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C77F93">
                  <w:pPr>
                    <w:spacing w:line="240" w:lineRule="auto"/>
                    <w:jc w:val="center"/>
                    <w:rPr>
                      <w:rFonts w:hint="default" w:ascii="Times New Roman" w:hAnsi="Times New Roman" w:eastAsia="宋体" w:cs="Times New Roman"/>
                      <w:b/>
                      <w:bCs/>
                      <w:color w:val="auto"/>
                      <w:sz w:val="21"/>
                      <w:szCs w:val="21"/>
                      <w:vertAlign w:val="baseline"/>
                      <w:lang w:val="en-US" w:eastAsia="zh-CN"/>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A3A61">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水温</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4B6F2">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pH值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AE231">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溶解氧</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460A2">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SS</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ABE6A">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COD</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275A7">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BOD</w:t>
                  </w:r>
                  <w:r>
                    <w:rPr>
                      <w:rFonts w:hint="default" w:ascii="Times New Roman" w:hAnsi="Times New Roman" w:eastAsia="宋体" w:cs="Times New Roman"/>
                      <w:b/>
                      <w:bCs/>
                      <w:color w:val="auto"/>
                      <w:sz w:val="21"/>
                      <w:szCs w:val="21"/>
                      <w:vertAlign w:val="subscript"/>
                      <w:lang w:val="en-US" w:eastAsia="zh-CN"/>
                    </w:rPr>
                    <w:t>5</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40196">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氨氮</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71395">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总磷</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CA93">
                  <w:pPr>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石油类</w:t>
                  </w:r>
                </w:p>
              </w:tc>
            </w:tr>
            <w:tr w14:paraId="48591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1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68814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V类标准</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7BAB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C9D6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6-9</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9182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0EEE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2488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&lt;40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4AF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&lt;10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78C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CDB9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&lt;0.4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0BCD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&lt;1.0</w:t>
                  </w:r>
                </w:p>
              </w:tc>
            </w:tr>
            <w:tr w14:paraId="71774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 w:hRule="atLeast"/>
              </w:trPr>
              <w:tc>
                <w:tcPr>
                  <w:tcW w:w="6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E3580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Wl</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EB3C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2022.11.19</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6AE5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25.4</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766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7.0</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E4B4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4.8</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F66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AC84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26</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7A5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6C48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1.72</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40DE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0.16</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081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0.01L</w:t>
                  </w:r>
                </w:p>
              </w:tc>
            </w:tr>
            <w:tr w14:paraId="6C24F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D8B8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E6F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2022.11.20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42F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26.1</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24CA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7.1</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2F12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E002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1958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24</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D69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6.7</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14E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1.37</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862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0.18</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D8D1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0.01L</w:t>
                  </w:r>
                </w:p>
              </w:tc>
            </w:tr>
            <w:tr w14:paraId="34941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1"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A58D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DA19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2022.11.21</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1301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26.2</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62BF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7.1</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CC65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4.2</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1785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DEAB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28</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83DA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7.7</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CA7C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1 .34</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E484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0.20</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7C1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0.01L</w:t>
                  </w:r>
                </w:p>
              </w:tc>
            </w:tr>
            <w:tr w14:paraId="3D99C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0A0D1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2471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平均值</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BF10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25.9</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349E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7.07</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A3D0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4.50</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468C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8.33</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0277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26</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DCCB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7.13</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7F08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1 .48</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5FEE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0.18</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E25C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ND</w:t>
                  </w:r>
                </w:p>
              </w:tc>
            </w:tr>
            <w:tr w14:paraId="43E24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EA878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336E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标准指数</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3D54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2BEB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0.03</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0BEF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0.044</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DFAF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5B0B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0 65</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F1AC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0.71</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6555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0.74</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3A49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0.45</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CE5C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14:paraId="6DBAC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2D20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CDC2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超标倍数</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D3C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9138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CF6F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0D64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80C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8B0F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15D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7DD0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36A5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14:paraId="0CA2E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21B6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CF04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是否达标</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08F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556E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DDF6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1FF5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982F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FBE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059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F16E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1AAD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r>
            <w:tr w14:paraId="5F620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 w:hRule="atLeast"/>
              </w:trPr>
              <w:tc>
                <w:tcPr>
                  <w:tcW w:w="6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66B3D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W2</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BEB5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2022.11.19</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7C4A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25.4</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6749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7.0</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505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4.6</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B7C5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E22E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32</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3FF5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7.8</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2B84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7.81</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97E6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0.27</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AE92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0.01L</w:t>
                  </w:r>
                </w:p>
              </w:tc>
            </w:tr>
            <w:tr w14:paraId="3AD29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F642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DECE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2022.11.20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28B1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26.1</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B39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7.1</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5D7F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4.7</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415A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848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29</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C00A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8.1</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38F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1.72</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0BD1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0.22</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EA90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0.01L</w:t>
                  </w:r>
                </w:p>
              </w:tc>
            </w:tr>
            <w:tr w14:paraId="63A40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2987B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72A8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2022.11.21</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1533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26.2</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1F01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7.1</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FF50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4.3</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0682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15F2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34</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89F2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8.4</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C07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 .52</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BBD7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437D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0.01L</w:t>
                  </w:r>
                </w:p>
              </w:tc>
            </w:tr>
            <w:tr w14:paraId="45F33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6CEE1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309E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平均值</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7084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25.9</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A5BF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7.07</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7652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4.53</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4251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9.67</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EDC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31.67</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1E75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8.1</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769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1 .68</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4AE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71F5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ND</w:t>
                  </w:r>
                </w:p>
              </w:tc>
            </w:tr>
            <w:tr w14:paraId="6FD98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FB7E1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5295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标准指数</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CB9A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2BF2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0.03</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254D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0.44</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D714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3D5C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0.79</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057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0.81</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CF2A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0.84</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69D9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0.61</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90EB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14:paraId="47201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E605A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6CA4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超标倍数</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E8C7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FE24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F0FC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55DF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9A57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8634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BB51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EFA3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5CA7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14:paraId="7606E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891F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AC70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是否达标</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10A1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DD3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E7A6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68E5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E292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90C0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59EC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3E19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BB72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r>
          </w:tbl>
          <w:p w14:paraId="48077C0F">
            <w:pPr>
              <w:ind w:firstLine="480" w:firstLineChars="200"/>
              <w:textAlignment w:val="baseline"/>
              <w:rPr>
                <w:rFonts w:hint="default" w:ascii="Times New Roman" w:hAnsi="Times New Roman" w:cs="Times New Roman"/>
                <w:b w:val="0"/>
                <w:bCs/>
                <w:color w:val="auto"/>
                <w:kern w:val="0"/>
              </w:rPr>
            </w:pPr>
            <w:r>
              <w:rPr>
                <w:rFonts w:hint="default" w:ascii="Times New Roman" w:hAnsi="Times New Roman" w:cs="Times New Roman"/>
                <w:b w:val="0"/>
                <w:bCs/>
                <w:color w:val="auto"/>
                <w:kern w:val="0"/>
              </w:rPr>
              <w:t>监测结果显示，项目各监测断面监测数据均达到《地表水环境质量标准》（GB3838－2002）Ⅴ类标准，项目所在区域水环境质量现状良好。</w:t>
            </w:r>
          </w:p>
          <w:p w14:paraId="6F2A9F3D">
            <w:pPr>
              <w:textAlignment w:val="baseline"/>
              <w:rPr>
                <w:rFonts w:hint="default" w:ascii="Times New Roman" w:hAnsi="Times New Roman" w:cs="Times New Roman"/>
                <w:color w:val="auto"/>
              </w:rPr>
            </w:pPr>
            <w:r>
              <w:rPr>
                <w:rFonts w:hint="default" w:ascii="Times New Roman" w:hAnsi="Times New Roman" w:cs="Times New Roman"/>
                <w:color w:val="auto"/>
                <w:sz w:val="24"/>
              </w:rPr>
              <mc:AlternateContent>
                <mc:Choice Requires="wps">
                  <w:drawing>
                    <wp:anchor distT="0" distB="0" distL="114300" distR="114300" simplePos="0" relativeHeight="251670528" behindDoc="0" locked="0" layoutInCell="1" allowOverlap="1">
                      <wp:simplePos x="0" y="0"/>
                      <wp:positionH relativeFrom="column">
                        <wp:posOffset>1570355</wp:posOffset>
                      </wp:positionH>
                      <wp:positionV relativeFrom="paragraph">
                        <wp:posOffset>461645</wp:posOffset>
                      </wp:positionV>
                      <wp:extent cx="648970" cy="35560"/>
                      <wp:effectExtent l="0" t="51435" r="11430" b="27305"/>
                      <wp:wrapNone/>
                      <wp:docPr id="7" name="直接箭头连接符 7"/>
                      <wp:cNvGraphicFramePr/>
                      <a:graphic xmlns:a="http://schemas.openxmlformats.org/drawingml/2006/main">
                        <a:graphicData uri="http://schemas.microsoft.com/office/word/2010/wordprocessingShape">
                          <wps:wsp>
                            <wps:cNvCnPr/>
                            <wps:spPr>
                              <a:xfrm flipH="1" flipV="1">
                                <a:off x="0" y="0"/>
                                <a:ext cx="648970" cy="35560"/>
                              </a:xfrm>
                              <a:prstGeom prst="straightConnector1">
                                <a:avLst/>
                              </a:prstGeom>
                              <a:ln>
                                <a:solidFill>
                                  <a:schemeClr val="bg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123.65pt;margin-top:36.35pt;height:2.8pt;width:51.1pt;z-index:251670528;mso-width-relative:page;mso-height-relative:page;" filled="f" stroked="t" coordsize="21600,21600" o:gfxdata="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whCTTXAAAACQEAAA8AAAAAAAAAAQAgAAAAIgAA&#10;AGRycy9kb3ducmV2LnhtbFBLAQIUABQAAAAIAIdO4kD9iNb2CQIAAN8DAAAOAAAAAAAAAAEAIAAA&#10;ACYBAABkcnMvZTJvRG9jLnhtbFBLBQYAAAAABgAGAFkBAAChBQAAAAA=&#10;">
                      <v:fill on="f" focussize="0,0"/>
                      <v:stroke weight="2pt" color="#FFFFFF [3212]" joinstyle="round" endarrow="open"/>
                      <v:imagedata o:title=""/>
                      <o:lock v:ext="edit" aspectratio="f"/>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69504" behindDoc="0" locked="0" layoutInCell="1" allowOverlap="1">
                      <wp:simplePos x="0" y="0"/>
                      <wp:positionH relativeFrom="column">
                        <wp:posOffset>3536950</wp:posOffset>
                      </wp:positionH>
                      <wp:positionV relativeFrom="paragraph">
                        <wp:posOffset>1807845</wp:posOffset>
                      </wp:positionV>
                      <wp:extent cx="274955" cy="433070"/>
                      <wp:effectExtent l="10795" t="0" r="6350" b="11430"/>
                      <wp:wrapNone/>
                      <wp:docPr id="2" name="直接箭头连接符 2"/>
                      <wp:cNvGraphicFramePr/>
                      <a:graphic xmlns:a="http://schemas.openxmlformats.org/drawingml/2006/main">
                        <a:graphicData uri="http://schemas.microsoft.com/office/word/2010/wordprocessingShape">
                          <wps:wsp>
                            <wps:cNvCnPr/>
                            <wps:spPr>
                              <a:xfrm flipV="1">
                                <a:off x="4506595" y="3234055"/>
                                <a:ext cx="274955" cy="433070"/>
                              </a:xfrm>
                              <a:prstGeom prst="straightConnector1">
                                <a:avLst/>
                              </a:prstGeom>
                              <a:ln>
                                <a:solidFill>
                                  <a:schemeClr val="bg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78.5pt;margin-top:142.35pt;height:34.1pt;width:21.65pt;z-index:251669504;mso-width-relative:page;mso-height-relative:page;" filled="f" stroked="t" coordsize="21600,21600" o:gfxdata="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idVH/cAAAACwEAAA8A&#10;AAAAAAAAAQAgAAAAIgAAAGRycy9kb3ducmV2LnhtbFBLAQIUABQAAAAIAIdO4kCqCe/6EwIAAOID&#10;AAAOAAAAAAAAAAEAIAAAACsBAABkcnMvZTJvRG9jLnhtbFBLBQYAAAAABgAGAFkBAACwBQAAAAA=&#10;">
                      <v:fill on="f" focussize="0,0"/>
                      <v:stroke weight="2pt" color="#FFFFFF [3212]" joinstyle="round" endarrow="open"/>
                      <v:imagedata o:title=""/>
                      <o:lock v:ext="edit" aspectratio="f"/>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71552" behindDoc="0" locked="0" layoutInCell="1" allowOverlap="1">
                      <wp:simplePos x="0" y="0"/>
                      <wp:positionH relativeFrom="column">
                        <wp:posOffset>1239520</wp:posOffset>
                      </wp:positionH>
                      <wp:positionV relativeFrom="paragraph">
                        <wp:posOffset>4046855</wp:posOffset>
                      </wp:positionV>
                      <wp:extent cx="263525" cy="0"/>
                      <wp:effectExtent l="0" t="57150" r="3175" b="57150"/>
                      <wp:wrapNone/>
                      <wp:docPr id="9" name="直接箭头连接符 9"/>
                      <wp:cNvGraphicFramePr/>
                      <a:graphic xmlns:a="http://schemas.openxmlformats.org/drawingml/2006/main">
                        <a:graphicData uri="http://schemas.microsoft.com/office/word/2010/wordprocessingShape">
                          <wps:wsp>
                            <wps:cNvCnPr/>
                            <wps:spPr>
                              <a:xfrm>
                                <a:off x="0" y="0"/>
                                <a:ext cx="263525" cy="0"/>
                              </a:xfrm>
                              <a:prstGeom prst="straightConnector1">
                                <a:avLst/>
                              </a:prstGeom>
                              <a:ln>
                                <a:solidFill>
                                  <a:schemeClr val="bg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97.6pt;margin-top:318.65pt;height:0pt;width:20.75pt;z-index:251671552;mso-width-relative:page;mso-height-relative:page;" filled="f" stroked="t" coordsize="21600,21600" o:gfxdata="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EKvMG2AAAAAsBAAAPAAAAAAAAAAEAIAAAACIAAABkcnMvZG93bnJldi54bWxQ&#10;SwECFAAUAAAACACHTuJAsElWIvcBAADHAwAADgAAAAAAAAABACAAAAAnAQAAZHJzL2Uyb0RvYy54&#10;bWxQSwUGAAAAAAYABgBZAQAAkAUAAAAA&#10;">
                      <v:fill on="f" focussize="0,0"/>
                      <v:stroke weight="2pt" color="#FFFFFF [3212]" joinstyle="round" endarrow="open"/>
                      <v:imagedata o:title=""/>
                      <o:lock v:ext="edit" aspectratio="f"/>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68480" behindDoc="0" locked="0" layoutInCell="1" allowOverlap="1">
                      <wp:simplePos x="0" y="0"/>
                      <wp:positionH relativeFrom="column">
                        <wp:posOffset>1254125</wp:posOffset>
                      </wp:positionH>
                      <wp:positionV relativeFrom="paragraph">
                        <wp:posOffset>3764280</wp:posOffset>
                      </wp:positionV>
                      <wp:extent cx="127000" cy="95250"/>
                      <wp:effectExtent l="12700" t="12700" r="12700" b="25400"/>
                      <wp:wrapNone/>
                      <wp:docPr id="86" name="五角星 86"/>
                      <wp:cNvGraphicFramePr/>
                      <a:graphic xmlns:a="http://schemas.openxmlformats.org/drawingml/2006/main">
                        <a:graphicData uri="http://schemas.microsoft.com/office/word/2010/wordprocessingShape">
                          <wps:wsp>
                            <wps:cNvSpPr/>
                            <wps:spPr>
                              <a:xfrm>
                                <a:off x="0" y="0"/>
                                <a:ext cx="127000" cy="95250"/>
                              </a:xfrm>
                              <a:prstGeom prst="star5">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98.75pt;margin-top:296.4pt;height:7.5pt;width:10pt;z-index:251668480;v-text-anchor:middle;mso-width-relative:page;mso-height-relative:page;" fillcolor="#FF0000" filled="t" stroked="t" coordsize="127000,95250" o:gfxdata="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FbU53vaAAAACwEAAA8AAAAAAAAAAQAgAAAAIgAAAGRycy9kb3ducmV2LnhtbFBL&#10;AQIUABQAAAAIAIdO4kCtPSIcZgIAAOEEAAAOAAAAAAAAAAEAIAAAACkBAABkcnMvZTJvRG9jLnht&#10;bFBLBQYAAAAABgAGAFkBAAABBgAAAAA=&#10;" path="m0,36382l48509,36382,63500,0,78490,36382,126999,36382,87754,58867,102745,95249,63500,72764,24254,95249,39245,58867xe">
                      <v:path o:connectlocs="63500,0;0,36382;24254,95249;102745,95249;126999,36382" o:connectangles="247,164,82,82,0"/>
                      <v:fill on="t" focussize="0,0"/>
                      <v:stroke weight="2pt" color="#FF0000 [2404]" joinstyle="round"/>
                      <v:imagedata o:title=""/>
                      <o:lock v:ext="edit" aspectratio="f"/>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67456" behindDoc="0" locked="0" layoutInCell="1" allowOverlap="1">
                      <wp:simplePos x="0" y="0"/>
                      <wp:positionH relativeFrom="column">
                        <wp:posOffset>1174750</wp:posOffset>
                      </wp:positionH>
                      <wp:positionV relativeFrom="paragraph">
                        <wp:posOffset>3477260</wp:posOffset>
                      </wp:positionV>
                      <wp:extent cx="275590" cy="0"/>
                      <wp:effectExtent l="0" t="57150" r="10160" b="57150"/>
                      <wp:wrapNone/>
                      <wp:docPr id="82" name="直接箭头连接符 82"/>
                      <wp:cNvGraphicFramePr/>
                      <a:graphic xmlns:a="http://schemas.openxmlformats.org/drawingml/2006/main">
                        <a:graphicData uri="http://schemas.microsoft.com/office/word/2010/wordprocessingShape">
                          <wps:wsp>
                            <wps:cNvCnPr/>
                            <wps:spPr>
                              <a:xfrm>
                                <a:off x="2254885" y="5031740"/>
                                <a:ext cx="275590" cy="0"/>
                              </a:xfrm>
                              <a:prstGeom prst="straightConnector1">
                                <a:avLst/>
                              </a:prstGeom>
                              <a:ln>
                                <a:solidFill>
                                  <a:srgbClr val="FFFF00"/>
                                </a:solidFill>
                                <a:headEnd type="arrow"/>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92.5pt;margin-top:273.8pt;height:0pt;width:21.7pt;z-index:251667456;mso-width-relative:page;mso-height-relative:page;" filled="f" stroked="t" coordsize="21600,21600" o:gfxdata="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CPBi9cAAAALAQAADwAAAAAAAAABACAA&#10;AAAiAAAAZHJzL2Rvd25yZXYueG1sUEsBAhQAFAAAAAgAh07iQN88+VMOAgAA7gMAAA4AAAAAAAAA&#10;AQAgAAAAJgEAAGRycy9lMm9Eb2MueG1sUEsFBgAAAAAGAAYAWQEAAKYFAAAAAA==&#10;">
                      <v:fill on="f" focussize="0,0"/>
                      <v:stroke weight="2pt" color="#FFFF00 [3204]" joinstyle="round" startarrow="open" endarrow="open"/>
                      <v:imagedata o:title=""/>
                      <o:lock v:ext="edit" aspectratio="f"/>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66432" behindDoc="0" locked="0" layoutInCell="1" allowOverlap="1">
                      <wp:simplePos x="0" y="0"/>
                      <wp:positionH relativeFrom="column">
                        <wp:posOffset>194945</wp:posOffset>
                      </wp:positionH>
                      <wp:positionV relativeFrom="paragraph">
                        <wp:posOffset>3053715</wp:posOffset>
                      </wp:positionV>
                      <wp:extent cx="1450340" cy="1157605"/>
                      <wp:effectExtent l="5080" t="4445" r="5080" b="6350"/>
                      <wp:wrapNone/>
                      <wp:docPr id="81" name="文本框 81"/>
                      <wp:cNvGraphicFramePr/>
                      <a:graphic xmlns:a="http://schemas.openxmlformats.org/drawingml/2006/main">
                        <a:graphicData uri="http://schemas.microsoft.com/office/word/2010/wordprocessingShape">
                          <wps:wsp>
                            <wps:cNvSpPr txBox="1"/>
                            <wps:spPr>
                              <a:xfrm>
                                <a:off x="1302385" y="4523740"/>
                                <a:ext cx="1450340" cy="1157605"/>
                              </a:xfrm>
                              <a:prstGeom prst="rect">
                                <a:avLst/>
                              </a:prstGeom>
                              <a:solidFill>
                                <a:schemeClr val="bg1">
                                  <a:lumMod val="85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B44ACEC">
                                  <w:pPr>
                                    <w:rPr>
                                      <w:rFonts w:hint="eastAsia"/>
                                      <w:b/>
                                      <w:bCs/>
                                      <w:lang w:val="en-US" w:eastAsia="zh-CN"/>
                                    </w:rPr>
                                  </w:pPr>
                                  <w:r>
                                    <w:rPr>
                                      <w:rFonts w:hint="eastAsia"/>
                                      <w:b/>
                                      <w:bCs/>
                                      <w:lang w:val="en-US" w:eastAsia="zh-CN"/>
                                    </w:rPr>
                                    <w:t>图例</w:t>
                                  </w:r>
                                  <w:r>
                                    <w:rPr>
                                      <w:rFonts w:hint="eastAsia"/>
                                      <w:b/>
                                      <w:bCs/>
                                      <w:lang w:val="en-US" w:eastAsia="zh-CN"/>
                                    </w:rPr>
                                    <w:br w:type="textWrapping"/>
                                  </w:r>
                                  <w:r>
                                    <w:rPr>
                                      <w:rFonts w:hint="eastAsia"/>
                                      <w:b/>
                                      <w:bCs/>
                                      <w:lang w:val="en-US" w:eastAsia="zh-CN"/>
                                    </w:rPr>
                                    <w:t>监测断面</w:t>
                                  </w:r>
                                </w:p>
                                <w:p w14:paraId="2AB226D8">
                                  <w:pPr>
                                    <w:rPr>
                                      <w:rFonts w:hint="default"/>
                                      <w:b/>
                                      <w:bCs/>
                                      <w:lang w:val="en-US" w:eastAsia="zh-CN"/>
                                    </w:rPr>
                                  </w:pPr>
                                  <w:r>
                                    <w:rPr>
                                      <w:rFonts w:hint="eastAsia"/>
                                      <w:b/>
                                      <w:bCs/>
                                      <w:lang w:val="en-US" w:eastAsia="zh-CN"/>
                                    </w:rPr>
                                    <w:t>项目位置</w:t>
                                  </w:r>
                                  <w:r>
                                    <w:rPr>
                                      <w:rFonts w:hint="eastAsia"/>
                                      <w:b/>
                                      <w:bCs/>
                                      <w:lang w:val="en-US" w:eastAsia="zh-CN"/>
                                    </w:rPr>
                                    <w:br w:type="textWrapping"/>
                                  </w:r>
                                  <w:r>
                                    <w:rPr>
                                      <w:rFonts w:hint="eastAsia"/>
                                      <w:b/>
                                      <w:bCs/>
                                      <w:lang w:val="en-US" w:eastAsia="zh-CN"/>
                                    </w:rPr>
                                    <w:t>河流流向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35pt;margin-top:240.45pt;height:91.15pt;width:114.2pt;z-index:251666432;mso-width-relative:page;mso-height-relative:page;" fillcolor="#D9D9D9 [2732]" filled="t" stroked="t" coordsize="21600,21600" o:gfxdata="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eI4+2QAAAAoBAAAPAAAAAAAAAAEAIAAAACIA&#10;AABkcnMvZG93bnJldi54bWxQSwECFAAUAAAACACHTuJAShw01HoCAADoBAAADgAAAAAAAAABACAA&#10;AAAoAQAAZHJzL2Uyb0RvYy54bWxQSwUGAAAAAAYABgBZAQAAFAYAAAAA&#10;">
                      <v:fill on="t" focussize="0,0"/>
                      <v:stroke weight="0.5pt" color="#000000 [3204]" joinstyle="round"/>
                      <v:imagedata o:title=""/>
                      <o:lock v:ext="edit" aspectratio="f"/>
                      <v:textbox>
                        <w:txbxContent>
                          <w:p w14:paraId="0B44ACEC">
                            <w:pPr>
                              <w:rPr>
                                <w:rFonts w:hint="eastAsia"/>
                                <w:b/>
                                <w:bCs/>
                                <w:lang w:val="en-US" w:eastAsia="zh-CN"/>
                              </w:rPr>
                            </w:pPr>
                            <w:r>
                              <w:rPr>
                                <w:rFonts w:hint="eastAsia"/>
                                <w:b/>
                                <w:bCs/>
                                <w:lang w:val="en-US" w:eastAsia="zh-CN"/>
                              </w:rPr>
                              <w:t>图例</w:t>
                            </w:r>
                            <w:r>
                              <w:rPr>
                                <w:rFonts w:hint="eastAsia"/>
                                <w:b/>
                                <w:bCs/>
                                <w:lang w:val="en-US" w:eastAsia="zh-CN"/>
                              </w:rPr>
                              <w:br w:type="textWrapping"/>
                            </w:r>
                            <w:r>
                              <w:rPr>
                                <w:rFonts w:hint="eastAsia"/>
                                <w:b/>
                                <w:bCs/>
                                <w:lang w:val="en-US" w:eastAsia="zh-CN"/>
                              </w:rPr>
                              <w:t>监测断面</w:t>
                            </w:r>
                          </w:p>
                          <w:p w14:paraId="2AB226D8">
                            <w:pPr>
                              <w:rPr>
                                <w:rFonts w:hint="default"/>
                                <w:b/>
                                <w:bCs/>
                                <w:lang w:val="en-US" w:eastAsia="zh-CN"/>
                              </w:rPr>
                            </w:pPr>
                            <w:r>
                              <w:rPr>
                                <w:rFonts w:hint="eastAsia"/>
                                <w:b/>
                                <w:bCs/>
                                <w:lang w:val="en-US" w:eastAsia="zh-CN"/>
                              </w:rPr>
                              <w:t>项目位置</w:t>
                            </w:r>
                            <w:r>
                              <w:rPr>
                                <w:rFonts w:hint="eastAsia"/>
                                <w:b/>
                                <w:bCs/>
                                <w:lang w:val="en-US" w:eastAsia="zh-CN"/>
                              </w:rPr>
                              <w:br w:type="textWrapping"/>
                            </w:r>
                            <w:r>
                              <w:rPr>
                                <w:rFonts w:hint="eastAsia"/>
                                <w:b/>
                                <w:bCs/>
                                <w:lang w:val="en-US" w:eastAsia="zh-CN"/>
                              </w:rPr>
                              <w:t>河流流向</w:t>
                            </w: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63360" behindDoc="0" locked="0" layoutInCell="1" allowOverlap="1">
                      <wp:simplePos x="0" y="0"/>
                      <wp:positionH relativeFrom="column">
                        <wp:posOffset>3733165</wp:posOffset>
                      </wp:positionH>
                      <wp:positionV relativeFrom="paragraph">
                        <wp:posOffset>501015</wp:posOffset>
                      </wp:positionV>
                      <wp:extent cx="1629410" cy="401955"/>
                      <wp:effectExtent l="857885" t="12700" r="27305" b="23495"/>
                      <wp:wrapNone/>
                      <wp:docPr id="76" name="圆角矩形标注 76"/>
                      <wp:cNvGraphicFramePr/>
                      <a:graphic xmlns:a="http://schemas.openxmlformats.org/drawingml/2006/main">
                        <a:graphicData uri="http://schemas.microsoft.com/office/word/2010/wordprocessingShape">
                          <wps:wsp>
                            <wps:cNvSpPr/>
                            <wps:spPr>
                              <a:xfrm>
                                <a:off x="0" y="0"/>
                                <a:ext cx="1629410" cy="401955"/>
                              </a:xfrm>
                              <a:prstGeom prst="wedgeRoundRectCallout">
                                <a:avLst>
                                  <a:gd name="adj1" fmla="val -101870"/>
                                  <a:gd name="adj2" fmla="val -34834"/>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CF8AAA0">
                                  <w:pPr>
                                    <w:jc w:val="center"/>
                                    <w:rPr>
                                      <w:rFonts w:hint="default" w:eastAsia="宋体"/>
                                      <w:b/>
                                      <w:bCs/>
                                      <w:color w:val="FFFFFF" w:themeColor="background1"/>
                                      <w:lang w:val="en-US" w:eastAsia="zh-CN"/>
                                      <w14:textFill>
                                        <w14:solidFill>
                                          <w14:schemeClr w14:val="bg1"/>
                                        </w14:solidFill>
                                      </w14:textFill>
                                    </w:rPr>
                                  </w:pPr>
                                  <w:r>
                                    <w:rPr>
                                      <w:rFonts w:hint="eastAsia"/>
                                      <w:b/>
                                      <w:bCs/>
                                      <w:color w:val="FFFFFF" w:themeColor="background1"/>
                                      <w:lang w:val="en-US" w:eastAsia="zh-CN"/>
                                      <w14:textFill>
                                        <w14:solidFill>
                                          <w14:schemeClr w14:val="bg1"/>
                                        </w14:solidFill>
                                      </w14:textFill>
                                    </w:rPr>
                                    <w:t>园洲镇第五污水处理厂</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93.95pt;margin-top:39.45pt;height:31.65pt;width:128.3pt;z-index:251663360;v-text-anchor:middle;mso-width-relative:page;mso-height-relative:page;" filled="f" stroked="t" coordsize="21600,21600" o:gfxdata="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0liVLtkAAAAKAQAADwAAAAAAAAAB&#10;ACAAAAAiAAAAZHJzL2Rvd25yZXYueG1sUEsBAhQAFAAAAAgAh07iQKsJ62q6AgAAVgUAAA4AAAAA&#10;AAAAAQAgAAAAKAEAAGRycy9lMm9Eb2MueG1sUEsFBgAAAAAGAAYAWQEAAFQGAAAAAA==&#10;" adj="-11204,3276,14400">
                      <v:fill on="f" focussize="0,0"/>
                      <v:stroke weight="2pt" color="#FF0000 [2404]" joinstyle="round"/>
                      <v:imagedata o:title=""/>
                      <o:lock v:ext="edit" aspectratio="f"/>
                      <v:textbox>
                        <w:txbxContent>
                          <w:p w14:paraId="6CF8AAA0">
                            <w:pPr>
                              <w:jc w:val="center"/>
                              <w:rPr>
                                <w:rFonts w:hint="default" w:eastAsia="宋体"/>
                                <w:b/>
                                <w:bCs/>
                                <w:color w:val="FFFFFF" w:themeColor="background1"/>
                                <w:lang w:val="en-US" w:eastAsia="zh-CN"/>
                                <w14:textFill>
                                  <w14:solidFill>
                                    <w14:schemeClr w14:val="bg1"/>
                                  </w14:solidFill>
                                </w14:textFill>
                              </w:rPr>
                            </w:pPr>
                            <w:r>
                              <w:rPr>
                                <w:rFonts w:hint="eastAsia"/>
                                <w:b/>
                                <w:bCs/>
                                <w:color w:val="FFFFFF" w:themeColor="background1"/>
                                <w:lang w:val="en-US" w:eastAsia="zh-CN"/>
                                <w14:textFill>
                                  <w14:solidFill>
                                    <w14:schemeClr w14:val="bg1"/>
                                  </w14:solidFill>
                                </w14:textFill>
                              </w:rPr>
                              <w:t>园洲镇第五污水处理厂</w:t>
                            </w: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65408" behindDoc="0" locked="0" layoutInCell="1" allowOverlap="1">
                      <wp:simplePos x="0" y="0"/>
                      <wp:positionH relativeFrom="column">
                        <wp:posOffset>3299460</wp:posOffset>
                      </wp:positionH>
                      <wp:positionV relativeFrom="paragraph">
                        <wp:posOffset>2818765</wp:posOffset>
                      </wp:positionV>
                      <wp:extent cx="1163955" cy="401955"/>
                      <wp:effectExtent l="12700" t="417195" r="137795" b="19050"/>
                      <wp:wrapNone/>
                      <wp:docPr id="79" name="圆角矩形标注 79"/>
                      <wp:cNvGraphicFramePr/>
                      <a:graphic xmlns:a="http://schemas.openxmlformats.org/drawingml/2006/main">
                        <a:graphicData uri="http://schemas.microsoft.com/office/word/2010/wordprocessingShape">
                          <wps:wsp>
                            <wps:cNvSpPr/>
                            <wps:spPr>
                              <a:xfrm>
                                <a:off x="0" y="0"/>
                                <a:ext cx="1163955" cy="401955"/>
                              </a:xfrm>
                              <a:prstGeom prst="wedgeRoundRectCallout">
                                <a:avLst>
                                  <a:gd name="adj1" fmla="val 60747"/>
                                  <a:gd name="adj2" fmla="val -150631"/>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4EF74EA">
                                  <w:pPr>
                                    <w:jc w:val="center"/>
                                    <w:rPr>
                                      <w:rFonts w:hint="default" w:eastAsia="宋体"/>
                                      <w:b/>
                                      <w:bCs/>
                                      <w:color w:val="FFFFFF" w:themeColor="background1"/>
                                      <w:lang w:val="en-US" w:eastAsia="zh-CN"/>
                                      <w14:textFill>
                                        <w14:solidFill>
                                          <w14:schemeClr w14:val="bg1"/>
                                        </w14:solidFill>
                                      </w14:textFill>
                                    </w:rPr>
                                  </w:pPr>
                                  <w:r>
                                    <w:rPr>
                                      <w:rFonts w:hint="eastAsia" w:eastAsia="宋体"/>
                                      <w:b/>
                                      <w:bCs/>
                                      <w:color w:val="FFFFFF" w:themeColor="background1"/>
                                      <w:lang w:val="en-US" w:eastAsia="zh-CN"/>
                                      <w14:textFill>
                                        <w14:solidFill>
                                          <w14:schemeClr w14:val="bg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59.8pt;margin-top:221.95pt;height:31.65pt;width:91.65pt;z-index:251665408;v-text-anchor:middle;mso-width-relative:page;mso-height-relative:page;" filled="f" stroked="t" coordsize="21600,21600" o:gfxdata="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Vtr/ltsAAAALAQAADwAAAAAAAAAB&#10;ACAAAAAiAAAAZHJzL2Rvd25yZXYueG1sUEsBAhQAFAAAAAgAh07iQPNDfO24AgAAVQUAAA4AAAAA&#10;AAAAAQAgAAAAKgEAAGRycy9lMm9Eb2MueG1sUEsFBgAAAAAGAAYAWQEAAFQGAAAAAA==&#10;" adj="23921,-21736,14400">
                      <v:fill on="f" focussize="0,0"/>
                      <v:stroke weight="2pt" color="#FF0000 [2404]" joinstyle="round"/>
                      <v:imagedata o:title=""/>
                      <o:lock v:ext="edit" aspectratio="f"/>
                      <v:textbox>
                        <w:txbxContent>
                          <w:p w14:paraId="34EF74EA">
                            <w:pPr>
                              <w:jc w:val="center"/>
                              <w:rPr>
                                <w:rFonts w:hint="default" w:eastAsia="宋体"/>
                                <w:b/>
                                <w:bCs/>
                                <w:color w:val="FFFFFF" w:themeColor="background1"/>
                                <w:lang w:val="en-US" w:eastAsia="zh-CN"/>
                                <w14:textFill>
                                  <w14:solidFill>
                                    <w14:schemeClr w14:val="bg1"/>
                                  </w14:solidFill>
                                </w14:textFill>
                              </w:rPr>
                            </w:pPr>
                            <w:r>
                              <w:rPr>
                                <w:rFonts w:hint="eastAsia" w:eastAsia="宋体"/>
                                <w:b/>
                                <w:bCs/>
                                <w:color w:val="FFFFFF" w:themeColor="background1"/>
                                <w:lang w:val="en-US" w:eastAsia="zh-CN"/>
                                <w14:textFill>
                                  <w14:solidFill>
                                    <w14:schemeClr w14:val="bg1"/>
                                  </w14:solidFill>
                                </w14:textFill>
                              </w:rPr>
                              <w:t>项目位置</w:t>
                            </w: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64384" behindDoc="0" locked="0" layoutInCell="1" allowOverlap="1">
                      <wp:simplePos x="0" y="0"/>
                      <wp:positionH relativeFrom="column">
                        <wp:posOffset>4612640</wp:posOffset>
                      </wp:positionH>
                      <wp:positionV relativeFrom="paragraph">
                        <wp:posOffset>2258060</wp:posOffset>
                      </wp:positionV>
                      <wp:extent cx="127000" cy="95250"/>
                      <wp:effectExtent l="12700" t="12700" r="12700" b="25400"/>
                      <wp:wrapNone/>
                      <wp:docPr id="78" name="五角星 78"/>
                      <wp:cNvGraphicFramePr/>
                      <a:graphic xmlns:a="http://schemas.openxmlformats.org/drawingml/2006/main">
                        <a:graphicData uri="http://schemas.microsoft.com/office/word/2010/wordprocessingShape">
                          <wps:wsp>
                            <wps:cNvSpPr/>
                            <wps:spPr>
                              <a:xfrm>
                                <a:off x="5720080" y="3640455"/>
                                <a:ext cx="127000" cy="95250"/>
                              </a:xfrm>
                              <a:prstGeom prst="star5">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63.2pt;margin-top:177.8pt;height:7.5pt;width:10pt;z-index:251664384;v-text-anchor:middle;mso-width-relative:page;mso-height-relative:page;" fillcolor="#FF0000" filled="t" stroked="t" coordsize="127000,95250" o:gfxdata="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4DvyW2gAAAAsBAAAPAAAAAAAAAAEAIAAAACIAAABkcnMv&#10;ZG93bnJldi54bWxQSwECFAAUAAAACACHTuJAaYg+RXMCAADtBAAADgAAAAAAAAABACAAAAApAQAA&#10;ZHJzL2Uyb0RvYy54bWxQSwUGAAAAAAYABgBZAQAADgYAAAAA&#10;" path="m0,36382l48509,36382,63500,0,78490,36382,126999,36382,87754,58867,102745,95249,63500,72764,24254,95249,39245,58867xe">
                      <v:path o:connectlocs="63500,0;0,36382;24254,95249;102745,95249;126999,36382" o:connectangles="247,164,82,82,0"/>
                      <v:fill on="t" focussize="0,0"/>
                      <v:stroke weight="2pt" color="#FF0000 [2404]" joinstyle="round"/>
                      <v:imagedata o:title=""/>
                      <o:lock v:ext="edit" aspectratio="f"/>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62336" behindDoc="0" locked="0" layoutInCell="1" allowOverlap="1">
                      <wp:simplePos x="0" y="0"/>
                      <wp:positionH relativeFrom="column">
                        <wp:posOffset>1627505</wp:posOffset>
                      </wp:positionH>
                      <wp:positionV relativeFrom="paragraph">
                        <wp:posOffset>902970</wp:posOffset>
                      </wp:positionV>
                      <wp:extent cx="1163955" cy="401955"/>
                      <wp:effectExtent l="163195" t="269240" r="25400" b="14605"/>
                      <wp:wrapNone/>
                      <wp:docPr id="75" name="圆角矩形标注 75"/>
                      <wp:cNvGraphicFramePr/>
                      <a:graphic xmlns:a="http://schemas.openxmlformats.org/drawingml/2006/main">
                        <a:graphicData uri="http://schemas.microsoft.com/office/word/2010/wordprocessingShape">
                          <wps:wsp>
                            <wps:cNvSpPr/>
                            <wps:spPr>
                              <a:xfrm>
                                <a:off x="3094990" y="2275205"/>
                                <a:ext cx="1163955" cy="401955"/>
                              </a:xfrm>
                              <a:prstGeom prst="wedgeRoundRectCallout">
                                <a:avLst>
                                  <a:gd name="adj1" fmla="val -62947"/>
                                  <a:gd name="adj2" fmla="val -113823"/>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99BA8D4">
                                  <w:pPr>
                                    <w:jc w:val="center"/>
                                    <w:rPr>
                                      <w:rFonts w:hint="eastAsia" w:eastAsia="宋体"/>
                                      <w:b/>
                                      <w:bCs/>
                                      <w:color w:val="FFFFFF" w:themeColor="background1"/>
                                      <w:lang w:val="en-US" w:eastAsia="zh-CN"/>
                                      <w14:textFill>
                                        <w14:solidFill>
                                          <w14:schemeClr w14:val="bg1"/>
                                        </w14:solidFill>
                                      </w14:textFill>
                                    </w:rPr>
                                  </w:pPr>
                                  <w:r>
                                    <w:rPr>
                                      <w:rFonts w:hint="eastAsia"/>
                                      <w:b/>
                                      <w:bCs/>
                                      <w:color w:val="FFFFFF" w:themeColor="background1"/>
                                      <w:lang w:val="en-US" w:eastAsia="zh-CN"/>
                                      <w14:textFill>
                                        <w14:solidFill>
                                          <w14:schemeClr w14:val="bg1"/>
                                        </w14:solidFill>
                                      </w14:textFill>
                                    </w:rPr>
                                    <w:t>中心排渠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28.15pt;margin-top:71.1pt;height:31.65pt;width:91.65pt;z-index:251662336;v-text-anchor:middle;mso-width-relative:page;mso-height-relative:page;" filled="f" stroked="t" coordsize="21600,21600" o:gfxdata="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FGZ5sNsAAAAL&#10;AQAADwAAAAAAAAABACAAAAAiAAAAZHJzL2Rvd25yZXYueG1sUEsBAhQAFAAAAAgAh07iQDqzKxvE&#10;AgAAYgUAAA4AAAAAAAAAAQAgAAAAKgEAAGRycy9lMm9Eb2MueG1sUEsFBgAAAAAGAAYAWQEAAGAG&#10;AAAAAA==&#10;" adj="-2797,-13786,14400">
                      <v:fill on="f" focussize="0,0"/>
                      <v:stroke weight="2pt" color="#FF0000 [2404]" joinstyle="round"/>
                      <v:imagedata o:title=""/>
                      <o:lock v:ext="edit" aspectratio="f"/>
                      <v:textbox>
                        <w:txbxContent>
                          <w:p w14:paraId="299BA8D4">
                            <w:pPr>
                              <w:jc w:val="center"/>
                              <w:rPr>
                                <w:rFonts w:hint="eastAsia" w:eastAsia="宋体"/>
                                <w:b/>
                                <w:bCs/>
                                <w:color w:val="FFFFFF" w:themeColor="background1"/>
                                <w:lang w:val="en-US" w:eastAsia="zh-CN"/>
                                <w14:textFill>
                                  <w14:solidFill>
                                    <w14:schemeClr w14:val="bg1"/>
                                  </w14:solidFill>
                                </w14:textFill>
                              </w:rPr>
                            </w:pPr>
                            <w:r>
                              <w:rPr>
                                <w:rFonts w:hint="eastAsia"/>
                                <w:b/>
                                <w:bCs/>
                                <w:color w:val="FFFFFF" w:themeColor="background1"/>
                                <w:lang w:val="en-US" w:eastAsia="zh-CN"/>
                                <w14:textFill>
                                  <w14:solidFill>
                                    <w14:schemeClr w14:val="bg1"/>
                                  </w14:solidFill>
                                </w14:textFill>
                              </w:rPr>
                              <w:t>中心排渠</w:t>
                            </w:r>
                          </w:p>
                        </w:txbxContent>
                      </v:textbox>
                    </v:shape>
                  </w:pict>
                </mc:Fallback>
              </mc:AlternateContent>
            </w:r>
            <w:r>
              <w:rPr>
                <w:rFonts w:hint="default" w:ascii="Times New Roman" w:hAnsi="Times New Roman" w:cs="Times New Roman"/>
                <w:color w:val="auto"/>
              </w:rPr>
              <w:drawing>
                <wp:inline distT="0" distB="0" distL="114300" distR="114300">
                  <wp:extent cx="5629275" cy="4218305"/>
                  <wp:effectExtent l="0" t="0" r="9525" b="10795"/>
                  <wp:docPr id="7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5"/>
                          <pic:cNvPicPr>
                            <a:picLocks noChangeAspect="1"/>
                          </pic:cNvPicPr>
                        </pic:nvPicPr>
                        <pic:blipFill>
                          <a:blip r:embed="rId27"/>
                          <a:stretch>
                            <a:fillRect/>
                          </a:stretch>
                        </pic:blipFill>
                        <pic:spPr>
                          <a:xfrm>
                            <a:off x="0" y="0"/>
                            <a:ext cx="5629275" cy="4218305"/>
                          </a:xfrm>
                          <a:prstGeom prst="rect">
                            <a:avLst/>
                          </a:prstGeom>
                          <a:noFill/>
                          <a:ln>
                            <a:noFill/>
                          </a:ln>
                        </pic:spPr>
                      </pic:pic>
                    </a:graphicData>
                  </a:graphic>
                </wp:inline>
              </w:drawing>
            </w:r>
          </w:p>
          <w:p w14:paraId="0EB8B30D">
            <w:pPr>
              <w:jc w:val="center"/>
              <w:textAlignment w:val="baseline"/>
              <w:rPr>
                <w:rFonts w:hint="default" w:ascii="Times New Roman" w:hAnsi="Times New Roman" w:cs="Times New Roman"/>
                <w:b/>
                <w:color w:val="auto"/>
                <w:kern w:val="0"/>
              </w:rPr>
            </w:pPr>
            <w:r>
              <w:rPr>
                <w:rFonts w:hint="default" w:ascii="Times New Roman" w:hAnsi="Times New Roman" w:cs="Times New Roman"/>
                <w:b/>
                <w:color w:val="auto"/>
                <w:kern w:val="0"/>
              </w:rPr>
              <w:t>图</w:t>
            </w:r>
            <w:r>
              <w:rPr>
                <w:rFonts w:hint="default" w:ascii="Times New Roman" w:hAnsi="Times New Roman" w:cs="Times New Roman"/>
                <w:b/>
                <w:color w:val="auto"/>
                <w:kern w:val="0"/>
                <w:lang w:val="en-US" w:eastAsia="zh-CN"/>
              </w:rPr>
              <w:t>5</w:t>
            </w:r>
            <w:r>
              <w:rPr>
                <w:rFonts w:hint="default" w:ascii="Times New Roman" w:hAnsi="Times New Roman" w:cs="Times New Roman"/>
                <w:b/>
                <w:color w:val="auto"/>
                <w:kern w:val="0"/>
              </w:rPr>
              <w:t>引用监测断面与本项目位置图</w:t>
            </w:r>
          </w:p>
          <w:p w14:paraId="456AF058">
            <w:pPr>
              <w:textAlignment w:val="baseline"/>
              <w:rPr>
                <w:rFonts w:hint="default" w:ascii="Times New Roman" w:hAnsi="Times New Roman" w:cs="Times New Roman"/>
                <w:color w:val="auto"/>
                <w:kern w:val="0"/>
              </w:rPr>
            </w:pPr>
            <w:r>
              <w:rPr>
                <w:rFonts w:hint="default" w:ascii="Times New Roman" w:hAnsi="Times New Roman" w:cs="Times New Roman"/>
                <w:b/>
                <w:color w:val="auto"/>
                <w:kern w:val="0"/>
              </w:rPr>
              <w:t>（2）环境空气质量现状</w:t>
            </w:r>
          </w:p>
          <w:p w14:paraId="7B073773">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根据</w:t>
            </w:r>
            <w:r>
              <w:rPr>
                <w:rFonts w:hint="eastAsia"/>
                <w:color w:val="auto"/>
              </w:rPr>
              <w:t>《关于印发&lt;惠州市环境空气质量功能区划&gt;（2024年修订）的通知》（惠市环〔2024〕16号）</w:t>
            </w:r>
            <w:r>
              <w:rPr>
                <w:rFonts w:asciiTheme="majorBidi" w:hAnsiTheme="majorBidi" w:eastAsiaTheme="minorEastAsia" w:cstheme="majorBidi"/>
                <w:color w:val="auto"/>
              </w:rPr>
              <w:t>，本</w:t>
            </w:r>
            <w:r>
              <w:rPr>
                <w:rFonts w:asciiTheme="majorBidi" w:hAnsiTheme="majorBidi" w:eastAsiaTheme="minorEastAsia" w:cstheme="majorBidi"/>
                <w:color w:val="000000" w:themeColor="text1"/>
                <w14:textFill>
                  <w14:solidFill>
                    <w14:schemeClr w14:val="tx1"/>
                  </w14:solidFill>
                </w14:textFill>
              </w:rPr>
              <w:t>项目所在地属于环境空气质量功能区的二类区，环境空气质量应执行《环境空气质量标准》（GB3095-2012）及其2018年修改单中规定的二级标准。</w:t>
            </w:r>
          </w:p>
          <w:p w14:paraId="08ACE491">
            <w:pPr>
              <w:ind w:firstLine="480" w:firstLineChars="200"/>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根据惠州市生态环境局发布的《202</w:t>
            </w:r>
            <w:r>
              <w:rPr>
                <w:rFonts w:hint="eastAsia" w:cs="Times New Roman"/>
                <w:b w:val="0"/>
                <w:bCs w:val="0"/>
                <w:color w:val="auto"/>
                <w:lang w:val="en-US" w:eastAsia="zh-CN"/>
              </w:rPr>
              <w:t>4</w:t>
            </w:r>
            <w:r>
              <w:rPr>
                <w:rFonts w:hint="default" w:ascii="Times New Roman" w:hAnsi="Times New Roman" w:cs="Times New Roman"/>
                <w:b w:val="0"/>
                <w:bCs w:val="0"/>
                <w:color w:val="auto"/>
                <w:lang w:val="en-US" w:eastAsia="zh-CN"/>
              </w:rPr>
              <w:t>年惠州市生态环境状况公报》资料显示：城市空气质量：2024年，惠州市环境空气质量优良。六项污染物年评价浓度均达标，其中，二氧化硫、 二氧化氮、一氧化碳和可吸入颗粒物PM</w:t>
            </w:r>
            <w:r>
              <w:rPr>
                <w:rFonts w:hint="default" w:ascii="Times New Roman" w:hAnsi="Times New Roman" w:cs="Times New Roman"/>
                <w:b w:val="0"/>
                <w:bCs w:val="0"/>
                <w:color w:val="auto"/>
                <w:vertAlign w:val="subscript"/>
                <w:lang w:val="en-US" w:eastAsia="zh-CN"/>
              </w:rPr>
              <w:t>10</w:t>
            </w:r>
            <w:r>
              <w:rPr>
                <w:rFonts w:hint="default" w:ascii="Times New Roman" w:hAnsi="Times New Roman" w:cs="Times New Roman"/>
                <w:b w:val="0"/>
                <w:bCs w:val="0"/>
                <w:color w:val="auto"/>
                <w:lang w:val="en-US" w:eastAsia="zh-CN"/>
              </w:rPr>
              <w:t>年评价浓度达到国家一级标准；细颗粒物PM</w:t>
            </w:r>
            <w:r>
              <w:rPr>
                <w:rFonts w:hint="default" w:ascii="Times New Roman" w:hAnsi="Times New Roman" w:cs="Times New Roman"/>
                <w:b w:val="0"/>
                <w:bCs w:val="0"/>
                <w:color w:val="auto"/>
                <w:vertAlign w:val="subscript"/>
                <w:lang w:val="en-US" w:eastAsia="zh-CN"/>
              </w:rPr>
              <w:t>2.5</w:t>
            </w:r>
            <w:r>
              <w:rPr>
                <w:rFonts w:hint="default" w:ascii="Times New Roman" w:hAnsi="Times New Roman" w:cs="Times New Roman"/>
                <w:b w:val="0"/>
                <w:bCs w:val="0"/>
                <w:color w:val="auto"/>
                <w:lang w:val="en-US" w:eastAsia="zh-CN"/>
              </w:rPr>
              <w:t>和臭氧年评价浓度达到国家二级标准。综合指数为2.48，AQI达标率为95.9%，其中，优224天，良127天，轻度污染15天，无中度及以上污染，超标污染物为臭氧。</w:t>
            </w:r>
          </w:p>
          <w:p w14:paraId="1C99A81E">
            <w:pPr>
              <w:ind w:firstLine="480" w:firstLineChars="200"/>
              <w:rPr>
                <w:rFonts w:hint="default" w:ascii="Times New Roman" w:hAnsi="Times New Roman" w:cs="Times New Roman"/>
                <w:b w:val="0"/>
                <w:bCs w:val="0"/>
                <w:color w:val="auto"/>
                <w:lang w:val="en-US" w:eastAsia="zh-CN"/>
              </w:rPr>
            </w:pPr>
          </w:p>
          <w:p w14:paraId="5EC760A6">
            <w:pPr>
              <w:ind w:firstLine="480" w:firstLineChars="200"/>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与2023年相比，综合指数改善3.1%，AQI达标率下降2.5个百分点，可吸入颗粒物PM</w:t>
            </w:r>
            <w:r>
              <w:rPr>
                <w:rFonts w:hint="default" w:ascii="Times New Roman" w:hAnsi="Times New Roman" w:cs="Times New Roman"/>
                <w:b w:val="0"/>
                <w:bCs w:val="0"/>
                <w:color w:val="auto"/>
                <w:vertAlign w:val="subscript"/>
                <w:lang w:val="en-US" w:eastAsia="zh-CN"/>
              </w:rPr>
              <w:t>10</w:t>
            </w:r>
            <w:r>
              <w:rPr>
                <w:rFonts w:hint="default" w:ascii="Times New Roman" w:hAnsi="Times New Roman" w:cs="Times New Roman"/>
                <w:b w:val="0"/>
                <w:bCs w:val="0"/>
                <w:color w:val="auto"/>
                <w:lang w:val="en-US" w:eastAsia="zh-CN"/>
              </w:rPr>
              <w:t>、细颗粒物PM</w:t>
            </w:r>
            <w:r>
              <w:rPr>
                <w:rFonts w:hint="default" w:ascii="Times New Roman" w:hAnsi="Times New Roman" w:cs="Times New Roman"/>
                <w:b w:val="0"/>
                <w:bCs w:val="0"/>
                <w:color w:val="auto"/>
                <w:vertAlign w:val="subscript"/>
                <w:lang w:val="en-US" w:eastAsia="zh-CN"/>
              </w:rPr>
              <w:t>2.5</w:t>
            </w:r>
            <w:r>
              <w:rPr>
                <w:rFonts w:hint="default" w:ascii="Times New Roman" w:hAnsi="Times New Roman" w:cs="Times New Roman"/>
                <w:b w:val="0"/>
                <w:bCs w:val="0"/>
                <w:color w:val="auto"/>
                <w:lang w:val="en-US" w:eastAsia="zh-CN"/>
              </w:rPr>
              <w:t>、二氧化氮分别改善11.1%、5.3%、12.5%，一氧化碳和二氧化硫持平，臭氧上升6.2%。</w:t>
            </w:r>
          </w:p>
          <w:p w14:paraId="3F05BEA2">
            <w:pPr>
              <w:ind w:firstLine="480" w:firstLineChars="200"/>
              <w:rPr>
                <w:rFonts w:hint="default" w:ascii="Times New Roman" w:hAnsi="Times New Roman" w:cs="Times New Roman"/>
                <w:color w:val="auto"/>
              </w:rPr>
            </w:pPr>
            <w:r>
              <w:rPr>
                <w:rFonts w:hint="default" w:ascii="Times New Roman" w:hAnsi="Times New Roman" w:cs="Times New Roman"/>
                <w:b w:val="0"/>
                <w:bCs w:val="0"/>
                <w:color w:val="auto"/>
                <w:lang w:val="en-US" w:eastAsia="zh-CN"/>
              </w:rPr>
              <w:t>县区空气质量：2024年，各县区环境空气质量总体优良。六项污染物年评价浓度均达标，综合指数1.88（龙门县）～2.57（惠阳区），AQI达标率96.2%（惠阳区）～100%（龙门县），超标污染物均为臭氧。与2023年相比，各县区空气质量综合指数均有所改善，改善幅度为0.8%～8.7%。</w:t>
            </w:r>
          </w:p>
          <w:p w14:paraId="4D33D4D7">
            <w:pPr>
              <w:ind w:firstLine="482" w:firstLineChars="20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TSP、非甲烷总烃、TVOC：</w:t>
            </w:r>
          </w:p>
          <w:p w14:paraId="0C207D97">
            <w:pPr>
              <w:ind w:firstLine="480" w:firstLineChars="20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为了解项目所在区域环境空气质量情况，调查评价范围内有环境质量标准的评价因子的环境质量监测数据，本环评引用广东宏科检测技术有限公司</w:t>
            </w:r>
            <w:r>
              <w:rPr>
                <w:rFonts w:hint="eastAsia" w:eastAsia="宋体" w:cs="Times New Roman"/>
                <w:b w:val="0"/>
                <w:bCs w:val="0"/>
                <w:color w:val="auto"/>
                <w:lang w:val="en-US" w:eastAsia="zh-CN"/>
              </w:rPr>
              <w:t>的检测报告（</w:t>
            </w:r>
            <w:r>
              <w:rPr>
                <w:rFonts w:hint="default" w:ascii="Times New Roman" w:hAnsi="Times New Roman" w:eastAsia="宋体" w:cs="Times New Roman"/>
                <w:b w:val="0"/>
                <w:bCs w:val="0"/>
                <w:color w:val="auto"/>
                <w:lang w:val="en-US" w:eastAsia="zh-CN"/>
              </w:rPr>
              <w:t>GDHK20220107045</w:t>
            </w:r>
            <w:r>
              <w:rPr>
                <w:rFonts w:hint="eastAsia" w:eastAsia="宋体" w:cs="Times New Roman"/>
                <w:b w:val="0"/>
                <w:bCs w:val="0"/>
                <w:color w:val="auto"/>
                <w:lang w:val="en-US" w:eastAsia="zh-CN"/>
              </w:rPr>
              <w:t>）中A1监测点的现状监测数据，监测日期：</w:t>
            </w:r>
            <w:r>
              <w:rPr>
                <w:rFonts w:hint="default" w:ascii="Times New Roman" w:hAnsi="Times New Roman" w:eastAsia="宋体" w:cs="Times New Roman"/>
                <w:b w:val="0"/>
                <w:bCs w:val="0"/>
                <w:color w:val="auto"/>
                <w:lang w:val="en-US" w:eastAsia="zh-CN"/>
              </w:rPr>
              <w:t>202</w:t>
            </w:r>
            <w:r>
              <w:rPr>
                <w:rFonts w:hint="eastAsia" w:eastAsia="宋体" w:cs="Times New Roman"/>
                <w:b w:val="0"/>
                <w:bCs w:val="0"/>
                <w:color w:val="auto"/>
                <w:lang w:val="en-US" w:eastAsia="zh-CN"/>
              </w:rPr>
              <w:t>5</w:t>
            </w:r>
            <w:r>
              <w:rPr>
                <w:rFonts w:hint="default" w:ascii="Times New Roman" w:hAnsi="Times New Roman" w:eastAsia="宋体" w:cs="Times New Roman"/>
                <w:b w:val="0"/>
                <w:bCs w:val="0"/>
                <w:color w:val="auto"/>
                <w:lang w:val="en-US" w:eastAsia="zh-CN"/>
              </w:rPr>
              <w:t>年</w:t>
            </w:r>
            <w:r>
              <w:rPr>
                <w:rFonts w:hint="eastAsia" w:eastAsia="宋体" w:cs="Times New Roman"/>
                <w:b w:val="0"/>
                <w:bCs w:val="0"/>
                <w:color w:val="auto"/>
                <w:lang w:val="en-US" w:eastAsia="zh-CN"/>
              </w:rPr>
              <w:t>7</w:t>
            </w:r>
            <w:r>
              <w:rPr>
                <w:rFonts w:hint="default" w:ascii="Times New Roman" w:hAnsi="Times New Roman" w:eastAsia="宋体" w:cs="Times New Roman"/>
                <w:b w:val="0"/>
                <w:bCs w:val="0"/>
                <w:color w:val="auto"/>
                <w:lang w:val="en-US" w:eastAsia="zh-CN"/>
              </w:rPr>
              <w:t>月</w:t>
            </w:r>
            <w:r>
              <w:rPr>
                <w:rFonts w:hint="eastAsia" w:eastAsia="宋体" w:cs="Times New Roman"/>
                <w:b w:val="0"/>
                <w:bCs w:val="0"/>
                <w:color w:val="auto"/>
                <w:lang w:val="en-US" w:eastAsia="zh-CN"/>
              </w:rPr>
              <w:t>12</w:t>
            </w:r>
            <w:r>
              <w:rPr>
                <w:rFonts w:hint="default" w:ascii="Times New Roman" w:hAnsi="Times New Roman" w:eastAsia="宋体" w:cs="Times New Roman"/>
                <w:b w:val="0"/>
                <w:bCs w:val="0"/>
                <w:color w:val="auto"/>
                <w:lang w:val="en-US" w:eastAsia="zh-CN"/>
              </w:rPr>
              <w:t>日</w:t>
            </w:r>
            <w:r>
              <w:rPr>
                <w:rFonts w:hint="eastAsia" w:eastAsia="宋体" w:cs="Times New Roman"/>
                <w:b w:val="0"/>
                <w:bCs w:val="0"/>
                <w:color w:val="auto"/>
                <w:lang w:val="en-US" w:eastAsia="zh-CN"/>
              </w:rPr>
              <w:t>-14</w:t>
            </w:r>
            <w:r>
              <w:rPr>
                <w:rFonts w:hint="default" w:ascii="Times New Roman" w:hAnsi="Times New Roman" w:eastAsia="宋体" w:cs="Times New Roman"/>
                <w:b w:val="0"/>
                <w:bCs w:val="0"/>
                <w:color w:val="auto"/>
                <w:lang w:val="en-US" w:eastAsia="zh-CN"/>
              </w:rPr>
              <w:t>日。</w:t>
            </w:r>
            <w:r>
              <w:rPr>
                <w:rFonts w:hint="eastAsia" w:eastAsia="宋体" w:cs="Times New Roman"/>
                <w:b w:val="0"/>
                <w:bCs w:val="0"/>
                <w:color w:val="auto"/>
                <w:lang w:val="en-US" w:eastAsia="zh-CN"/>
              </w:rPr>
              <w:t>监测点位</w:t>
            </w:r>
            <w:r>
              <w:rPr>
                <w:rFonts w:hint="default" w:ascii="Times New Roman" w:hAnsi="Times New Roman" w:eastAsia="宋体" w:cs="Times New Roman"/>
                <w:b w:val="0"/>
                <w:bCs w:val="0"/>
                <w:color w:val="auto"/>
                <w:lang w:val="en-US" w:eastAsia="zh-CN"/>
              </w:rPr>
              <w:t>位于本项目</w:t>
            </w:r>
            <w:r>
              <w:rPr>
                <w:rFonts w:hint="eastAsia" w:ascii="Times New Roman" w:hAnsi="Times New Roman" w:eastAsia="宋体" w:cs="Times New Roman"/>
                <w:b w:val="0"/>
                <w:bCs w:val="0"/>
                <w:color w:val="auto"/>
                <w:lang w:val="en-US" w:eastAsia="zh-CN"/>
              </w:rPr>
              <w:t>西南</w:t>
            </w:r>
            <w:r>
              <w:rPr>
                <w:rFonts w:hint="default" w:ascii="Times New Roman" w:hAnsi="Times New Roman" w:eastAsia="宋体" w:cs="Times New Roman"/>
                <w:b w:val="0"/>
                <w:bCs w:val="0"/>
                <w:color w:val="auto"/>
                <w:lang w:val="en-US" w:eastAsia="zh-CN"/>
              </w:rPr>
              <w:t>面约</w:t>
            </w:r>
            <w:r>
              <w:rPr>
                <w:rFonts w:hint="eastAsia" w:eastAsia="宋体" w:cs="Times New Roman"/>
                <w:b w:val="0"/>
                <w:bCs w:val="0"/>
                <w:color w:val="auto"/>
                <w:lang w:val="en-US" w:eastAsia="zh-CN"/>
              </w:rPr>
              <w:t>1454</w:t>
            </w:r>
            <w:r>
              <w:rPr>
                <w:rFonts w:hint="eastAsia" w:ascii="Times New Roman" w:hAnsi="Times New Roman" w:eastAsia="宋体" w:cs="Times New Roman"/>
                <w:b w:val="0"/>
                <w:bCs w:val="0"/>
                <w:color w:val="auto"/>
                <w:lang w:val="en-US" w:eastAsia="zh-CN"/>
              </w:rPr>
              <w:t>m</w:t>
            </w:r>
            <w:r>
              <w:rPr>
                <w:rFonts w:hint="default" w:ascii="Times New Roman" w:hAnsi="Times New Roman" w:eastAsia="宋体" w:cs="Times New Roman"/>
                <w:b w:val="0"/>
                <w:bCs w:val="0"/>
                <w:color w:val="auto"/>
                <w:lang w:val="en-US" w:eastAsia="zh-CN"/>
              </w:rPr>
              <w:t>，根据《建设项目环境影响报告表编制技术指南》（污染影响类）相关要求，环境质量现状引用的数据应为建设项目周边5千米范围内近3年的现有监测数据，因此本项目引用该监测数据具有合理性，具体监测结果见下表：</w:t>
            </w:r>
          </w:p>
          <w:p w14:paraId="7811E627">
            <w:pPr>
              <w:pStyle w:val="5"/>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firstLine="420" w:firstLineChars="0"/>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Times New Roman" w:cs="Times New Roman"/>
                <w:b/>
                <w:bCs/>
                <w:color w:val="auto"/>
                <w:kern w:val="2"/>
                <w:sz w:val="24"/>
                <w:szCs w:val="24"/>
                <w:lang w:val="en-US" w:eastAsia="zh-CN" w:bidi="ar-SA"/>
              </w:rPr>
              <w:t>表3-</w:t>
            </w:r>
            <w:r>
              <w:rPr>
                <w:rFonts w:hint="eastAsia" w:eastAsia="Times New Roman" w:cs="Times New Roman"/>
                <w:b/>
                <w:bCs/>
                <w:color w:val="auto"/>
                <w:kern w:val="2"/>
                <w:sz w:val="24"/>
                <w:szCs w:val="24"/>
                <w:lang w:val="en-US" w:eastAsia="zh-CN" w:bidi="ar-SA"/>
              </w:rPr>
              <w:t>3</w:t>
            </w:r>
            <w:r>
              <w:rPr>
                <w:rFonts w:hint="default" w:ascii="Times New Roman" w:hAnsi="Times New Roman" w:eastAsia="Times New Roman" w:cs="Times New Roman"/>
                <w:b/>
                <w:bCs/>
                <w:color w:val="auto"/>
                <w:kern w:val="2"/>
                <w:sz w:val="24"/>
                <w:szCs w:val="24"/>
                <w:lang w:val="en-US" w:eastAsia="zh-CN" w:bidi="ar-SA"/>
              </w:rPr>
              <w:t xml:space="preserve"> </w:t>
            </w:r>
            <w:r>
              <w:rPr>
                <w:rFonts w:hint="default" w:ascii="Times New Roman" w:hAnsi="Times New Roman" w:eastAsia="宋体" w:cs="Times New Roman"/>
                <w:b/>
                <w:bCs/>
                <w:color w:val="auto"/>
                <w:sz w:val="24"/>
                <w:szCs w:val="24"/>
                <w:lang w:val="en-US" w:eastAsia="zh-CN"/>
              </w:rPr>
              <w:t>监测点位及监测因子</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6"/>
              <w:gridCol w:w="1300"/>
              <w:gridCol w:w="1744"/>
              <w:gridCol w:w="1744"/>
              <w:gridCol w:w="1745"/>
            </w:tblGrid>
            <w:tr w14:paraId="3404B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2186" w:type="dxa"/>
                  <w:noWrap w:val="0"/>
                  <w:vAlign w:val="center"/>
                </w:tcPr>
                <w:p w14:paraId="40AD1446">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监测日期</w:t>
                  </w:r>
                </w:p>
              </w:tc>
              <w:tc>
                <w:tcPr>
                  <w:tcW w:w="1300" w:type="dxa"/>
                  <w:noWrap w:val="0"/>
                  <w:vAlign w:val="center"/>
                </w:tcPr>
                <w:p w14:paraId="43E8AD85">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监测点位</w:t>
                  </w:r>
                </w:p>
              </w:tc>
              <w:tc>
                <w:tcPr>
                  <w:tcW w:w="1744" w:type="dxa"/>
                  <w:noWrap w:val="0"/>
                  <w:vAlign w:val="center"/>
                </w:tcPr>
                <w:p w14:paraId="0C41CFAF">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坐标</w:t>
                  </w:r>
                </w:p>
              </w:tc>
              <w:tc>
                <w:tcPr>
                  <w:tcW w:w="1744" w:type="dxa"/>
                  <w:noWrap w:val="0"/>
                  <w:vAlign w:val="center"/>
                </w:tcPr>
                <w:p w14:paraId="3626C8BB">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与本项目的位置</w:t>
                  </w:r>
                </w:p>
              </w:tc>
              <w:tc>
                <w:tcPr>
                  <w:tcW w:w="1745" w:type="dxa"/>
                  <w:noWrap w:val="0"/>
                  <w:vAlign w:val="center"/>
                </w:tcPr>
                <w:p w14:paraId="2003A682">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监测因子</w:t>
                  </w:r>
                </w:p>
              </w:tc>
            </w:tr>
            <w:tr w14:paraId="3D7EB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186" w:type="dxa"/>
                  <w:noWrap w:val="0"/>
                  <w:vAlign w:val="center"/>
                </w:tcPr>
                <w:p w14:paraId="3264FFEF">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rPr>
                    <w:t>2025年7月12日-14日</w:t>
                  </w:r>
                </w:p>
              </w:tc>
              <w:tc>
                <w:tcPr>
                  <w:tcW w:w="1300" w:type="dxa"/>
                  <w:noWrap w:val="0"/>
                  <w:vAlign w:val="center"/>
                </w:tcPr>
                <w:p w14:paraId="3F9710A3">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监测点A1</w:t>
                  </w:r>
                </w:p>
              </w:tc>
              <w:tc>
                <w:tcPr>
                  <w:tcW w:w="1744" w:type="dxa"/>
                  <w:noWrap w:val="0"/>
                  <w:vAlign w:val="center"/>
                </w:tcPr>
                <w:p w14:paraId="46772227">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rPr>
                    <w:t>N23</w:t>
                  </w:r>
                  <w:r>
                    <w:rPr>
                      <w:rFonts w:hint="eastAsia" w:eastAsia="宋体" w:cs="Times New Roman"/>
                      <w:color w:val="auto"/>
                      <w:sz w:val="21"/>
                      <w:szCs w:val="21"/>
                      <w:vertAlign w:val="baseline"/>
                      <w:lang w:val="en-US" w:eastAsia="zh-CN"/>
                    </w:rPr>
                    <w:t>.113846</w:t>
                  </w:r>
                  <w:r>
                    <w:rPr>
                      <w:rFonts w:hint="default" w:ascii="Times New Roman" w:hAnsi="Times New Roman" w:eastAsia="宋体" w:cs="Times New Roman"/>
                      <w:color w:val="auto"/>
                      <w:sz w:val="21"/>
                      <w:szCs w:val="21"/>
                      <w:vertAlign w:val="baseline"/>
                    </w:rPr>
                    <w:t>°</w:t>
                  </w:r>
                  <w:r>
                    <w:rPr>
                      <w:rFonts w:hint="default" w:ascii="Times New Roman" w:hAnsi="Times New Roman" w:eastAsia="宋体" w:cs="Times New Roman"/>
                      <w:color w:val="auto"/>
                      <w:sz w:val="21"/>
                      <w:szCs w:val="21"/>
                      <w:vertAlign w:val="baseline"/>
                      <w:lang w:eastAsia="zh-CN"/>
                    </w:rPr>
                    <w:t>，</w:t>
                  </w:r>
                  <w:r>
                    <w:rPr>
                      <w:rFonts w:hint="default" w:ascii="Times New Roman" w:hAnsi="Times New Roman" w:eastAsia="宋体" w:cs="Times New Roman"/>
                      <w:color w:val="auto"/>
                      <w:sz w:val="21"/>
                      <w:szCs w:val="21"/>
                      <w:vertAlign w:val="baseline"/>
                    </w:rPr>
                    <w:t>E114</w:t>
                  </w:r>
                  <w:r>
                    <w:rPr>
                      <w:rFonts w:hint="eastAsia" w:eastAsia="宋体" w:cs="Times New Roman"/>
                      <w:color w:val="auto"/>
                      <w:sz w:val="21"/>
                      <w:szCs w:val="21"/>
                      <w:vertAlign w:val="baseline"/>
                      <w:lang w:val="en-US" w:eastAsia="zh-CN"/>
                    </w:rPr>
                    <w:t>.026069</w:t>
                  </w:r>
                  <w:r>
                    <w:rPr>
                      <w:rFonts w:hint="default" w:ascii="Times New Roman" w:hAnsi="Times New Roman" w:eastAsia="宋体" w:cs="Times New Roman"/>
                      <w:color w:val="auto"/>
                      <w:sz w:val="21"/>
                      <w:szCs w:val="21"/>
                      <w:vertAlign w:val="baseline"/>
                    </w:rPr>
                    <w:t>°</w:t>
                  </w:r>
                </w:p>
              </w:tc>
              <w:tc>
                <w:tcPr>
                  <w:tcW w:w="1744" w:type="dxa"/>
                  <w:noWrap w:val="0"/>
                  <w:vAlign w:val="center"/>
                </w:tcPr>
                <w:p w14:paraId="7CCC476F">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东北1454</w:t>
                  </w:r>
                  <w:r>
                    <w:rPr>
                      <w:rFonts w:hint="eastAsia" w:ascii="Times New Roman" w:hAnsi="Times New Roman" w:eastAsia="宋体" w:cs="Times New Roman"/>
                      <w:color w:val="auto"/>
                      <w:sz w:val="21"/>
                      <w:szCs w:val="21"/>
                      <w:vertAlign w:val="baseline"/>
                      <w:lang w:val="en-US" w:eastAsia="zh-CN"/>
                    </w:rPr>
                    <w:t>m</w:t>
                  </w:r>
                </w:p>
              </w:tc>
              <w:tc>
                <w:tcPr>
                  <w:tcW w:w="1745" w:type="dxa"/>
                  <w:noWrap w:val="0"/>
                  <w:vAlign w:val="center"/>
                </w:tcPr>
                <w:p w14:paraId="6BAE9C46">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rPr>
                    <w:t>TVOC、</w:t>
                  </w:r>
                  <w:r>
                    <w:rPr>
                      <w:rFonts w:hint="eastAsia" w:eastAsia="宋体" w:cs="Times New Roman"/>
                      <w:color w:val="auto"/>
                      <w:sz w:val="21"/>
                      <w:szCs w:val="21"/>
                      <w:vertAlign w:val="baseline"/>
                      <w:lang w:val="en-US" w:eastAsia="zh-CN"/>
                    </w:rPr>
                    <w:t>非甲烷总烃、</w:t>
                  </w:r>
                  <w:r>
                    <w:rPr>
                      <w:rFonts w:hint="default" w:ascii="Times New Roman" w:hAnsi="Times New Roman" w:eastAsia="宋体" w:cs="Times New Roman"/>
                      <w:color w:val="auto"/>
                      <w:sz w:val="21"/>
                      <w:szCs w:val="21"/>
                      <w:vertAlign w:val="baseline"/>
                    </w:rPr>
                    <w:t>TSP</w:t>
                  </w:r>
                </w:p>
              </w:tc>
            </w:tr>
          </w:tbl>
          <w:p w14:paraId="0AA7E50C">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引用的现状监测结果见下表。</w:t>
            </w:r>
          </w:p>
          <w:p w14:paraId="30FBD0CB">
            <w:pPr>
              <w:pStyle w:val="5"/>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firstLine="420" w:firstLineChars="0"/>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Times New Roman" w:cs="Times New Roman"/>
                <w:b/>
                <w:bCs/>
                <w:color w:val="auto"/>
                <w:kern w:val="2"/>
                <w:sz w:val="24"/>
                <w:szCs w:val="24"/>
                <w:lang w:val="en-US" w:eastAsia="zh-CN" w:bidi="ar-SA"/>
              </w:rPr>
              <w:t>表3</w:t>
            </w:r>
            <w:r>
              <w:rPr>
                <w:rFonts w:hint="eastAsia" w:eastAsia="Times New Roman" w:cs="Times New Roman"/>
                <w:b/>
                <w:bCs/>
                <w:color w:val="auto"/>
                <w:kern w:val="2"/>
                <w:sz w:val="24"/>
                <w:szCs w:val="24"/>
                <w:lang w:val="en-US" w:eastAsia="zh-CN" w:bidi="ar-SA"/>
              </w:rPr>
              <w:t>-4</w:t>
            </w:r>
            <w:r>
              <w:rPr>
                <w:rFonts w:hint="default" w:ascii="Times New Roman" w:hAnsi="Times New Roman" w:eastAsia="Times New Roman" w:cs="Times New Roman"/>
                <w:b/>
                <w:bCs/>
                <w:color w:val="auto"/>
                <w:kern w:val="2"/>
                <w:sz w:val="24"/>
                <w:szCs w:val="24"/>
                <w:lang w:val="en-US" w:eastAsia="zh-CN" w:bidi="ar-SA"/>
              </w:rPr>
              <w:t xml:space="preserve"> </w:t>
            </w:r>
            <w:r>
              <w:rPr>
                <w:rFonts w:hint="default" w:ascii="Times New Roman" w:hAnsi="Times New Roman" w:eastAsia="宋体" w:cs="Times New Roman"/>
                <w:b/>
                <w:bCs/>
                <w:color w:val="auto"/>
                <w:sz w:val="24"/>
                <w:szCs w:val="24"/>
              </w:rPr>
              <w:t>现状监测统计结果一览表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1320"/>
              <w:gridCol w:w="945"/>
              <w:gridCol w:w="1140"/>
              <w:gridCol w:w="1388"/>
              <w:gridCol w:w="1015"/>
              <w:gridCol w:w="1094"/>
              <w:gridCol w:w="1094"/>
            </w:tblGrid>
            <w:tr w14:paraId="09027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22" w:type="dxa"/>
                  <w:noWrap w:val="0"/>
                  <w:vAlign w:val="center"/>
                </w:tcPr>
                <w:p w14:paraId="608ACE1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监测点位</w:t>
                  </w:r>
                </w:p>
              </w:tc>
              <w:tc>
                <w:tcPr>
                  <w:tcW w:w="1320" w:type="dxa"/>
                  <w:noWrap w:val="0"/>
                  <w:vAlign w:val="center"/>
                </w:tcPr>
                <w:p w14:paraId="7D93AE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监测项目</w:t>
                  </w:r>
                </w:p>
              </w:tc>
              <w:tc>
                <w:tcPr>
                  <w:tcW w:w="945" w:type="dxa"/>
                  <w:noWrap w:val="0"/>
                  <w:vAlign w:val="center"/>
                </w:tcPr>
                <w:p w14:paraId="2173A1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平均时</w:t>
                  </w:r>
                </w:p>
                <w:p w14:paraId="641CE52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间</w:t>
                  </w:r>
                </w:p>
              </w:tc>
              <w:tc>
                <w:tcPr>
                  <w:tcW w:w="1140" w:type="dxa"/>
                  <w:noWrap w:val="0"/>
                  <w:vAlign w:val="center"/>
                </w:tcPr>
                <w:p w14:paraId="1CC440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评价标准</w:t>
                  </w:r>
                </w:p>
                <w:p w14:paraId="290D30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w:t>
                  </w:r>
                  <w:r>
                    <w:rPr>
                      <w:rFonts w:hint="default" w:ascii="Times New Roman" w:hAnsi="Times New Roman" w:eastAsia="宋体" w:cs="Times New Roman"/>
                      <w:b/>
                      <w:bCs/>
                      <w:color w:val="auto"/>
                      <w:sz w:val="21"/>
                      <w:szCs w:val="21"/>
                      <w:vertAlign w:val="baseline"/>
                      <w:lang w:val="en-US" w:eastAsia="zh-CN"/>
                    </w:rPr>
                    <w:t>m</w:t>
                  </w:r>
                  <w:r>
                    <w:rPr>
                      <w:rFonts w:hint="default" w:ascii="Times New Roman" w:hAnsi="Times New Roman" w:eastAsia="宋体" w:cs="Times New Roman"/>
                      <w:b/>
                      <w:bCs/>
                      <w:color w:val="auto"/>
                      <w:sz w:val="21"/>
                      <w:szCs w:val="21"/>
                      <w:vertAlign w:val="baseline"/>
                    </w:rPr>
                    <w:t>g/m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vertAlign w:val="baseline"/>
                    </w:rPr>
                    <w:t>）</w:t>
                  </w:r>
                </w:p>
              </w:tc>
              <w:tc>
                <w:tcPr>
                  <w:tcW w:w="1388" w:type="dxa"/>
                  <w:noWrap w:val="0"/>
                  <w:vAlign w:val="center"/>
                </w:tcPr>
                <w:p w14:paraId="2CC8BD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监测浓度范围（</w:t>
                  </w:r>
                  <w:r>
                    <w:rPr>
                      <w:rFonts w:hint="default" w:ascii="Times New Roman" w:hAnsi="Times New Roman" w:eastAsia="宋体" w:cs="Times New Roman"/>
                      <w:b/>
                      <w:bCs/>
                      <w:color w:val="auto"/>
                      <w:sz w:val="21"/>
                      <w:szCs w:val="21"/>
                      <w:vertAlign w:val="baseline"/>
                      <w:lang w:val="en-US" w:eastAsia="zh-CN"/>
                    </w:rPr>
                    <w:t>m</w:t>
                  </w:r>
                  <w:r>
                    <w:rPr>
                      <w:rFonts w:hint="default" w:ascii="Times New Roman" w:hAnsi="Times New Roman" w:eastAsia="宋体" w:cs="Times New Roman"/>
                      <w:b/>
                      <w:bCs/>
                      <w:color w:val="auto"/>
                      <w:sz w:val="21"/>
                      <w:szCs w:val="21"/>
                      <w:vertAlign w:val="baseline"/>
                    </w:rPr>
                    <w:t>g/m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vertAlign w:val="baseline"/>
                    </w:rPr>
                    <w:t>）</w:t>
                  </w:r>
                </w:p>
              </w:tc>
              <w:tc>
                <w:tcPr>
                  <w:tcW w:w="1015" w:type="dxa"/>
                  <w:noWrap w:val="0"/>
                  <w:vAlign w:val="center"/>
                </w:tcPr>
                <w:p w14:paraId="4734FF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最大浓度占标率%</w:t>
                  </w:r>
                </w:p>
              </w:tc>
              <w:tc>
                <w:tcPr>
                  <w:tcW w:w="1094" w:type="dxa"/>
                  <w:noWrap w:val="0"/>
                  <w:vAlign w:val="center"/>
                </w:tcPr>
                <w:p w14:paraId="58426D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超标率%</w:t>
                  </w:r>
                </w:p>
              </w:tc>
              <w:tc>
                <w:tcPr>
                  <w:tcW w:w="1094" w:type="dxa"/>
                  <w:noWrap w:val="0"/>
                  <w:vAlign w:val="center"/>
                </w:tcPr>
                <w:p w14:paraId="1DE1AB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达标情况</w:t>
                  </w:r>
                </w:p>
              </w:tc>
            </w:tr>
            <w:tr w14:paraId="24085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22" w:type="dxa"/>
                  <w:vMerge w:val="restart"/>
                  <w:noWrap w:val="0"/>
                  <w:vAlign w:val="center"/>
                </w:tcPr>
                <w:p w14:paraId="7306D2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监测点A1</w:t>
                  </w:r>
                </w:p>
              </w:tc>
              <w:tc>
                <w:tcPr>
                  <w:tcW w:w="1320" w:type="dxa"/>
                  <w:noWrap w:val="0"/>
                  <w:vAlign w:val="center"/>
                </w:tcPr>
                <w:p w14:paraId="3A1CEA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rPr>
                    <w:t>TVOC</w:t>
                  </w:r>
                </w:p>
              </w:tc>
              <w:tc>
                <w:tcPr>
                  <w:tcW w:w="945" w:type="dxa"/>
                  <w:noWrap w:val="0"/>
                  <w:vAlign w:val="center"/>
                </w:tcPr>
                <w:p w14:paraId="10F026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8h平均</w:t>
                  </w:r>
                </w:p>
              </w:tc>
              <w:tc>
                <w:tcPr>
                  <w:tcW w:w="1140" w:type="dxa"/>
                  <w:noWrap w:val="0"/>
                  <w:vAlign w:val="center"/>
                </w:tcPr>
                <w:p w14:paraId="55BA92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w:t>
                  </w:r>
                  <w:r>
                    <w:rPr>
                      <w:rFonts w:hint="default" w:ascii="Times New Roman" w:hAnsi="Times New Roman" w:cs="Times New Roman"/>
                      <w:color w:val="auto"/>
                      <w:sz w:val="21"/>
                      <w:szCs w:val="21"/>
                      <w:vertAlign w:val="baseline"/>
                      <w:lang w:val="en-US" w:eastAsia="zh-CN"/>
                    </w:rPr>
                    <w:t>6</w:t>
                  </w:r>
                </w:p>
              </w:tc>
              <w:tc>
                <w:tcPr>
                  <w:tcW w:w="1388" w:type="dxa"/>
                  <w:noWrap w:val="0"/>
                  <w:vAlign w:val="center"/>
                </w:tcPr>
                <w:p w14:paraId="1347F2A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0.0521-0.086</w:t>
                  </w:r>
                </w:p>
              </w:tc>
              <w:tc>
                <w:tcPr>
                  <w:tcW w:w="1015" w:type="dxa"/>
                  <w:noWrap w:val="0"/>
                  <w:vAlign w:val="center"/>
                </w:tcPr>
                <w:p w14:paraId="38D9FE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14.3</w:t>
                  </w:r>
                </w:p>
              </w:tc>
              <w:tc>
                <w:tcPr>
                  <w:tcW w:w="1094" w:type="dxa"/>
                  <w:noWrap w:val="0"/>
                  <w:vAlign w:val="center"/>
                </w:tcPr>
                <w:p w14:paraId="11EB21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w:t>
                  </w:r>
                </w:p>
              </w:tc>
              <w:tc>
                <w:tcPr>
                  <w:tcW w:w="1094" w:type="dxa"/>
                  <w:noWrap w:val="0"/>
                  <w:vAlign w:val="center"/>
                </w:tcPr>
                <w:p w14:paraId="286DF6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达标</w:t>
                  </w:r>
                </w:p>
              </w:tc>
            </w:tr>
            <w:tr w14:paraId="14A14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22" w:type="dxa"/>
                  <w:vMerge w:val="continue"/>
                  <w:noWrap w:val="0"/>
                  <w:vAlign w:val="center"/>
                </w:tcPr>
                <w:p w14:paraId="1A85EC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rPr>
                  </w:pPr>
                </w:p>
              </w:tc>
              <w:tc>
                <w:tcPr>
                  <w:tcW w:w="1320" w:type="dxa"/>
                  <w:noWrap w:val="0"/>
                  <w:vAlign w:val="center"/>
                </w:tcPr>
                <w:p w14:paraId="742C52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rPr>
                    <w:t>TSP</w:t>
                  </w:r>
                </w:p>
              </w:tc>
              <w:tc>
                <w:tcPr>
                  <w:tcW w:w="945" w:type="dxa"/>
                  <w:noWrap w:val="0"/>
                  <w:vAlign w:val="center"/>
                </w:tcPr>
                <w:p w14:paraId="46B531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日平均</w:t>
                  </w:r>
                </w:p>
              </w:tc>
              <w:tc>
                <w:tcPr>
                  <w:tcW w:w="1140" w:type="dxa"/>
                  <w:noWrap w:val="0"/>
                  <w:vAlign w:val="center"/>
                </w:tcPr>
                <w:p w14:paraId="2811BB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0.3</w:t>
                  </w:r>
                </w:p>
              </w:tc>
              <w:tc>
                <w:tcPr>
                  <w:tcW w:w="1388" w:type="dxa"/>
                  <w:noWrap w:val="0"/>
                  <w:vAlign w:val="center"/>
                </w:tcPr>
                <w:p w14:paraId="5C44F8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0.161-0.165</w:t>
                  </w:r>
                </w:p>
              </w:tc>
              <w:tc>
                <w:tcPr>
                  <w:tcW w:w="1015" w:type="dxa"/>
                  <w:noWrap w:val="0"/>
                  <w:vAlign w:val="center"/>
                </w:tcPr>
                <w:p w14:paraId="40F69C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55</w:t>
                  </w:r>
                </w:p>
              </w:tc>
              <w:tc>
                <w:tcPr>
                  <w:tcW w:w="1094" w:type="dxa"/>
                  <w:noWrap w:val="0"/>
                  <w:vAlign w:val="center"/>
                </w:tcPr>
                <w:p w14:paraId="1401E6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w:t>
                  </w:r>
                </w:p>
              </w:tc>
              <w:tc>
                <w:tcPr>
                  <w:tcW w:w="1094" w:type="dxa"/>
                  <w:noWrap w:val="0"/>
                  <w:vAlign w:val="center"/>
                </w:tcPr>
                <w:p w14:paraId="6B394C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lang w:val="en-US" w:eastAsia="zh-CN"/>
                    </w:rPr>
                    <w:t>达标</w:t>
                  </w:r>
                </w:p>
              </w:tc>
            </w:tr>
            <w:tr w14:paraId="31BE8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22" w:type="dxa"/>
                  <w:vMerge w:val="continue"/>
                  <w:noWrap w:val="0"/>
                  <w:vAlign w:val="center"/>
                </w:tcPr>
                <w:p w14:paraId="299650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rPr>
                  </w:pPr>
                </w:p>
              </w:tc>
              <w:tc>
                <w:tcPr>
                  <w:tcW w:w="1320" w:type="dxa"/>
                  <w:noWrap w:val="0"/>
                  <w:vAlign w:val="center"/>
                </w:tcPr>
                <w:p w14:paraId="3A19F6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非甲烷总烃</w:t>
                  </w:r>
                </w:p>
              </w:tc>
              <w:tc>
                <w:tcPr>
                  <w:tcW w:w="945" w:type="dxa"/>
                  <w:noWrap w:val="0"/>
                  <w:vAlign w:val="center"/>
                </w:tcPr>
                <w:p w14:paraId="16B4A1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1h平均</w:t>
                  </w:r>
                </w:p>
              </w:tc>
              <w:tc>
                <w:tcPr>
                  <w:tcW w:w="1140" w:type="dxa"/>
                  <w:noWrap w:val="0"/>
                  <w:vAlign w:val="center"/>
                </w:tcPr>
                <w:p w14:paraId="6F26AC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2</w:t>
                  </w:r>
                </w:p>
              </w:tc>
              <w:tc>
                <w:tcPr>
                  <w:tcW w:w="1388" w:type="dxa"/>
                  <w:noWrap w:val="0"/>
                  <w:vAlign w:val="center"/>
                </w:tcPr>
                <w:p w14:paraId="7CA87E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1.05-1.14</w:t>
                  </w:r>
                </w:p>
              </w:tc>
              <w:tc>
                <w:tcPr>
                  <w:tcW w:w="1015" w:type="dxa"/>
                  <w:noWrap w:val="0"/>
                  <w:vAlign w:val="center"/>
                </w:tcPr>
                <w:p w14:paraId="0A24D0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57</w:t>
                  </w:r>
                </w:p>
              </w:tc>
              <w:tc>
                <w:tcPr>
                  <w:tcW w:w="1094" w:type="dxa"/>
                  <w:noWrap w:val="0"/>
                  <w:vAlign w:val="center"/>
                </w:tcPr>
                <w:p w14:paraId="0D8CE3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0</w:t>
                  </w:r>
                </w:p>
              </w:tc>
              <w:tc>
                <w:tcPr>
                  <w:tcW w:w="1094" w:type="dxa"/>
                  <w:noWrap w:val="0"/>
                  <w:vAlign w:val="center"/>
                </w:tcPr>
                <w:p w14:paraId="2AB89E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eastAsia="宋体" w:cs="Times New Roman"/>
                      <w:color w:val="auto"/>
                      <w:sz w:val="21"/>
                      <w:szCs w:val="21"/>
                      <w:vertAlign w:val="baseline"/>
                      <w:lang w:val="en-US" w:eastAsia="zh-CN"/>
                    </w:rPr>
                    <w:t>达标</w:t>
                  </w:r>
                </w:p>
              </w:tc>
            </w:tr>
          </w:tbl>
          <w:p w14:paraId="2EDE361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color w:val="auto"/>
                <w:lang w:eastAsia="zh-CN"/>
              </w:rPr>
            </w:pPr>
            <w:r>
              <w:rPr>
                <w:color w:val="auto"/>
                <w:sz w:val="21"/>
              </w:rPr>
              <mc:AlternateContent>
                <mc:Choice Requires="wps">
                  <w:drawing>
                    <wp:anchor distT="0" distB="0" distL="114300" distR="114300" simplePos="0" relativeHeight="251675648" behindDoc="0" locked="0" layoutInCell="1" allowOverlap="1">
                      <wp:simplePos x="0" y="0"/>
                      <wp:positionH relativeFrom="column">
                        <wp:posOffset>4119880</wp:posOffset>
                      </wp:positionH>
                      <wp:positionV relativeFrom="paragraph">
                        <wp:posOffset>1226820</wp:posOffset>
                      </wp:positionV>
                      <wp:extent cx="828675" cy="276225"/>
                      <wp:effectExtent l="4445" t="385445" r="81280" b="5080"/>
                      <wp:wrapNone/>
                      <wp:docPr id="4" name="矩形标注 4"/>
                      <wp:cNvGraphicFramePr/>
                      <a:graphic xmlns:a="http://schemas.openxmlformats.org/drawingml/2006/main">
                        <a:graphicData uri="http://schemas.microsoft.com/office/word/2010/wordprocessingShape">
                          <wps:wsp>
                            <wps:cNvSpPr/>
                            <wps:spPr>
                              <a:xfrm>
                                <a:off x="0" y="0"/>
                                <a:ext cx="828675" cy="276225"/>
                              </a:xfrm>
                              <a:prstGeom prst="wedgeRectCallout">
                                <a:avLst>
                                  <a:gd name="adj1" fmla="val 56130"/>
                                  <a:gd name="adj2" fmla="val -181724"/>
                                </a:avLst>
                              </a:prstGeom>
                              <a:solidFill>
                                <a:srgbClr val="FFFFFF"/>
                              </a:solidFill>
                              <a:ln w="9525" cap="flat" cmpd="sng">
                                <a:solidFill>
                                  <a:srgbClr val="000000"/>
                                </a:solidFill>
                                <a:prstDash val="solid"/>
                                <a:miter/>
                                <a:headEnd type="none" w="med" len="med"/>
                                <a:tailEnd type="none" w="med" len="med"/>
                              </a:ln>
                            </wps:spPr>
                            <wps:txbx>
                              <w:txbxContent>
                                <w:p w14:paraId="555082E9">
                                  <w:pPr>
                                    <w:ind w:left="0" w:leftChars="0" w:firstLine="0" w:firstLineChars="0"/>
                                    <w:jc w:val="center"/>
                                    <w:rPr>
                                      <w:rFonts w:hint="default" w:eastAsia="宋体"/>
                                      <w:b/>
                                      <w:bCs/>
                                      <w:lang w:val="en-US" w:eastAsia="zh-CN"/>
                                    </w:rPr>
                                  </w:pPr>
                                  <w:r>
                                    <w:rPr>
                                      <w:rFonts w:hint="eastAsia" w:eastAsia="宋体"/>
                                      <w:b/>
                                      <w:bCs/>
                                      <w:lang w:val="en-US" w:eastAsia="zh-CN"/>
                                    </w:rPr>
                                    <w:t>引用点位</w:t>
                                  </w:r>
                                </w:p>
                              </w:txbxContent>
                            </wps:txbx>
                            <wps:bodyPr upright="1"/>
                          </wps:wsp>
                        </a:graphicData>
                      </a:graphic>
                    </wp:anchor>
                  </w:drawing>
                </mc:Choice>
                <mc:Fallback>
                  <w:pict>
                    <v:shape id="_x0000_s1026" o:spid="_x0000_s1026" o:spt="61" type="#_x0000_t61" style="position:absolute;left:0pt;margin-left:324.4pt;margin-top:96.6pt;height:21.75pt;width:65.25pt;z-index:251675648;mso-width-relative:page;mso-height-relative:page;" fillcolor="#FFFFFF" filled="t" stroked="t" coordsize="21600,21600" o:gfxdata="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Bi/GJHaAAAACwEAAA8AAAAAAAAAAQAgAAAAIgAAAGRycy9k&#10;b3ducmV2LnhtbFBLAQIUABQAAAAIAIdO4kDxg9pgOQIAAI0EAAAOAAAAAAAAAAEAIAAAACkBAABk&#10;cnMvZTJvRG9jLnhtbFBLBQYAAAAABgAGAFkBAADUBQAAAAA=&#10;" adj="22924,-28452">
                      <v:fill on="t" focussize="0,0"/>
                      <v:stroke color="#000000" joinstyle="miter"/>
                      <v:imagedata o:title=""/>
                      <o:lock v:ext="edit" aspectratio="f"/>
                      <v:textbox>
                        <w:txbxContent>
                          <w:p w14:paraId="555082E9">
                            <w:pPr>
                              <w:ind w:left="0" w:leftChars="0" w:firstLine="0" w:firstLineChars="0"/>
                              <w:jc w:val="center"/>
                              <w:rPr>
                                <w:rFonts w:hint="default" w:eastAsia="宋体"/>
                                <w:b/>
                                <w:bCs/>
                                <w:lang w:val="en-US" w:eastAsia="zh-CN"/>
                              </w:rPr>
                            </w:pPr>
                            <w:r>
                              <w:rPr>
                                <w:rFonts w:hint="eastAsia" w:eastAsia="宋体"/>
                                <w:b/>
                                <w:bCs/>
                                <w:lang w:val="en-US" w:eastAsia="zh-CN"/>
                              </w:rPr>
                              <w:t>引用点位</w:t>
                            </w:r>
                          </w:p>
                        </w:txbxContent>
                      </v:textbox>
                    </v:shape>
                  </w:pict>
                </mc:Fallback>
              </mc:AlternateContent>
            </w:r>
            <w:r>
              <w:rPr>
                <w:color w:val="auto"/>
                <w:sz w:val="21"/>
              </w:rPr>
              <mc:AlternateContent>
                <mc:Choice Requires="wps">
                  <w:drawing>
                    <wp:anchor distT="0" distB="0" distL="114300" distR="114300" simplePos="0" relativeHeight="251674624" behindDoc="0" locked="0" layoutInCell="1" allowOverlap="1">
                      <wp:simplePos x="0" y="0"/>
                      <wp:positionH relativeFrom="column">
                        <wp:posOffset>605155</wp:posOffset>
                      </wp:positionH>
                      <wp:positionV relativeFrom="paragraph">
                        <wp:posOffset>1687195</wp:posOffset>
                      </wp:positionV>
                      <wp:extent cx="838200" cy="276225"/>
                      <wp:effectExtent l="5080" t="273685" r="13970" b="21590"/>
                      <wp:wrapNone/>
                      <wp:docPr id="10" name="矩形标注 10"/>
                      <wp:cNvGraphicFramePr/>
                      <a:graphic xmlns:a="http://schemas.openxmlformats.org/drawingml/2006/main">
                        <a:graphicData uri="http://schemas.microsoft.com/office/word/2010/wordprocessingShape">
                          <wps:wsp>
                            <wps:cNvSpPr/>
                            <wps:spPr>
                              <a:xfrm>
                                <a:off x="0" y="0"/>
                                <a:ext cx="838200" cy="276225"/>
                              </a:xfrm>
                              <a:prstGeom prst="wedgeRectCallout">
                                <a:avLst>
                                  <a:gd name="adj1" fmla="val 1111"/>
                                  <a:gd name="adj2" fmla="val -143793"/>
                                </a:avLst>
                              </a:prstGeom>
                              <a:solidFill>
                                <a:srgbClr val="FFFFFF"/>
                              </a:solidFill>
                              <a:ln w="9525" cap="flat" cmpd="sng">
                                <a:solidFill>
                                  <a:srgbClr val="000000"/>
                                </a:solidFill>
                                <a:prstDash val="solid"/>
                                <a:miter/>
                                <a:headEnd type="none" w="med" len="med"/>
                                <a:tailEnd type="none" w="med" len="med"/>
                              </a:ln>
                            </wps:spPr>
                            <wps:txbx>
                              <w:txbxContent>
                                <w:p w14:paraId="31AB9EA4">
                                  <w:pPr>
                                    <w:ind w:left="0" w:leftChars="0" w:firstLine="0" w:firstLineChars="0"/>
                                    <w:jc w:val="center"/>
                                    <w:rPr>
                                      <w:rFonts w:hint="default" w:eastAsia="宋体"/>
                                      <w:b/>
                                      <w:bCs/>
                                      <w:lang w:val="en-US" w:eastAsia="zh-CN"/>
                                    </w:rPr>
                                  </w:pPr>
                                  <w:r>
                                    <w:rPr>
                                      <w:rFonts w:hint="eastAsia"/>
                                      <w:b/>
                                      <w:bCs/>
                                      <w:lang w:val="en-US" w:eastAsia="zh-CN"/>
                                    </w:rPr>
                                    <w:t>项目位置</w:t>
                                  </w:r>
                                </w:p>
                              </w:txbxContent>
                            </wps:txbx>
                            <wps:bodyPr upright="1"/>
                          </wps:wsp>
                        </a:graphicData>
                      </a:graphic>
                    </wp:anchor>
                  </w:drawing>
                </mc:Choice>
                <mc:Fallback>
                  <w:pict>
                    <v:shape id="_x0000_s1026" o:spid="_x0000_s1026" o:spt="61" type="#_x0000_t61" style="position:absolute;left:0pt;margin-left:47.65pt;margin-top:132.85pt;height:21.75pt;width:66pt;z-index:251674624;mso-width-relative:page;mso-height-relative:page;" fillcolor="#FFFFFF" filled="t" stroked="t" coordsize="21600,21600" o:gfxdata="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KHVVy/bAAAACgEAAA8AAAAAAAAAAQAgAAAAIgAAAGRycy9kb3du&#10;cmV2LnhtbFBLAQIUABQAAAAIAIdO4kBGDftRNQIAAI4EAAAOAAAAAAAAAAEAIAAAACoBAABkcnMv&#10;ZTJvRG9jLnhtbFBLBQYAAAAABgAGAFkBAADRBQAAAAA=&#10;" adj="11040,-20259">
                      <v:fill on="t" focussize="0,0"/>
                      <v:stroke color="#000000" joinstyle="miter"/>
                      <v:imagedata o:title=""/>
                      <o:lock v:ext="edit" aspectratio="f"/>
                      <v:textbox>
                        <w:txbxContent>
                          <w:p w14:paraId="31AB9EA4">
                            <w:pPr>
                              <w:ind w:left="0" w:leftChars="0" w:firstLine="0" w:firstLineChars="0"/>
                              <w:jc w:val="center"/>
                              <w:rPr>
                                <w:rFonts w:hint="default" w:eastAsia="宋体"/>
                                <w:b/>
                                <w:bCs/>
                                <w:lang w:val="en-US" w:eastAsia="zh-CN"/>
                              </w:rPr>
                            </w:pPr>
                            <w:r>
                              <w:rPr>
                                <w:rFonts w:hint="eastAsia"/>
                                <w:b/>
                                <w:bCs/>
                                <w:lang w:val="en-US" w:eastAsia="zh-CN"/>
                              </w:rPr>
                              <w:t>项目位置</w:t>
                            </w:r>
                          </w:p>
                        </w:txbxContent>
                      </v:textbox>
                    </v:shape>
                  </w:pict>
                </mc:Fallback>
              </mc:AlternateContent>
            </w:r>
            <w:r>
              <w:rPr>
                <w:color w:val="auto"/>
              </w:rPr>
              <w:drawing>
                <wp:anchor distT="0" distB="0" distL="114300" distR="114300" simplePos="0" relativeHeight="251672576" behindDoc="0" locked="0" layoutInCell="1" allowOverlap="1">
                  <wp:simplePos x="0" y="0"/>
                  <wp:positionH relativeFrom="column">
                    <wp:posOffset>243840</wp:posOffset>
                  </wp:positionH>
                  <wp:positionV relativeFrom="paragraph">
                    <wp:posOffset>1270</wp:posOffset>
                  </wp:positionV>
                  <wp:extent cx="614680" cy="556260"/>
                  <wp:effectExtent l="9525" t="9525" r="23495" b="24765"/>
                  <wp:wrapNone/>
                  <wp:docPr id="1" name="图片 97" descr="565ee433d17bdd5fe0bbe10f9802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7" descr="565ee433d17bdd5fe0bbe10f9802366"/>
                          <pic:cNvPicPr>
                            <a:picLocks noChangeAspect="1"/>
                          </pic:cNvPicPr>
                        </pic:nvPicPr>
                        <pic:blipFill>
                          <a:blip r:embed="rId28"/>
                          <a:stretch>
                            <a:fillRect/>
                          </a:stretch>
                        </pic:blipFill>
                        <pic:spPr>
                          <a:xfrm>
                            <a:off x="0" y="0"/>
                            <a:ext cx="614680" cy="556260"/>
                          </a:xfrm>
                          <a:prstGeom prst="rect">
                            <a:avLst/>
                          </a:prstGeom>
                          <a:noFill/>
                          <a:ln w="9525" cap="flat" cmpd="sng">
                            <a:solidFill>
                              <a:srgbClr val="000000"/>
                            </a:solidFill>
                            <a:prstDash val="solid"/>
                            <a:miter/>
                            <a:headEnd type="none" w="med" len="med"/>
                            <a:tailEnd type="none" w="med" len="med"/>
                          </a:ln>
                        </pic:spPr>
                      </pic:pic>
                    </a:graphicData>
                  </a:graphic>
                </wp:anchor>
              </w:drawing>
            </w:r>
            <w:r>
              <w:drawing>
                <wp:inline distT="0" distB="0" distL="114300" distR="114300">
                  <wp:extent cx="5158740" cy="2727325"/>
                  <wp:effectExtent l="0" t="0" r="3810" b="15875"/>
                  <wp:docPr id="9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6"/>
                          <pic:cNvPicPr>
                            <a:picLocks noChangeAspect="1"/>
                          </pic:cNvPicPr>
                        </pic:nvPicPr>
                        <pic:blipFill>
                          <a:blip r:embed="rId29"/>
                          <a:stretch>
                            <a:fillRect/>
                          </a:stretch>
                        </pic:blipFill>
                        <pic:spPr>
                          <a:xfrm>
                            <a:off x="0" y="0"/>
                            <a:ext cx="5158740" cy="2727325"/>
                          </a:xfrm>
                          <a:prstGeom prst="rect">
                            <a:avLst/>
                          </a:prstGeom>
                          <a:noFill/>
                          <a:ln>
                            <a:noFill/>
                          </a:ln>
                        </pic:spPr>
                      </pic:pic>
                    </a:graphicData>
                  </a:graphic>
                </wp:inline>
              </w:drawing>
            </w:r>
            <w:r>
              <w:rPr>
                <w:color w:val="auto"/>
                <w:sz w:val="21"/>
              </w:rPr>
              <mc:AlternateContent>
                <mc:Choice Requires="wps">
                  <w:drawing>
                    <wp:anchor distT="0" distB="0" distL="114300" distR="114300" simplePos="0" relativeHeight="251673600" behindDoc="0" locked="0" layoutInCell="1" allowOverlap="1">
                      <wp:simplePos x="0" y="0"/>
                      <wp:positionH relativeFrom="column">
                        <wp:posOffset>2567305</wp:posOffset>
                      </wp:positionH>
                      <wp:positionV relativeFrom="paragraph">
                        <wp:posOffset>1353820</wp:posOffset>
                      </wp:positionV>
                      <wp:extent cx="733425" cy="46672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733425" cy="466725"/>
                              </a:xfrm>
                              <a:prstGeom prst="rect">
                                <a:avLst/>
                              </a:prstGeom>
                              <a:noFill/>
                              <a:ln>
                                <a:noFill/>
                              </a:ln>
                            </wps:spPr>
                            <wps:txbx>
                              <w:txbxContent>
                                <w:p w14:paraId="0DC25F11">
                                  <w:pPr>
                                    <w:rPr>
                                      <w:rFonts w:hint="default" w:eastAsia="宋体"/>
                                      <w:b/>
                                      <w:bCs/>
                                      <w:color w:val="FFFF00"/>
                                      <w:lang w:val="en-US" w:eastAsia="zh-CN"/>
                                    </w:rPr>
                                  </w:pPr>
                                  <w:r>
                                    <w:rPr>
                                      <w:rFonts w:hint="eastAsia"/>
                                      <w:b/>
                                      <w:bCs/>
                                      <w:color w:val="FFFF00"/>
                                      <w:lang w:val="en-US" w:eastAsia="zh-CN"/>
                                    </w:rPr>
                                    <w:t>1km</w:t>
                                  </w:r>
                                </w:p>
                              </w:txbxContent>
                            </wps:txbx>
                            <wps:bodyPr upright="1"/>
                          </wps:wsp>
                        </a:graphicData>
                      </a:graphic>
                    </wp:anchor>
                  </w:drawing>
                </mc:Choice>
                <mc:Fallback>
                  <w:pict>
                    <v:shape id="_x0000_s1026" o:spid="_x0000_s1026" o:spt="202" type="#_x0000_t202" style="position:absolute;left:0pt;margin-left:202.15pt;margin-top:106.6pt;height:36.75pt;width:57.75pt;z-index:251673600;mso-width-relative:page;mso-height-relative:page;" filled="f" stroked="f" coordsize="21600,21600" o:gfxdata="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xmQMnZ&#10;AAAACwEAAA8AAAAAAAAAAQAgAAAAIgAAAGRycy9kb3ducmV2LnhtbFBLAQIUABQAAAAIAIdO4kBz&#10;Z5pErQEAAE8DAAAOAAAAAAAAAAEAIAAAACgBAABkcnMvZTJvRG9jLnhtbFBLBQYAAAAABgAGAFkB&#10;AABHBQAAAAA=&#10;">
                      <v:fill on="f" focussize="0,0"/>
                      <v:stroke on="f"/>
                      <v:imagedata o:title=""/>
                      <o:lock v:ext="edit" aspectratio="f"/>
                      <v:textbox>
                        <w:txbxContent>
                          <w:p w14:paraId="0DC25F11">
                            <w:pPr>
                              <w:rPr>
                                <w:rFonts w:hint="default" w:eastAsia="宋体"/>
                                <w:b/>
                                <w:bCs/>
                                <w:color w:val="FFFF00"/>
                                <w:lang w:val="en-US" w:eastAsia="zh-CN"/>
                              </w:rPr>
                            </w:pPr>
                            <w:r>
                              <w:rPr>
                                <w:rFonts w:hint="eastAsia"/>
                                <w:b/>
                                <w:bCs/>
                                <w:color w:val="FFFF00"/>
                                <w:lang w:val="en-US" w:eastAsia="zh-CN"/>
                              </w:rPr>
                              <w:t>1km</w:t>
                            </w:r>
                          </w:p>
                        </w:txbxContent>
                      </v:textbox>
                    </v:shape>
                  </w:pict>
                </mc:Fallback>
              </mc:AlternateContent>
            </w:r>
          </w:p>
          <w:p w14:paraId="3460E0D1">
            <w:pPr>
              <w:numPr>
                <w:ilvl w:val="0"/>
                <w:numId w:val="0"/>
              </w:numPr>
              <w:tabs>
                <w:tab w:val="left" w:pos="9360"/>
              </w:tabs>
              <w:adjustRightInd/>
              <w:snapToGrid/>
              <w:spacing w:line="360" w:lineRule="auto"/>
              <w:ind w:left="0" w:leftChars="0" w:firstLine="420" w:firstLineChars="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kern w:val="2"/>
                <w:sz w:val="18"/>
                <w:szCs w:val="18"/>
                <w:lang w:val="en-US" w:eastAsia="zh-CN" w:bidi="ar-SA"/>
              </w:rPr>
              <w:t>图</w:t>
            </w:r>
            <w:r>
              <w:rPr>
                <w:rFonts w:hint="eastAsia" w:eastAsia="宋体" w:cs="Times New Roman"/>
                <w:b/>
                <w:bCs/>
                <w:color w:val="auto"/>
                <w:kern w:val="2"/>
                <w:sz w:val="18"/>
                <w:szCs w:val="18"/>
                <w:lang w:val="en-US" w:eastAsia="zh-CN" w:bidi="ar-SA"/>
              </w:rPr>
              <w:t>6</w:t>
            </w:r>
            <w:r>
              <w:rPr>
                <w:rFonts w:hint="eastAsia" w:ascii="Times New Roman" w:hAnsi="Times New Roman" w:eastAsia="宋体" w:cs="Times New Roman"/>
                <w:b/>
                <w:bCs/>
                <w:color w:val="auto"/>
                <w:sz w:val="18"/>
                <w:szCs w:val="18"/>
                <w:highlight w:val="none"/>
                <w:lang w:val="en-US" w:eastAsia="zh-CN"/>
              </w:rPr>
              <w:t xml:space="preserve"> </w:t>
            </w:r>
            <w:r>
              <w:rPr>
                <w:rFonts w:hint="default" w:ascii="Times New Roman" w:hAnsi="Times New Roman" w:eastAsia="宋体" w:cs="Times New Roman"/>
                <w:b/>
                <w:bCs/>
                <w:color w:val="auto"/>
                <w:sz w:val="18"/>
                <w:szCs w:val="18"/>
                <w:highlight w:val="none"/>
              </w:rPr>
              <w:t>引用监测点位与本项目位置图</w:t>
            </w:r>
          </w:p>
          <w:p w14:paraId="65062473">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由补充监测结果可知，监测期间评价区内TVOC能够满足《环境影响评价技术导则大气环境》（HJ2.2-2018）附录D、TSP满足《环境空气质量标准》（GB3095-2012）中的二级标准及其2018年修改单，非甲烷总烃达到《大气污染物综合排放标准详解》相关标准，项目所在区域环境质量良好。项目所在区域大气环境质量现状良好。</w:t>
            </w:r>
          </w:p>
          <w:p w14:paraId="44D195EF">
            <w:pPr>
              <w:ind w:firstLine="480" w:firstLineChars="200"/>
              <w:rPr>
                <w:rFonts w:hint="default" w:ascii="Times New Roman" w:hAnsi="Times New Roman" w:cs="Times New Roman"/>
                <w:color w:val="auto"/>
              </w:rPr>
            </w:pPr>
            <w:r>
              <w:rPr>
                <w:rFonts w:hint="default" w:ascii="Times New Roman" w:hAnsi="Times New Roman" w:cs="Times New Roman"/>
                <w:color w:val="auto"/>
                <w:szCs w:val="22"/>
              </w:rPr>
              <w:t>综上所述，根据《202</w:t>
            </w:r>
            <w:r>
              <w:rPr>
                <w:rFonts w:hint="eastAsia" w:cs="Times New Roman"/>
                <w:color w:val="auto"/>
                <w:szCs w:val="22"/>
                <w:lang w:val="en-US" w:eastAsia="zh-CN"/>
              </w:rPr>
              <w:t>4</w:t>
            </w:r>
            <w:r>
              <w:rPr>
                <w:rFonts w:hint="default" w:ascii="Times New Roman" w:hAnsi="Times New Roman" w:cs="Times New Roman"/>
                <w:color w:val="auto"/>
                <w:szCs w:val="22"/>
              </w:rPr>
              <w:t>年惠州市生态环境状况公报》资料显示，项目所在地环境质量各因子可达到《环境空气质量标准》（GB3095-2012）及其修改单中的二级标准浓度限值，博罗县环境空气质量保持稳定达标，项目所在区域环境质量现状良好，属于达标区。</w:t>
            </w:r>
          </w:p>
          <w:p w14:paraId="4F1CC377">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（3）声环境质量现状</w:t>
            </w:r>
          </w:p>
          <w:p w14:paraId="08E28C8B">
            <w:pPr>
              <w:ind w:firstLine="480"/>
              <w:rPr>
                <w:rFonts w:hint="default" w:ascii="Times New Roman" w:hAnsi="Times New Roman" w:cs="Times New Roman"/>
                <w:color w:val="auto"/>
                <w:szCs w:val="22"/>
              </w:rPr>
            </w:pPr>
            <w:r>
              <w:rPr>
                <w:rFonts w:asciiTheme="majorBidi" w:hAnsiTheme="majorBidi" w:eastAsiaTheme="minorEastAsia" w:cstheme="majorBidi"/>
                <w:color w:val="000000" w:themeColor="text1"/>
                <w:szCs w:val="21"/>
                <w14:textFill>
                  <w14:solidFill>
                    <w14:schemeClr w14:val="tx1"/>
                  </w14:solidFill>
                </w14:textFill>
              </w:rPr>
              <w:t>本项目厂界外周边50米范围内不存在声环境保护目标，无需监测声环境质量现状</w:t>
            </w:r>
            <w:r>
              <w:rPr>
                <w:rFonts w:hint="default" w:ascii="Times New Roman" w:hAnsi="Times New Roman" w:cs="Times New Roman"/>
                <w:color w:val="auto"/>
                <w:szCs w:val="22"/>
              </w:rPr>
              <w:t>。</w:t>
            </w:r>
          </w:p>
          <w:p w14:paraId="01C01B51">
            <w:pPr>
              <w:wordWrap/>
              <w:ind w:firstLine="482" w:firstLineChars="200"/>
              <w:rPr>
                <w:rFonts w:hint="default" w:ascii="Times New Roman" w:hAnsi="Times New Roman" w:cs="Times New Roman"/>
                <w:color w:val="auto"/>
              </w:rPr>
            </w:pPr>
            <w:r>
              <w:rPr>
                <w:rFonts w:hint="default" w:ascii="Times New Roman" w:hAnsi="Times New Roman" w:cs="Times New Roman"/>
                <w:b/>
                <w:bCs/>
                <w:color w:val="auto"/>
              </w:rPr>
              <w:t>（4）生态环境质量现状</w:t>
            </w:r>
          </w:p>
          <w:p w14:paraId="6F012F87">
            <w:pPr>
              <w:wordWrap/>
              <w:ind w:firstLine="480" w:firstLineChars="200"/>
              <w:rPr>
                <w:rFonts w:hint="default" w:ascii="Times New Roman" w:hAnsi="Times New Roman" w:cs="Times New Roman"/>
                <w:color w:val="auto"/>
              </w:rPr>
            </w:pPr>
            <w:r>
              <w:rPr>
                <w:rFonts w:hint="default" w:ascii="Times New Roman" w:hAnsi="Times New Roman" w:cs="Times New Roman"/>
                <w:color w:val="auto"/>
              </w:rPr>
              <w:t>项目</w:t>
            </w:r>
            <w:r>
              <w:rPr>
                <w:rFonts w:hint="default" w:ascii="Times New Roman" w:hAnsi="Times New Roman" w:cs="Times New Roman"/>
                <w:color w:val="auto"/>
                <w:lang w:val="en-US" w:eastAsia="zh-CN"/>
              </w:rPr>
              <w:t>购买已建厂房</w:t>
            </w:r>
            <w:r>
              <w:rPr>
                <w:rFonts w:hint="default" w:ascii="Times New Roman" w:hAnsi="Times New Roman" w:cs="Times New Roman"/>
                <w:color w:val="auto"/>
              </w:rPr>
              <w:t>进行建设，无新增用地，无需进行生态环境质量现状调查。</w:t>
            </w:r>
          </w:p>
          <w:p w14:paraId="7159D8F4">
            <w:pPr>
              <w:wordWrap/>
              <w:ind w:firstLine="482" w:firstLineChars="200"/>
              <w:rPr>
                <w:rFonts w:hint="default" w:ascii="Times New Roman" w:hAnsi="Times New Roman" w:cs="Times New Roman"/>
                <w:color w:val="auto"/>
              </w:rPr>
            </w:pPr>
            <w:r>
              <w:rPr>
                <w:rFonts w:hint="default" w:ascii="Times New Roman" w:hAnsi="Times New Roman" w:cs="Times New Roman"/>
                <w:b/>
                <w:bCs/>
                <w:color w:val="auto"/>
              </w:rPr>
              <w:t>（5）地下水、土壤环境</w:t>
            </w:r>
          </w:p>
          <w:p w14:paraId="06E44CC1">
            <w:pPr>
              <w:adjustRightInd w:val="0"/>
              <w:snapToGrid w:val="0"/>
              <w:ind w:firstLine="480" w:firstLineChars="200"/>
              <w:rPr>
                <w:rFonts w:hint="default" w:ascii="Times New Roman" w:hAnsi="Times New Roman" w:cs="Times New Roman"/>
                <w:color w:val="auto"/>
                <w:kern w:val="0"/>
                <w:szCs w:val="21"/>
              </w:rPr>
            </w:pPr>
            <w:r>
              <w:rPr>
                <w:rFonts w:hint="default" w:ascii="Times New Roman" w:hAnsi="Times New Roman" w:cs="Times New Roman"/>
                <w:color w:val="auto"/>
              </w:rPr>
              <w:t>项目从事</w:t>
            </w:r>
            <w:r>
              <w:rPr>
                <w:rFonts w:hint="default" w:ascii="Times New Roman" w:hAnsi="Times New Roman" w:cs="Times New Roman"/>
                <w:color w:val="auto"/>
                <w:lang w:val="en-US" w:eastAsia="zh-CN"/>
              </w:rPr>
              <w:t>硅胶制品和模具</w:t>
            </w:r>
            <w:r>
              <w:rPr>
                <w:rFonts w:hint="default" w:ascii="Times New Roman" w:hAnsi="Times New Roman" w:cs="Times New Roman"/>
                <w:color w:val="auto"/>
              </w:rPr>
              <w:t>的生产，用地范围内进行硬化，不存在土壤、地下水污染途径，因此不需开展地下水及土壤环境质量现状调查。</w:t>
            </w:r>
          </w:p>
        </w:tc>
      </w:tr>
      <w:tr w14:paraId="380993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51" w:hRule="atLeast"/>
          <w:jc w:val="center"/>
        </w:trPr>
        <w:tc>
          <w:tcPr>
            <w:tcW w:w="456" w:type="dxa"/>
            <w:tcBorders>
              <w:top w:val="single" w:color="auto" w:sz="4" w:space="0"/>
            </w:tcBorders>
            <w:vAlign w:val="center"/>
          </w:tcPr>
          <w:p w14:paraId="16F57BE5">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w:t>
            </w:r>
          </w:p>
          <w:p w14:paraId="0ED57B59">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保护</w:t>
            </w:r>
          </w:p>
          <w:p w14:paraId="6D284DAA">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目标</w:t>
            </w:r>
          </w:p>
        </w:tc>
        <w:tc>
          <w:tcPr>
            <w:tcW w:w="9090" w:type="dxa"/>
            <w:tcBorders>
              <w:top w:val="single" w:color="auto" w:sz="4" w:space="0"/>
            </w:tcBorders>
          </w:tcPr>
          <w:p w14:paraId="6BE388C4">
            <w:pPr>
              <w:ind w:firstLine="482" w:firstLineChars="200"/>
              <w:rPr>
                <w:rFonts w:hint="default" w:ascii="Times New Roman" w:hAnsi="Times New Roman" w:cs="Times New Roman"/>
                <w:color w:val="auto"/>
              </w:rPr>
            </w:pPr>
            <w:r>
              <w:rPr>
                <w:rFonts w:hint="default" w:ascii="Times New Roman" w:hAnsi="Times New Roman" w:cs="Times New Roman"/>
                <w:b/>
                <w:bCs/>
                <w:color w:val="auto"/>
              </w:rPr>
              <w:t>（1）环境空气：</w:t>
            </w:r>
            <w:r>
              <w:rPr>
                <w:rFonts w:hint="default" w:ascii="Times New Roman" w:hAnsi="Times New Roman" w:cs="Times New Roman"/>
                <w:color w:val="auto"/>
              </w:rPr>
              <w:t>项目500m范围内环境空气保护目标为</w:t>
            </w:r>
            <w:r>
              <w:rPr>
                <w:rFonts w:hint="default" w:ascii="Times New Roman" w:hAnsi="Times New Roman" w:cs="Times New Roman"/>
                <w:color w:val="auto"/>
                <w:lang w:val="en-US" w:eastAsia="zh-CN"/>
              </w:rPr>
              <w:t>李屋村</w:t>
            </w:r>
            <w:r>
              <w:rPr>
                <w:rFonts w:hint="default" w:ascii="Times New Roman" w:hAnsi="Times New Roman" w:cs="Times New Roman"/>
                <w:color w:val="auto"/>
              </w:rPr>
              <w:t>。</w:t>
            </w:r>
          </w:p>
          <w:p w14:paraId="20E4B173">
            <w:pPr>
              <w:widowControl/>
              <w:spacing w:line="240" w:lineRule="auto"/>
              <w:jc w:val="center"/>
              <w:rPr>
                <w:rFonts w:hint="default" w:ascii="Times New Roman" w:hAnsi="Times New Roman" w:cs="Times New Roman"/>
                <w:b/>
                <w:bCs/>
                <w:color w:val="auto"/>
                <w:szCs w:val="22"/>
              </w:rPr>
            </w:pPr>
            <w:r>
              <w:rPr>
                <w:rFonts w:hint="default" w:ascii="Times New Roman" w:hAnsi="Times New Roman" w:cs="Times New Roman"/>
                <w:b/>
                <w:bCs/>
                <w:color w:val="auto"/>
                <w:szCs w:val="22"/>
              </w:rPr>
              <w:t>表</w:t>
            </w:r>
            <w:bookmarkStart w:id="14" w:name="环境空气敏感目标"/>
            <w:r>
              <w:rPr>
                <w:rFonts w:hint="default" w:ascii="Times New Roman" w:hAnsi="Times New Roman" w:cs="Times New Roman"/>
                <w:b/>
                <w:bCs/>
                <w:color w:val="auto"/>
                <w:szCs w:val="22"/>
                <w:lang w:val="en-US" w:eastAsia="zh-CN"/>
              </w:rPr>
              <w:t>3-3</w:t>
            </w:r>
            <w:r>
              <w:rPr>
                <w:rFonts w:hint="default" w:ascii="Times New Roman" w:hAnsi="Times New Roman" w:cs="Times New Roman"/>
                <w:b/>
                <w:bCs/>
                <w:color w:val="auto"/>
                <w:szCs w:val="22"/>
              </w:rPr>
              <w:t xml:space="preserve"> 项目环境空气保护目标</w:t>
            </w:r>
          </w:p>
          <w:bookmarkEnd w:id="14"/>
          <w:tbl>
            <w:tblPr>
              <w:tblStyle w:val="22"/>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738"/>
              <w:gridCol w:w="723"/>
              <w:gridCol w:w="786"/>
              <w:gridCol w:w="1894"/>
              <w:gridCol w:w="1429"/>
              <w:gridCol w:w="867"/>
              <w:gridCol w:w="999"/>
            </w:tblGrid>
            <w:tr w14:paraId="3C447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1420" w:type="dxa"/>
                  <w:vMerge w:val="restart"/>
                  <w:vAlign w:val="center"/>
                </w:tcPr>
                <w:p w14:paraId="3B3B3CBF">
                  <w:pPr>
                    <w:spacing w:line="240" w:lineRule="auto"/>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名称</w:t>
                  </w:r>
                </w:p>
              </w:tc>
              <w:tc>
                <w:tcPr>
                  <w:tcW w:w="1461" w:type="dxa"/>
                  <w:gridSpan w:val="2"/>
                  <w:vAlign w:val="center"/>
                </w:tcPr>
                <w:p w14:paraId="4E1A9CBC">
                  <w:pPr>
                    <w:spacing w:line="240" w:lineRule="auto"/>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坐标/m</w:t>
                  </w:r>
                </w:p>
              </w:tc>
              <w:tc>
                <w:tcPr>
                  <w:tcW w:w="786" w:type="dxa"/>
                  <w:vMerge w:val="restart"/>
                  <w:vAlign w:val="center"/>
                </w:tcPr>
                <w:p w14:paraId="189E0F23">
                  <w:pPr>
                    <w:spacing w:line="240" w:lineRule="auto"/>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保护</w:t>
                  </w:r>
                </w:p>
                <w:p w14:paraId="64C2E63B">
                  <w:pPr>
                    <w:spacing w:line="240" w:lineRule="auto"/>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对象</w:t>
                  </w:r>
                </w:p>
              </w:tc>
              <w:tc>
                <w:tcPr>
                  <w:tcW w:w="1894" w:type="dxa"/>
                  <w:vMerge w:val="restart"/>
                  <w:vAlign w:val="center"/>
                </w:tcPr>
                <w:p w14:paraId="3D1759B4">
                  <w:pPr>
                    <w:spacing w:line="240" w:lineRule="auto"/>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保护内容</w:t>
                  </w:r>
                </w:p>
              </w:tc>
              <w:tc>
                <w:tcPr>
                  <w:tcW w:w="1429" w:type="dxa"/>
                  <w:vMerge w:val="restart"/>
                  <w:vAlign w:val="center"/>
                </w:tcPr>
                <w:p w14:paraId="60DC229C">
                  <w:pPr>
                    <w:spacing w:line="240" w:lineRule="auto"/>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环境功能区</w:t>
                  </w:r>
                </w:p>
              </w:tc>
              <w:tc>
                <w:tcPr>
                  <w:tcW w:w="867" w:type="dxa"/>
                  <w:vMerge w:val="restart"/>
                  <w:vAlign w:val="center"/>
                </w:tcPr>
                <w:p w14:paraId="3A1E47DD">
                  <w:pPr>
                    <w:spacing w:line="240" w:lineRule="auto"/>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相对厂址方位</w:t>
                  </w:r>
                </w:p>
              </w:tc>
              <w:tc>
                <w:tcPr>
                  <w:tcW w:w="999" w:type="dxa"/>
                  <w:vMerge w:val="restart"/>
                  <w:vAlign w:val="center"/>
                </w:tcPr>
                <w:p w14:paraId="4CD0890E">
                  <w:pPr>
                    <w:spacing w:line="240" w:lineRule="auto"/>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相对厂界距离/m</w:t>
                  </w:r>
                </w:p>
              </w:tc>
            </w:tr>
            <w:tr w14:paraId="7B8F8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420" w:type="dxa"/>
                  <w:vMerge w:val="continue"/>
                  <w:vAlign w:val="center"/>
                </w:tcPr>
                <w:p w14:paraId="1BEFAD07">
                  <w:pPr>
                    <w:spacing w:line="240" w:lineRule="auto"/>
                    <w:jc w:val="center"/>
                    <w:rPr>
                      <w:rFonts w:hint="default" w:ascii="Times New Roman" w:hAnsi="Times New Roman" w:cs="Times New Roman"/>
                      <w:b/>
                      <w:color w:val="auto"/>
                      <w:sz w:val="21"/>
                      <w:szCs w:val="21"/>
                      <w:lang w:bidi="ar"/>
                    </w:rPr>
                  </w:pPr>
                </w:p>
              </w:tc>
              <w:tc>
                <w:tcPr>
                  <w:tcW w:w="738" w:type="dxa"/>
                  <w:vAlign w:val="center"/>
                </w:tcPr>
                <w:p w14:paraId="7B8E2CFD">
                  <w:pPr>
                    <w:spacing w:line="240" w:lineRule="auto"/>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X</w:t>
                  </w:r>
                </w:p>
              </w:tc>
              <w:tc>
                <w:tcPr>
                  <w:tcW w:w="723" w:type="dxa"/>
                  <w:vAlign w:val="center"/>
                </w:tcPr>
                <w:p w14:paraId="6789FEB3">
                  <w:pPr>
                    <w:spacing w:line="240" w:lineRule="auto"/>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Y</w:t>
                  </w:r>
                </w:p>
              </w:tc>
              <w:tc>
                <w:tcPr>
                  <w:tcW w:w="786" w:type="dxa"/>
                  <w:vMerge w:val="continue"/>
                  <w:vAlign w:val="center"/>
                </w:tcPr>
                <w:p w14:paraId="13624D17">
                  <w:pPr>
                    <w:spacing w:line="240" w:lineRule="auto"/>
                    <w:jc w:val="center"/>
                    <w:rPr>
                      <w:rFonts w:hint="default" w:ascii="Times New Roman" w:hAnsi="Times New Roman" w:cs="Times New Roman"/>
                      <w:b/>
                      <w:color w:val="auto"/>
                      <w:sz w:val="21"/>
                      <w:szCs w:val="21"/>
                      <w:lang w:bidi="ar"/>
                    </w:rPr>
                  </w:pPr>
                </w:p>
              </w:tc>
              <w:tc>
                <w:tcPr>
                  <w:tcW w:w="1894" w:type="dxa"/>
                  <w:vMerge w:val="continue"/>
                  <w:vAlign w:val="center"/>
                </w:tcPr>
                <w:p w14:paraId="4F8F244C">
                  <w:pPr>
                    <w:spacing w:line="240" w:lineRule="auto"/>
                    <w:jc w:val="center"/>
                    <w:rPr>
                      <w:rFonts w:hint="default" w:ascii="Times New Roman" w:hAnsi="Times New Roman" w:cs="Times New Roman"/>
                      <w:b/>
                      <w:color w:val="auto"/>
                      <w:sz w:val="21"/>
                      <w:szCs w:val="21"/>
                      <w:lang w:bidi="ar"/>
                    </w:rPr>
                  </w:pPr>
                </w:p>
              </w:tc>
              <w:tc>
                <w:tcPr>
                  <w:tcW w:w="1429" w:type="dxa"/>
                  <w:vMerge w:val="continue"/>
                  <w:vAlign w:val="center"/>
                </w:tcPr>
                <w:p w14:paraId="6F0DDDC4">
                  <w:pPr>
                    <w:spacing w:line="240" w:lineRule="auto"/>
                    <w:jc w:val="center"/>
                    <w:rPr>
                      <w:rFonts w:hint="default" w:ascii="Times New Roman" w:hAnsi="Times New Roman" w:cs="Times New Roman"/>
                      <w:b/>
                      <w:color w:val="auto"/>
                      <w:sz w:val="21"/>
                      <w:szCs w:val="21"/>
                      <w:lang w:bidi="ar"/>
                    </w:rPr>
                  </w:pPr>
                </w:p>
              </w:tc>
              <w:tc>
                <w:tcPr>
                  <w:tcW w:w="867" w:type="dxa"/>
                  <w:vMerge w:val="continue"/>
                  <w:vAlign w:val="center"/>
                </w:tcPr>
                <w:p w14:paraId="35174EEE">
                  <w:pPr>
                    <w:spacing w:line="240" w:lineRule="auto"/>
                    <w:jc w:val="center"/>
                    <w:rPr>
                      <w:rFonts w:hint="default" w:ascii="Times New Roman" w:hAnsi="Times New Roman" w:cs="Times New Roman"/>
                      <w:b/>
                      <w:color w:val="auto"/>
                      <w:sz w:val="21"/>
                      <w:szCs w:val="21"/>
                      <w:lang w:bidi="ar"/>
                    </w:rPr>
                  </w:pPr>
                </w:p>
              </w:tc>
              <w:tc>
                <w:tcPr>
                  <w:tcW w:w="999" w:type="dxa"/>
                  <w:vMerge w:val="continue"/>
                  <w:vAlign w:val="center"/>
                </w:tcPr>
                <w:p w14:paraId="78B202A7">
                  <w:pPr>
                    <w:spacing w:line="240" w:lineRule="auto"/>
                    <w:jc w:val="center"/>
                    <w:rPr>
                      <w:rFonts w:hint="default" w:ascii="Times New Roman" w:hAnsi="Times New Roman" w:cs="Times New Roman"/>
                      <w:b/>
                      <w:color w:val="auto"/>
                      <w:sz w:val="21"/>
                      <w:szCs w:val="21"/>
                      <w:lang w:bidi="ar"/>
                    </w:rPr>
                  </w:pPr>
                </w:p>
              </w:tc>
            </w:tr>
            <w:tr w14:paraId="08394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420" w:type="dxa"/>
                  <w:vAlign w:val="center"/>
                </w:tcPr>
                <w:p w14:paraId="1BF8717B">
                  <w:pPr>
                    <w:spacing w:line="240" w:lineRule="auto"/>
                    <w:jc w:val="center"/>
                    <w:rPr>
                      <w:rFonts w:hint="default" w:ascii="Times New Roman" w:hAnsi="Times New Roman" w:eastAsia="宋体" w:cs="Times New Roman"/>
                      <w:bCs/>
                      <w:color w:val="auto"/>
                      <w:kern w:val="0"/>
                      <w:sz w:val="21"/>
                      <w:szCs w:val="21"/>
                      <w:lang w:eastAsia="zh-CN" w:bidi="ar"/>
                    </w:rPr>
                  </w:pPr>
                  <w:r>
                    <w:rPr>
                      <w:rFonts w:hint="default" w:ascii="Times New Roman" w:hAnsi="Times New Roman" w:cs="Times New Roman"/>
                      <w:bCs/>
                      <w:color w:val="auto"/>
                      <w:kern w:val="0"/>
                      <w:sz w:val="21"/>
                      <w:szCs w:val="21"/>
                      <w:lang w:val="en-US" w:eastAsia="zh-CN" w:bidi="ar"/>
                    </w:rPr>
                    <w:t>李屋村</w:t>
                  </w:r>
                </w:p>
              </w:tc>
              <w:tc>
                <w:tcPr>
                  <w:tcW w:w="738" w:type="dxa"/>
                  <w:vAlign w:val="center"/>
                </w:tcPr>
                <w:p w14:paraId="39EBFAB8">
                  <w:pPr>
                    <w:spacing w:line="240" w:lineRule="auto"/>
                    <w:jc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cs="Times New Roman"/>
                      <w:bCs/>
                      <w:color w:val="auto"/>
                      <w:kern w:val="0"/>
                      <w:sz w:val="21"/>
                      <w:szCs w:val="21"/>
                      <w:lang w:val="en-US" w:eastAsia="zh-CN" w:bidi="ar"/>
                    </w:rPr>
                    <w:t>-49</w:t>
                  </w:r>
                </w:p>
              </w:tc>
              <w:tc>
                <w:tcPr>
                  <w:tcW w:w="723" w:type="dxa"/>
                  <w:vAlign w:val="center"/>
                </w:tcPr>
                <w:p w14:paraId="674CB675">
                  <w:pPr>
                    <w:spacing w:line="240" w:lineRule="auto"/>
                    <w:jc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cs="Times New Roman"/>
                      <w:bCs/>
                      <w:color w:val="auto"/>
                      <w:kern w:val="0"/>
                      <w:sz w:val="21"/>
                      <w:szCs w:val="21"/>
                      <w:lang w:val="en-US" w:eastAsia="zh-CN" w:bidi="ar"/>
                    </w:rPr>
                    <w:t>413</w:t>
                  </w:r>
                </w:p>
              </w:tc>
              <w:tc>
                <w:tcPr>
                  <w:tcW w:w="786" w:type="dxa"/>
                  <w:vAlign w:val="center"/>
                </w:tcPr>
                <w:p w14:paraId="45980574">
                  <w:pPr>
                    <w:spacing w:line="240" w:lineRule="auto"/>
                    <w:jc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村庄</w:t>
                  </w:r>
                </w:p>
              </w:tc>
              <w:tc>
                <w:tcPr>
                  <w:tcW w:w="1894" w:type="dxa"/>
                  <w:vAlign w:val="center"/>
                </w:tcPr>
                <w:p w14:paraId="5072A9D7">
                  <w:pPr>
                    <w:widowControl/>
                    <w:spacing w:line="240" w:lineRule="auto"/>
                    <w:jc w:val="center"/>
                    <w:rPr>
                      <w:rFonts w:hint="default" w:ascii="Times New Roman" w:hAnsi="Times New Roman" w:cs="Times New Roman"/>
                      <w:bCs/>
                      <w:color w:val="auto"/>
                      <w:sz w:val="21"/>
                      <w:szCs w:val="21"/>
                      <w:lang w:bidi="ar"/>
                    </w:rPr>
                  </w:pPr>
                  <w:r>
                    <w:rPr>
                      <w:rFonts w:hint="default" w:ascii="Times New Roman" w:hAnsi="Times New Roman" w:cs="Times New Roman"/>
                      <w:bCs/>
                      <w:color w:val="auto"/>
                      <w:sz w:val="21"/>
                      <w:szCs w:val="21"/>
                      <w:lang w:bidi="ar"/>
                    </w:rPr>
                    <w:t>居民，约</w:t>
                  </w:r>
                  <w:r>
                    <w:rPr>
                      <w:rFonts w:hint="default" w:ascii="Times New Roman" w:hAnsi="Times New Roman" w:cs="Times New Roman"/>
                      <w:bCs/>
                      <w:color w:val="auto"/>
                      <w:sz w:val="21"/>
                      <w:szCs w:val="21"/>
                      <w:lang w:val="en-US" w:eastAsia="zh-CN" w:bidi="ar"/>
                    </w:rPr>
                    <w:t>200</w:t>
                  </w:r>
                  <w:r>
                    <w:rPr>
                      <w:rFonts w:hint="default" w:ascii="Times New Roman" w:hAnsi="Times New Roman" w:cs="Times New Roman"/>
                      <w:bCs/>
                      <w:color w:val="auto"/>
                      <w:sz w:val="21"/>
                      <w:szCs w:val="21"/>
                      <w:lang w:bidi="ar"/>
                    </w:rPr>
                    <w:t>人</w:t>
                  </w:r>
                </w:p>
              </w:tc>
              <w:tc>
                <w:tcPr>
                  <w:tcW w:w="1429" w:type="dxa"/>
                  <w:vAlign w:val="center"/>
                </w:tcPr>
                <w:p w14:paraId="68800B65">
                  <w:pPr>
                    <w:spacing w:line="240" w:lineRule="auto"/>
                    <w:jc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环境空气功能区二类区</w:t>
                  </w:r>
                </w:p>
              </w:tc>
              <w:tc>
                <w:tcPr>
                  <w:tcW w:w="867" w:type="dxa"/>
                  <w:vAlign w:val="center"/>
                </w:tcPr>
                <w:p w14:paraId="3ACA6A14">
                  <w:pPr>
                    <w:spacing w:line="240" w:lineRule="auto"/>
                    <w:jc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cs="Times New Roman"/>
                      <w:bCs/>
                      <w:color w:val="auto"/>
                      <w:kern w:val="0"/>
                      <w:sz w:val="21"/>
                      <w:szCs w:val="21"/>
                      <w:lang w:val="en-US" w:eastAsia="zh-CN" w:bidi="ar"/>
                    </w:rPr>
                    <w:t>北</w:t>
                  </w:r>
                </w:p>
              </w:tc>
              <w:tc>
                <w:tcPr>
                  <w:tcW w:w="999" w:type="dxa"/>
                  <w:vAlign w:val="center"/>
                </w:tcPr>
                <w:p w14:paraId="500BD1E5">
                  <w:pPr>
                    <w:spacing w:line="240" w:lineRule="auto"/>
                    <w:jc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cs="Times New Roman"/>
                      <w:bCs/>
                      <w:color w:val="auto"/>
                      <w:kern w:val="0"/>
                      <w:sz w:val="21"/>
                      <w:szCs w:val="21"/>
                      <w:lang w:val="en-US" w:eastAsia="zh-CN" w:bidi="ar"/>
                    </w:rPr>
                    <w:t>416</w:t>
                  </w:r>
                </w:p>
              </w:tc>
            </w:tr>
          </w:tbl>
          <w:p w14:paraId="67FEE86C">
            <w:pPr>
              <w:ind w:firstLine="420" w:firstLineChars="200"/>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注：以项目南面边界坐标（0，0）作为X，Y坐标的参照点。</w:t>
            </w:r>
          </w:p>
          <w:p w14:paraId="2658C980">
            <w:pPr>
              <w:ind w:firstLine="482" w:firstLineChars="200"/>
              <w:rPr>
                <w:rFonts w:hint="default" w:ascii="Times New Roman" w:hAnsi="Times New Roman" w:cs="Times New Roman"/>
                <w:color w:val="auto"/>
              </w:rPr>
            </w:pPr>
            <w:r>
              <w:rPr>
                <w:rFonts w:hint="default" w:ascii="Times New Roman" w:hAnsi="Times New Roman" w:cs="Times New Roman"/>
                <w:b/>
                <w:bCs/>
                <w:color w:val="auto"/>
              </w:rPr>
              <w:t>（2）声环境：</w:t>
            </w:r>
            <w:r>
              <w:rPr>
                <w:rFonts w:hint="default" w:ascii="Times New Roman" w:hAnsi="Times New Roman" w:cs="Times New Roman"/>
                <w:color w:val="auto"/>
              </w:rPr>
              <w:t>项目50m范围内无声环境保护目标。</w:t>
            </w:r>
          </w:p>
          <w:p w14:paraId="57D33164">
            <w:pPr>
              <w:ind w:firstLine="482" w:firstLineChars="200"/>
              <w:rPr>
                <w:rFonts w:hint="default" w:ascii="Times New Roman" w:hAnsi="Times New Roman" w:cs="Times New Roman"/>
                <w:color w:val="auto"/>
              </w:rPr>
            </w:pPr>
            <w:r>
              <w:rPr>
                <w:rFonts w:hint="default" w:ascii="Times New Roman" w:hAnsi="Times New Roman" w:cs="Times New Roman"/>
                <w:b/>
                <w:bCs/>
                <w:color w:val="auto"/>
              </w:rPr>
              <w:t>（3）地下水环境：</w:t>
            </w:r>
            <w:r>
              <w:rPr>
                <w:rFonts w:hint="default" w:ascii="Times New Roman" w:hAnsi="Times New Roman" w:cs="Times New Roman"/>
                <w:color w:val="auto"/>
                <w:lang w:bidi="ar"/>
              </w:rPr>
              <w:t>项目500m范围内无地下水集中式饮用水水源和热水、矿泉水、温泉等特殊地下水资源。</w:t>
            </w:r>
          </w:p>
          <w:p w14:paraId="3DBBBC09">
            <w:pPr>
              <w:ind w:firstLine="482" w:firstLineChars="200"/>
              <w:rPr>
                <w:rFonts w:hint="default" w:ascii="Times New Roman" w:hAnsi="Times New Roman" w:cs="Times New Roman"/>
                <w:color w:val="auto"/>
              </w:rPr>
            </w:pPr>
            <w:r>
              <w:rPr>
                <w:rFonts w:hint="default" w:ascii="Times New Roman" w:hAnsi="Times New Roman" w:cs="Times New Roman"/>
                <w:b/>
                <w:bCs/>
                <w:color w:val="auto"/>
              </w:rPr>
              <w:t>（4）生态环境：</w:t>
            </w:r>
            <w:r>
              <w:rPr>
                <w:rFonts w:hint="default" w:ascii="Times New Roman" w:hAnsi="Times New Roman" w:cs="Times New Roman"/>
                <w:color w:val="auto"/>
                <w:lang w:bidi="ar"/>
              </w:rPr>
              <w:t>项目</w:t>
            </w:r>
            <w:r>
              <w:rPr>
                <w:rFonts w:hint="default" w:ascii="Times New Roman" w:hAnsi="Times New Roman" w:cs="Times New Roman"/>
                <w:color w:val="auto"/>
                <w:lang w:val="en-US" w:eastAsia="zh-CN" w:bidi="ar"/>
              </w:rPr>
              <w:t>购买已有厂房</w:t>
            </w:r>
            <w:r>
              <w:rPr>
                <w:rFonts w:hint="default" w:ascii="Times New Roman" w:hAnsi="Times New Roman" w:cs="Times New Roman"/>
                <w:color w:val="auto"/>
                <w:lang w:bidi="ar"/>
              </w:rPr>
              <w:t>进行建设，无新增用地，不涉及生态环境保护目标。</w:t>
            </w:r>
          </w:p>
        </w:tc>
      </w:tr>
      <w:tr w14:paraId="4B4BE3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29" w:hRule="atLeast"/>
          <w:jc w:val="center"/>
        </w:trPr>
        <w:tc>
          <w:tcPr>
            <w:tcW w:w="456" w:type="dxa"/>
            <w:tcMar>
              <w:left w:w="28" w:type="dxa"/>
              <w:right w:w="28" w:type="dxa"/>
            </w:tcMar>
            <w:vAlign w:val="center"/>
          </w:tcPr>
          <w:p w14:paraId="04185841">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污染</w:t>
            </w:r>
          </w:p>
          <w:p w14:paraId="6185CD85">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物排</w:t>
            </w:r>
          </w:p>
          <w:p w14:paraId="1B936104">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放控</w:t>
            </w:r>
          </w:p>
          <w:p w14:paraId="59BEDBC2">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制标</w:t>
            </w:r>
          </w:p>
          <w:p w14:paraId="05067A56">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准</w:t>
            </w:r>
          </w:p>
        </w:tc>
        <w:tc>
          <w:tcPr>
            <w:tcW w:w="9090" w:type="dxa"/>
          </w:tcPr>
          <w:p w14:paraId="50EB97E0">
            <w:pPr>
              <w:pageBreakBefore/>
              <w:numPr>
                <w:ilvl w:val="0"/>
                <w:numId w:val="2"/>
              </w:num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水污染物排放标准</w:t>
            </w:r>
          </w:p>
          <w:p w14:paraId="006FBE01">
            <w:pPr>
              <w:ind w:firstLine="448" w:firstLineChars="200"/>
              <w:rPr>
                <w:rFonts w:hint="default" w:ascii="Times New Roman" w:hAnsi="Times New Roman" w:cs="Times New Roman"/>
                <w:color w:val="auto"/>
              </w:rPr>
            </w:pPr>
            <w:r>
              <w:rPr>
                <w:rFonts w:hint="default" w:ascii="Times New Roman" w:hAnsi="Times New Roman" w:cs="Times New Roman"/>
                <w:color w:val="auto"/>
                <w:spacing w:val="-8"/>
                <w:szCs w:val="22"/>
              </w:rPr>
              <w:t>本项目不新增员工，因此不新增生活污水。项目改扩建后全厂产生的生活污水经隔油池、化粪池预处理预处理达到广东省《水污染物排放限值》（DB44/26-2001）第二时段三级标准后，通过市政管道接入园洲镇第五污水处理厂进一步处理，达标尾水排入园洲中心排渠汇入沙河。园洲镇第五污水处理厂尾水排放的氨氮和总磷执行《地表水环境质量标准》（GB3838-2002）中Ⅴ类标准，其余指标执行《城镇污水处理厂污染物排放标准》（GB18918-2002）一级A 标准及广东省地方标准《水污染物排放限值》（DB44/26-2001）第二时段一级标准的较严值，排入中心排渠，汇入沙河。具体标准限值要求见下表。</w:t>
            </w:r>
          </w:p>
          <w:p w14:paraId="1BF6DBF4">
            <w:pPr>
              <w:wordWrap/>
              <w:spacing w:line="240" w:lineRule="auto"/>
              <w:jc w:val="center"/>
              <w:rPr>
                <w:rFonts w:hint="default" w:ascii="Times New Roman" w:hAnsi="Times New Roman" w:cs="Times New Roman"/>
                <w:b/>
                <w:bCs/>
                <w:color w:val="auto"/>
                <w:szCs w:val="22"/>
              </w:rPr>
            </w:pPr>
            <w:r>
              <w:rPr>
                <w:rFonts w:hint="default" w:ascii="Times New Roman" w:hAnsi="Times New Roman" w:cs="Times New Roman"/>
                <w:b/>
                <w:bCs/>
                <w:color w:val="auto"/>
                <w:szCs w:val="22"/>
              </w:rPr>
              <w:t>表</w:t>
            </w:r>
            <w:r>
              <w:rPr>
                <w:rFonts w:hint="default" w:ascii="Times New Roman" w:hAnsi="Times New Roman" w:cs="Times New Roman"/>
                <w:b/>
                <w:bCs/>
                <w:color w:val="auto"/>
                <w:szCs w:val="22"/>
                <w:lang w:val="en-US" w:eastAsia="zh-CN"/>
              </w:rPr>
              <w:t>3-4</w:t>
            </w:r>
            <w:r>
              <w:rPr>
                <w:rFonts w:hint="default" w:ascii="Times New Roman" w:hAnsi="Times New Roman" w:cs="Times New Roman"/>
                <w:b/>
                <w:bCs/>
                <w:color w:val="auto"/>
                <w:szCs w:val="22"/>
              </w:rPr>
              <w:t xml:space="preserve"> 生活污水排放标准（单位：mg/L）</w:t>
            </w:r>
          </w:p>
          <w:tbl>
            <w:tblPr>
              <w:tblStyle w:val="22"/>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39"/>
              <w:gridCol w:w="797"/>
              <w:gridCol w:w="902"/>
              <w:gridCol w:w="692"/>
              <w:gridCol w:w="797"/>
              <w:gridCol w:w="797"/>
              <w:gridCol w:w="797"/>
              <w:gridCol w:w="797"/>
            </w:tblGrid>
            <w:tr w14:paraId="5CA42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239" w:type="dxa"/>
                  <w:tcBorders>
                    <w:top w:val="single" w:color="auto" w:sz="4" w:space="0"/>
                    <w:left w:val="single" w:color="auto" w:sz="4" w:space="0"/>
                    <w:bottom w:val="single" w:color="auto" w:sz="4" w:space="0"/>
                    <w:right w:val="single" w:color="auto" w:sz="4" w:space="0"/>
                  </w:tcBorders>
                  <w:vAlign w:val="center"/>
                </w:tcPr>
                <w:p w14:paraId="3C453B97">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类别</w:t>
                  </w:r>
                </w:p>
              </w:tc>
              <w:tc>
                <w:tcPr>
                  <w:tcW w:w="797" w:type="dxa"/>
                  <w:tcBorders>
                    <w:top w:val="single" w:color="auto" w:sz="4" w:space="0"/>
                    <w:left w:val="nil"/>
                    <w:bottom w:val="single" w:color="auto" w:sz="4" w:space="0"/>
                    <w:right w:val="single" w:color="auto" w:sz="4" w:space="0"/>
                  </w:tcBorders>
                  <w:vAlign w:val="center"/>
                </w:tcPr>
                <w:p w14:paraId="5A48DFDE">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pH</w:t>
                  </w:r>
                </w:p>
              </w:tc>
              <w:tc>
                <w:tcPr>
                  <w:tcW w:w="902" w:type="dxa"/>
                  <w:tcBorders>
                    <w:top w:val="single" w:color="auto" w:sz="4" w:space="0"/>
                    <w:left w:val="nil"/>
                    <w:bottom w:val="single" w:color="auto" w:sz="4" w:space="0"/>
                    <w:right w:val="single" w:color="auto" w:sz="4" w:space="0"/>
                  </w:tcBorders>
                  <w:vAlign w:val="center"/>
                </w:tcPr>
                <w:p w14:paraId="4B588504">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COD</w:t>
                  </w:r>
                  <w:r>
                    <w:rPr>
                      <w:rFonts w:hint="default" w:ascii="Times New Roman" w:hAnsi="Times New Roman" w:eastAsia="宋体" w:cs="Times New Roman"/>
                      <w:b/>
                      <w:bCs/>
                      <w:color w:val="auto"/>
                      <w:sz w:val="21"/>
                      <w:szCs w:val="21"/>
                      <w:vertAlign w:val="subscript"/>
                    </w:rPr>
                    <w:t>Cr</w:t>
                  </w:r>
                </w:p>
              </w:tc>
              <w:tc>
                <w:tcPr>
                  <w:tcW w:w="692" w:type="dxa"/>
                  <w:tcBorders>
                    <w:top w:val="single" w:color="auto" w:sz="4" w:space="0"/>
                    <w:left w:val="nil"/>
                    <w:bottom w:val="single" w:color="auto" w:sz="4" w:space="0"/>
                    <w:right w:val="single" w:color="auto" w:sz="4" w:space="0"/>
                  </w:tcBorders>
                  <w:vAlign w:val="center"/>
                </w:tcPr>
                <w:p w14:paraId="248C8FC6">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BOD</w:t>
                  </w:r>
                  <w:r>
                    <w:rPr>
                      <w:rFonts w:hint="default" w:ascii="Times New Roman" w:hAnsi="Times New Roman" w:eastAsia="宋体" w:cs="Times New Roman"/>
                      <w:b/>
                      <w:bCs/>
                      <w:color w:val="auto"/>
                      <w:sz w:val="21"/>
                      <w:szCs w:val="21"/>
                      <w:vertAlign w:val="subscript"/>
                    </w:rPr>
                    <w:t>5</w:t>
                  </w:r>
                </w:p>
              </w:tc>
              <w:tc>
                <w:tcPr>
                  <w:tcW w:w="797" w:type="dxa"/>
                  <w:tcBorders>
                    <w:top w:val="single" w:color="auto" w:sz="4" w:space="0"/>
                    <w:left w:val="nil"/>
                    <w:bottom w:val="single" w:color="auto" w:sz="4" w:space="0"/>
                    <w:right w:val="single" w:color="auto" w:sz="4" w:space="0"/>
                  </w:tcBorders>
                  <w:vAlign w:val="center"/>
                </w:tcPr>
                <w:p w14:paraId="32D30681">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NH</w:t>
                  </w:r>
                  <w:r>
                    <w:rPr>
                      <w:rFonts w:hint="default" w:ascii="Times New Roman" w:hAnsi="Times New Roman" w:eastAsia="宋体" w:cs="Times New Roman"/>
                      <w:b/>
                      <w:bCs/>
                      <w:color w:val="auto"/>
                      <w:sz w:val="21"/>
                      <w:szCs w:val="21"/>
                      <w:vertAlign w:val="subscript"/>
                    </w:rPr>
                    <w:t>3</w:t>
                  </w:r>
                  <w:r>
                    <w:rPr>
                      <w:rFonts w:hint="default" w:ascii="Times New Roman" w:hAnsi="Times New Roman" w:eastAsia="宋体" w:cs="Times New Roman"/>
                      <w:b/>
                      <w:bCs/>
                      <w:color w:val="auto"/>
                      <w:sz w:val="21"/>
                      <w:szCs w:val="21"/>
                    </w:rPr>
                    <w:t>-N</w:t>
                  </w:r>
                </w:p>
              </w:tc>
              <w:tc>
                <w:tcPr>
                  <w:tcW w:w="797" w:type="dxa"/>
                  <w:tcBorders>
                    <w:top w:val="single" w:color="auto" w:sz="4" w:space="0"/>
                    <w:left w:val="nil"/>
                    <w:bottom w:val="single" w:color="auto" w:sz="4" w:space="0"/>
                    <w:right w:val="single" w:color="auto" w:sz="4" w:space="0"/>
                  </w:tcBorders>
                  <w:vAlign w:val="center"/>
                </w:tcPr>
                <w:p w14:paraId="33D68000">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SS</w:t>
                  </w:r>
                </w:p>
              </w:tc>
              <w:tc>
                <w:tcPr>
                  <w:tcW w:w="797" w:type="dxa"/>
                  <w:tcBorders>
                    <w:top w:val="single" w:color="auto" w:sz="4" w:space="0"/>
                    <w:left w:val="nil"/>
                    <w:bottom w:val="single" w:color="auto" w:sz="4" w:space="0"/>
                    <w:right w:val="single" w:color="auto" w:sz="4" w:space="0"/>
                  </w:tcBorders>
                  <w:vAlign w:val="center"/>
                </w:tcPr>
                <w:p w14:paraId="2A677108">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总磷</w:t>
                  </w:r>
                </w:p>
              </w:tc>
              <w:tc>
                <w:tcPr>
                  <w:tcW w:w="797" w:type="dxa"/>
                  <w:tcBorders>
                    <w:top w:val="single" w:color="auto" w:sz="4" w:space="0"/>
                    <w:left w:val="nil"/>
                    <w:bottom w:val="single" w:color="auto" w:sz="4" w:space="0"/>
                    <w:right w:val="single" w:color="auto" w:sz="4" w:space="0"/>
                  </w:tcBorders>
                  <w:vAlign w:val="center"/>
                </w:tcPr>
                <w:p w14:paraId="0AFD8D03">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总氮</w:t>
                  </w:r>
                </w:p>
              </w:tc>
            </w:tr>
            <w:tr w14:paraId="5CB91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3239" w:type="dxa"/>
                  <w:tcBorders>
                    <w:top w:val="single" w:color="auto" w:sz="4" w:space="0"/>
                    <w:left w:val="single" w:color="auto" w:sz="4" w:space="0"/>
                    <w:bottom w:val="single" w:color="auto" w:sz="4" w:space="0"/>
                    <w:right w:val="single" w:color="auto" w:sz="4" w:space="0"/>
                  </w:tcBorders>
                  <w:vAlign w:val="center"/>
                </w:tcPr>
                <w:p w14:paraId="5BCBDEC5">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《水污染物排放标准限值》（DB44/26-2001）第二时段三级标准</w:t>
                  </w:r>
                </w:p>
              </w:tc>
              <w:tc>
                <w:tcPr>
                  <w:tcW w:w="797" w:type="dxa"/>
                  <w:tcBorders>
                    <w:top w:val="single" w:color="auto" w:sz="4" w:space="0"/>
                    <w:left w:val="nil"/>
                    <w:bottom w:val="single" w:color="auto" w:sz="4" w:space="0"/>
                    <w:right w:val="single" w:color="auto" w:sz="4" w:space="0"/>
                  </w:tcBorders>
                  <w:vAlign w:val="center"/>
                </w:tcPr>
                <w:p w14:paraId="79C585CF">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902" w:type="dxa"/>
                  <w:tcBorders>
                    <w:top w:val="single" w:color="auto" w:sz="4" w:space="0"/>
                    <w:left w:val="nil"/>
                    <w:bottom w:val="single" w:color="auto" w:sz="4" w:space="0"/>
                    <w:right w:val="single" w:color="auto" w:sz="4" w:space="0"/>
                  </w:tcBorders>
                  <w:vAlign w:val="center"/>
                </w:tcPr>
                <w:p w14:paraId="3F70B242">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≤500</w:t>
                  </w:r>
                </w:p>
              </w:tc>
              <w:tc>
                <w:tcPr>
                  <w:tcW w:w="692" w:type="dxa"/>
                  <w:tcBorders>
                    <w:top w:val="single" w:color="auto" w:sz="4" w:space="0"/>
                    <w:left w:val="nil"/>
                    <w:bottom w:val="single" w:color="auto" w:sz="4" w:space="0"/>
                    <w:right w:val="single" w:color="auto" w:sz="4" w:space="0"/>
                  </w:tcBorders>
                  <w:vAlign w:val="center"/>
                </w:tcPr>
                <w:p w14:paraId="02ADC7E3">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≤300</w:t>
                  </w:r>
                </w:p>
              </w:tc>
              <w:tc>
                <w:tcPr>
                  <w:tcW w:w="797" w:type="dxa"/>
                  <w:tcBorders>
                    <w:top w:val="single" w:color="auto" w:sz="4" w:space="0"/>
                    <w:left w:val="nil"/>
                    <w:bottom w:val="single" w:color="auto" w:sz="4" w:space="0"/>
                    <w:right w:val="single" w:color="auto" w:sz="4" w:space="0"/>
                  </w:tcBorders>
                  <w:vAlign w:val="center"/>
                </w:tcPr>
                <w:p w14:paraId="1B190A94">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tcBorders>
                    <w:top w:val="single" w:color="auto" w:sz="4" w:space="0"/>
                    <w:left w:val="nil"/>
                    <w:bottom w:val="single" w:color="auto" w:sz="4" w:space="0"/>
                    <w:right w:val="single" w:color="auto" w:sz="4" w:space="0"/>
                  </w:tcBorders>
                  <w:vAlign w:val="center"/>
                </w:tcPr>
                <w:p w14:paraId="1ACA7D44">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797" w:type="dxa"/>
                  <w:tcBorders>
                    <w:top w:val="single" w:color="auto" w:sz="4" w:space="0"/>
                    <w:left w:val="nil"/>
                    <w:bottom w:val="single" w:color="auto" w:sz="4" w:space="0"/>
                    <w:right w:val="single" w:color="auto" w:sz="4" w:space="0"/>
                  </w:tcBorders>
                  <w:vAlign w:val="center"/>
                </w:tcPr>
                <w:p w14:paraId="3E14BEAF">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tcBorders>
                    <w:top w:val="single" w:color="auto" w:sz="4" w:space="0"/>
                    <w:left w:val="nil"/>
                    <w:bottom w:val="single" w:color="auto" w:sz="4" w:space="0"/>
                    <w:right w:val="single" w:color="auto" w:sz="4" w:space="0"/>
                  </w:tcBorders>
                  <w:vAlign w:val="center"/>
                </w:tcPr>
                <w:p w14:paraId="6D99B6CD">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14:paraId="07505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3239" w:type="dxa"/>
                  <w:tcBorders>
                    <w:top w:val="single" w:color="auto" w:sz="4" w:space="0"/>
                    <w:left w:val="single" w:color="auto" w:sz="4" w:space="0"/>
                    <w:bottom w:val="single" w:color="auto" w:sz="4" w:space="0"/>
                    <w:right w:val="single" w:color="auto" w:sz="4" w:space="0"/>
                  </w:tcBorders>
                  <w:vAlign w:val="center"/>
                </w:tcPr>
                <w:p w14:paraId="54F184DF">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《城镇污水处理厂污染物排放标准》（GB18918－2002）一级A标准</w:t>
                  </w:r>
                </w:p>
              </w:tc>
              <w:tc>
                <w:tcPr>
                  <w:tcW w:w="797" w:type="dxa"/>
                  <w:tcBorders>
                    <w:top w:val="single" w:color="auto" w:sz="4" w:space="0"/>
                    <w:left w:val="nil"/>
                    <w:bottom w:val="single" w:color="auto" w:sz="4" w:space="0"/>
                    <w:right w:val="single" w:color="auto" w:sz="4" w:space="0"/>
                  </w:tcBorders>
                  <w:vAlign w:val="center"/>
                </w:tcPr>
                <w:p w14:paraId="3FFAEF9C">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902" w:type="dxa"/>
                  <w:tcBorders>
                    <w:top w:val="single" w:color="auto" w:sz="4" w:space="0"/>
                    <w:left w:val="nil"/>
                    <w:bottom w:val="single" w:color="auto" w:sz="4" w:space="0"/>
                    <w:right w:val="single" w:color="auto" w:sz="4" w:space="0"/>
                  </w:tcBorders>
                  <w:vAlign w:val="center"/>
                </w:tcPr>
                <w:p w14:paraId="78034FF9">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w:t>
                  </w:r>
                </w:p>
              </w:tc>
              <w:tc>
                <w:tcPr>
                  <w:tcW w:w="692" w:type="dxa"/>
                  <w:tcBorders>
                    <w:top w:val="single" w:color="auto" w:sz="4" w:space="0"/>
                    <w:left w:val="nil"/>
                    <w:bottom w:val="single" w:color="auto" w:sz="4" w:space="0"/>
                    <w:right w:val="single" w:color="auto" w:sz="4" w:space="0"/>
                  </w:tcBorders>
                  <w:vAlign w:val="center"/>
                </w:tcPr>
                <w:p w14:paraId="0C888EAD">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797" w:type="dxa"/>
                  <w:tcBorders>
                    <w:top w:val="single" w:color="auto" w:sz="4" w:space="0"/>
                    <w:left w:val="nil"/>
                    <w:bottom w:val="single" w:color="auto" w:sz="4" w:space="0"/>
                    <w:right w:val="single" w:color="auto" w:sz="4" w:space="0"/>
                  </w:tcBorders>
                  <w:vAlign w:val="center"/>
                </w:tcPr>
                <w:p w14:paraId="0C752B14">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≤5（8）</w:t>
                  </w:r>
                </w:p>
              </w:tc>
              <w:tc>
                <w:tcPr>
                  <w:tcW w:w="797" w:type="dxa"/>
                  <w:tcBorders>
                    <w:top w:val="single" w:color="auto" w:sz="4" w:space="0"/>
                    <w:left w:val="nil"/>
                    <w:bottom w:val="single" w:color="auto" w:sz="4" w:space="0"/>
                    <w:right w:val="single" w:color="auto" w:sz="4" w:space="0"/>
                  </w:tcBorders>
                  <w:vAlign w:val="center"/>
                </w:tcPr>
                <w:p w14:paraId="27E80AC7">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797" w:type="dxa"/>
                  <w:tcBorders>
                    <w:top w:val="single" w:color="auto" w:sz="4" w:space="0"/>
                    <w:left w:val="nil"/>
                    <w:bottom w:val="single" w:color="auto" w:sz="4" w:space="0"/>
                    <w:right w:val="single" w:color="auto" w:sz="4" w:space="0"/>
                  </w:tcBorders>
                  <w:vAlign w:val="center"/>
                </w:tcPr>
                <w:p w14:paraId="6AA11876">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w:t>
                  </w:r>
                </w:p>
              </w:tc>
              <w:tc>
                <w:tcPr>
                  <w:tcW w:w="797" w:type="dxa"/>
                  <w:tcBorders>
                    <w:top w:val="single" w:color="auto" w:sz="4" w:space="0"/>
                    <w:left w:val="nil"/>
                    <w:bottom w:val="single" w:color="auto" w:sz="4" w:space="0"/>
                    <w:right w:val="single" w:color="auto" w:sz="4" w:space="0"/>
                  </w:tcBorders>
                  <w:vAlign w:val="center"/>
                </w:tcPr>
                <w:p w14:paraId="28F3F9B8">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r>
            <w:tr w14:paraId="2E491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3239" w:type="dxa"/>
                  <w:tcBorders>
                    <w:top w:val="single" w:color="auto" w:sz="4" w:space="0"/>
                    <w:left w:val="single" w:color="auto" w:sz="4" w:space="0"/>
                    <w:bottom w:val="single" w:color="auto" w:sz="4" w:space="0"/>
                    <w:right w:val="single" w:color="auto" w:sz="4" w:space="0"/>
                  </w:tcBorders>
                  <w:vAlign w:val="center"/>
                </w:tcPr>
                <w:p w14:paraId="1EB34EA1">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《水污染物排放限值》（DB44/26-2001）第二时段一级标准</w:t>
                  </w:r>
                </w:p>
              </w:tc>
              <w:tc>
                <w:tcPr>
                  <w:tcW w:w="797" w:type="dxa"/>
                  <w:tcBorders>
                    <w:top w:val="single" w:color="auto" w:sz="4" w:space="0"/>
                    <w:left w:val="nil"/>
                    <w:bottom w:val="single" w:color="auto" w:sz="4" w:space="0"/>
                    <w:right w:val="single" w:color="auto" w:sz="4" w:space="0"/>
                  </w:tcBorders>
                  <w:vAlign w:val="center"/>
                </w:tcPr>
                <w:p w14:paraId="4E5A48FD">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902" w:type="dxa"/>
                  <w:tcBorders>
                    <w:top w:val="single" w:color="auto" w:sz="4" w:space="0"/>
                    <w:left w:val="nil"/>
                    <w:bottom w:val="single" w:color="auto" w:sz="4" w:space="0"/>
                    <w:right w:val="single" w:color="auto" w:sz="4" w:space="0"/>
                  </w:tcBorders>
                  <w:vAlign w:val="center"/>
                </w:tcPr>
                <w:p w14:paraId="49E3C979">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w:t>
                  </w:r>
                </w:p>
              </w:tc>
              <w:tc>
                <w:tcPr>
                  <w:tcW w:w="692" w:type="dxa"/>
                  <w:tcBorders>
                    <w:top w:val="single" w:color="auto" w:sz="4" w:space="0"/>
                    <w:left w:val="nil"/>
                    <w:bottom w:val="single" w:color="auto" w:sz="4" w:space="0"/>
                    <w:right w:val="single" w:color="auto" w:sz="4" w:space="0"/>
                  </w:tcBorders>
                  <w:vAlign w:val="center"/>
                </w:tcPr>
                <w:p w14:paraId="5AF936DF">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c>
                <w:tcPr>
                  <w:tcW w:w="797" w:type="dxa"/>
                  <w:tcBorders>
                    <w:top w:val="single" w:color="auto" w:sz="4" w:space="0"/>
                    <w:left w:val="nil"/>
                    <w:bottom w:val="single" w:color="auto" w:sz="4" w:space="0"/>
                    <w:right w:val="single" w:color="auto" w:sz="4" w:space="0"/>
                  </w:tcBorders>
                  <w:vAlign w:val="center"/>
                </w:tcPr>
                <w:p w14:paraId="1F1FB793">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797" w:type="dxa"/>
                  <w:tcBorders>
                    <w:top w:val="single" w:color="auto" w:sz="4" w:space="0"/>
                    <w:left w:val="nil"/>
                    <w:bottom w:val="single" w:color="auto" w:sz="4" w:space="0"/>
                    <w:right w:val="single" w:color="auto" w:sz="4" w:space="0"/>
                  </w:tcBorders>
                  <w:vAlign w:val="center"/>
                </w:tcPr>
                <w:p w14:paraId="3FB24105">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c>
                <w:tcPr>
                  <w:tcW w:w="797" w:type="dxa"/>
                  <w:tcBorders>
                    <w:top w:val="single" w:color="auto" w:sz="4" w:space="0"/>
                    <w:left w:val="nil"/>
                    <w:bottom w:val="single" w:color="auto" w:sz="4" w:space="0"/>
                    <w:right w:val="single" w:color="auto" w:sz="4" w:space="0"/>
                  </w:tcBorders>
                  <w:vAlign w:val="center"/>
                </w:tcPr>
                <w:p w14:paraId="4A2884D1">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w:t>
                  </w:r>
                </w:p>
              </w:tc>
              <w:tc>
                <w:tcPr>
                  <w:tcW w:w="797" w:type="dxa"/>
                  <w:tcBorders>
                    <w:top w:val="single" w:color="auto" w:sz="4" w:space="0"/>
                    <w:left w:val="nil"/>
                    <w:bottom w:val="single" w:color="auto" w:sz="4" w:space="0"/>
                    <w:right w:val="single" w:color="auto" w:sz="4" w:space="0"/>
                  </w:tcBorders>
                  <w:vAlign w:val="center"/>
                </w:tcPr>
                <w:p w14:paraId="4A8776D4">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14:paraId="3F51F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3239" w:type="dxa"/>
                  <w:tcBorders>
                    <w:top w:val="single" w:color="auto" w:sz="4" w:space="0"/>
                    <w:left w:val="single" w:color="auto" w:sz="4" w:space="0"/>
                    <w:bottom w:val="single" w:color="auto" w:sz="4" w:space="0"/>
                    <w:right w:val="single" w:color="auto" w:sz="4" w:space="0"/>
                  </w:tcBorders>
                  <w:vAlign w:val="center"/>
                </w:tcPr>
                <w:p w14:paraId="05B4219D">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《地表水环境质量标准》（GB3838-2002）Ⅴ类</w:t>
                  </w:r>
                </w:p>
              </w:tc>
              <w:tc>
                <w:tcPr>
                  <w:tcW w:w="797" w:type="dxa"/>
                  <w:tcBorders>
                    <w:top w:val="single" w:color="auto" w:sz="4" w:space="0"/>
                    <w:left w:val="nil"/>
                    <w:bottom w:val="single" w:color="auto" w:sz="4" w:space="0"/>
                    <w:right w:val="single" w:color="auto" w:sz="4" w:space="0"/>
                  </w:tcBorders>
                  <w:vAlign w:val="center"/>
                </w:tcPr>
                <w:p w14:paraId="31440362">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6～9</w:t>
                  </w:r>
                </w:p>
              </w:tc>
              <w:tc>
                <w:tcPr>
                  <w:tcW w:w="902" w:type="dxa"/>
                  <w:tcBorders>
                    <w:top w:val="single" w:color="auto" w:sz="4" w:space="0"/>
                    <w:left w:val="nil"/>
                    <w:bottom w:val="single" w:color="auto" w:sz="4" w:space="0"/>
                    <w:right w:val="single" w:color="auto" w:sz="4" w:space="0"/>
                  </w:tcBorders>
                  <w:vAlign w:val="center"/>
                </w:tcPr>
                <w:p w14:paraId="707641B2">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692" w:type="dxa"/>
                  <w:tcBorders>
                    <w:top w:val="single" w:color="auto" w:sz="4" w:space="0"/>
                    <w:left w:val="nil"/>
                    <w:bottom w:val="single" w:color="auto" w:sz="4" w:space="0"/>
                    <w:right w:val="single" w:color="auto" w:sz="4" w:space="0"/>
                  </w:tcBorders>
                  <w:vAlign w:val="center"/>
                </w:tcPr>
                <w:p w14:paraId="6C350493">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797" w:type="dxa"/>
                  <w:tcBorders>
                    <w:top w:val="single" w:color="auto" w:sz="4" w:space="0"/>
                    <w:left w:val="nil"/>
                    <w:bottom w:val="single" w:color="auto" w:sz="4" w:space="0"/>
                    <w:right w:val="single" w:color="auto" w:sz="4" w:space="0"/>
                  </w:tcBorders>
                  <w:vAlign w:val="center"/>
                </w:tcPr>
                <w:p w14:paraId="739D91DA">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w:t>
                  </w:r>
                </w:p>
              </w:tc>
              <w:tc>
                <w:tcPr>
                  <w:tcW w:w="797" w:type="dxa"/>
                  <w:tcBorders>
                    <w:top w:val="single" w:color="auto" w:sz="4" w:space="0"/>
                    <w:left w:val="nil"/>
                    <w:bottom w:val="single" w:color="auto" w:sz="4" w:space="0"/>
                    <w:right w:val="single" w:color="auto" w:sz="4" w:space="0"/>
                  </w:tcBorders>
                  <w:vAlign w:val="center"/>
                </w:tcPr>
                <w:p w14:paraId="58DA2C12">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797" w:type="dxa"/>
                  <w:tcBorders>
                    <w:top w:val="single" w:color="auto" w:sz="4" w:space="0"/>
                    <w:left w:val="nil"/>
                    <w:bottom w:val="single" w:color="auto" w:sz="4" w:space="0"/>
                    <w:right w:val="single" w:color="auto" w:sz="4" w:space="0"/>
                  </w:tcBorders>
                  <w:vAlign w:val="center"/>
                </w:tcPr>
                <w:p w14:paraId="086C4477">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≤0.4</w:t>
                  </w:r>
                </w:p>
              </w:tc>
              <w:tc>
                <w:tcPr>
                  <w:tcW w:w="797" w:type="dxa"/>
                  <w:tcBorders>
                    <w:top w:val="single" w:color="auto" w:sz="4" w:space="0"/>
                    <w:left w:val="nil"/>
                    <w:bottom w:val="single" w:color="auto" w:sz="4" w:space="0"/>
                    <w:right w:val="single" w:color="auto" w:sz="4" w:space="0"/>
                  </w:tcBorders>
                  <w:vAlign w:val="center"/>
                </w:tcPr>
                <w:p w14:paraId="1AAC6D23">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r>
            <w:tr w14:paraId="35474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3239" w:type="dxa"/>
                  <w:tcBorders>
                    <w:top w:val="single" w:color="auto" w:sz="4" w:space="0"/>
                    <w:left w:val="single" w:color="auto" w:sz="4" w:space="0"/>
                    <w:bottom w:val="single" w:color="auto" w:sz="4" w:space="0"/>
                    <w:right w:val="single" w:color="auto" w:sz="4" w:space="0"/>
                  </w:tcBorders>
                  <w:vAlign w:val="center"/>
                </w:tcPr>
                <w:p w14:paraId="707A1073">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本项目生活污水排水执行标准</w:t>
                  </w:r>
                </w:p>
              </w:tc>
              <w:tc>
                <w:tcPr>
                  <w:tcW w:w="797" w:type="dxa"/>
                  <w:tcBorders>
                    <w:top w:val="single" w:color="auto" w:sz="4" w:space="0"/>
                    <w:left w:val="nil"/>
                    <w:bottom w:val="single" w:color="auto" w:sz="4" w:space="0"/>
                    <w:right w:val="single" w:color="auto" w:sz="4" w:space="0"/>
                  </w:tcBorders>
                  <w:vAlign w:val="center"/>
                </w:tcPr>
                <w:p w14:paraId="1417F5F6">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902" w:type="dxa"/>
                  <w:tcBorders>
                    <w:top w:val="single" w:color="auto" w:sz="4" w:space="0"/>
                    <w:left w:val="nil"/>
                    <w:bottom w:val="single" w:color="auto" w:sz="4" w:space="0"/>
                    <w:right w:val="single" w:color="auto" w:sz="4" w:space="0"/>
                  </w:tcBorders>
                  <w:vAlign w:val="center"/>
                </w:tcPr>
                <w:p w14:paraId="5C77E6E8">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≤500</w:t>
                  </w:r>
                </w:p>
              </w:tc>
              <w:tc>
                <w:tcPr>
                  <w:tcW w:w="692" w:type="dxa"/>
                  <w:tcBorders>
                    <w:top w:val="single" w:color="auto" w:sz="4" w:space="0"/>
                    <w:left w:val="nil"/>
                    <w:bottom w:val="single" w:color="auto" w:sz="4" w:space="0"/>
                    <w:right w:val="single" w:color="auto" w:sz="4" w:space="0"/>
                  </w:tcBorders>
                  <w:vAlign w:val="center"/>
                </w:tcPr>
                <w:p w14:paraId="666DB74C">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≤300</w:t>
                  </w:r>
                </w:p>
              </w:tc>
              <w:tc>
                <w:tcPr>
                  <w:tcW w:w="797" w:type="dxa"/>
                  <w:tcBorders>
                    <w:top w:val="single" w:color="auto" w:sz="4" w:space="0"/>
                    <w:left w:val="nil"/>
                    <w:bottom w:val="single" w:color="auto" w:sz="4" w:space="0"/>
                    <w:right w:val="single" w:color="auto" w:sz="4" w:space="0"/>
                  </w:tcBorders>
                  <w:vAlign w:val="center"/>
                </w:tcPr>
                <w:p w14:paraId="1709A7B7">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tcBorders>
                    <w:top w:val="single" w:color="auto" w:sz="4" w:space="0"/>
                    <w:left w:val="nil"/>
                    <w:bottom w:val="single" w:color="auto" w:sz="4" w:space="0"/>
                    <w:right w:val="single" w:color="auto" w:sz="4" w:space="0"/>
                  </w:tcBorders>
                  <w:vAlign w:val="center"/>
                </w:tcPr>
                <w:p w14:paraId="47173F39">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≤400</w:t>
                  </w:r>
                </w:p>
              </w:tc>
              <w:tc>
                <w:tcPr>
                  <w:tcW w:w="797" w:type="dxa"/>
                  <w:tcBorders>
                    <w:top w:val="single" w:color="auto" w:sz="4" w:space="0"/>
                    <w:left w:val="nil"/>
                    <w:bottom w:val="single" w:color="auto" w:sz="4" w:space="0"/>
                    <w:right w:val="single" w:color="auto" w:sz="4" w:space="0"/>
                  </w:tcBorders>
                  <w:vAlign w:val="center"/>
                </w:tcPr>
                <w:p w14:paraId="253DFB42">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797" w:type="dxa"/>
                  <w:tcBorders>
                    <w:top w:val="single" w:color="auto" w:sz="4" w:space="0"/>
                    <w:left w:val="nil"/>
                    <w:bottom w:val="single" w:color="auto" w:sz="4" w:space="0"/>
                    <w:right w:val="single" w:color="auto" w:sz="4" w:space="0"/>
                  </w:tcBorders>
                  <w:vAlign w:val="center"/>
                </w:tcPr>
                <w:p w14:paraId="68A9B539">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r>
            <w:tr w14:paraId="0B119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239" w:type="dxa"/>
                  <w:tcBorders>
                    <w:top w:val="single" w:color="auto" w:sz="4" w:space="0"/>
                    <w:left w:val="single" w:color="auto" w:sz="4" w:space="0"/>
                    <w:bottom w:val="single" w:color="auto" w:sz="4" w:space="0"/>
                    <w:right w:val="single" w:color="auto" w:sz="4" w:space="0"/>
                  </w:tcBorders>
                  <w:vAlign w:val="center"/>
                </w:tcPr>
                <w:p w14:paraId="0277173A">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污水处理厂出水执行标准</w:t>
                  </w:r>
                </w:p>
              </w:tc>
              <w:tc>
                <w:tcPr>
                  <w:tcW w:w="797" w:type="dxa"/>
                  <w:tcBorders>
                    <w:top w:val="single" w:color="auto" w:sz="4" w:space="0"/>
                    <w:left w:val="nil"/>
                    <w:bottom w:val="single" w:color="auto" w:sz="4" w:space="0"/>
                    <w:right w:val="single" w:color="auto" w:sz="4" w:space="0"/>
                  </w:tcBorders>
                  <w:vAlign w:val="center"/>
                </w:tcPr>
                <w:p w14:paraId="2DD20FDB">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902" w:type="dxa"/>
                  <w:tcBorders>
                    <w:top w:val="single" w:color="auto" w:sz="4" w:space="0"/>
                    <w:left w:val="nil"/>
                    <w:bottom w:val="single" w:color="auto" w:sz="4" w:space="0"/>
                    <w:right w:val="single" w:color="auto" w:sz="4" w:space="0"/>
                  </w:tcBorders>
                  <w:vAlign w:val="center"/>
                </w:tcPr>
                <w:p w14:paraId="00D0B0BE">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w:t>
                  </w:r>
                </w:p>
              </w:tc>
              <w:tc>
                <w:tcPr>
                  <w:tcW w:w="692" w:type="dxa"/>
                  <w:tcBorders>
                    <w:top w:val="single" w:color="auto" w:sz="4" w:space="0"/>
                    <w:left w:val="nil"/>
                    <w:bottom w:val="single" w:color="auto" w:sz="4" w:space="0"/>
                    <w:right w:val="single" w:color="auto" w:sz="4" w:space="0"/>
                  </w:tcBorders>
                  <w:vAlign w:val="center"/>
                </w:tcPr>
                <w:p w14:paraId="181A5892">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797" w:type="dxa"/>
                  <w:tcBorders>
                    <w:top w:val="single" w:color="auto" w:sz="4" w:space="0"/>
                    <w:left w:val="nil"/>
                    <w:bottom w:val="single" w:color="auto" w:sz="4" w:space="0"/>
                    <w:right w:val="single" w:color="auto" w:sz="4" w:space="0"/>
                  </w:tcBorders>
                  <w:vAlign w:val="center"/>
                </w:tcPr>
                <w:p w14:paraId="6E897092">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797" w:type="dxa"/>
                  <w:tcBorders>
                    <w:top w:val="single" w:color="auto" w:sz="4" w:space="0"/>
                    <w:left w:val="nil"/>
                    <w:bottom w:val="single" w:color="auto" w:sz="4" w:space="0"/>
                    <w:right w:val="single" w:color="auto" w:sz="4" w:space="0"/>
                  </w:tcBorders>
                  <w:vAlign w:val="center"/>
                </w:tcPr>
                <w:p w14:paraId="4358000C">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≤10</w:t>
                  </w:r>
                </w:p>
              </w:tc>
              <w:tc>
                <w:tcPr>
                  <w:tcW w:w="797" w:type="dxa"/>
                  <w:tcBorders>
                    <w:top w:val="single" w:color="auto" w:sz="4" w:space="0"/>
                    <w:left w:val="nil"/>
                    <w:bottom w:val="single" w:color="auto" w:sz="4" w:space="0"/>
                    <w:right w:val="single" w:color="auto" w:sz="4" w:space="0"/>
                  </w:tcBorders>
                  <w:vAlign w:val="center"/>
                </w:tcPr>
                <w:p w14:paraId="0A0ED4B9">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≤0.4</w:t>
                  </w:r>
                </w:p>
              </w:tc>
              <w:tc>
                <w:tcPr>
                  <w:tcW w:w="797" w:type="dxa"/>
                  <w:tcBorders>
                    <w:top w:val="single" w:color="auto" w:sz="4" w:space="0"/>
                    <w:left w:val="nil"/>
                    <w:bottom w:val="single" w:color="auto" w:sz="4" w:space="0"/>
                    <w:right w:val="single" w:color="auto" w:sz="4" w:space="0"/>
                  </w:tcBorders>
                  <w:vAlign w:val="center"/>
                </w:tcPr>
                <w:p w14:paraId="4A809069">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≤15</w:t>
                  </w:r>
                </w:p>
              </w:tc>
            </w:tr>
          </w:tbl>
          <w:p w14:paraId="7DF69163">
            <w:pPr>
              <w:adjustRightInd/>
              <w:snapToGrid/>
              <w:ind w:firstLine="420"/>
              <w:rPr>
                <w:rFonts w:hint="default" w:ascii="Times New Roman" w:hAnsi="Times New Roman" w:cs="Times New Roman" w:eastAsiaTheme="minorEastAsia"/>
                <w:bCs/>
                <w:color w:val="auto"/>
                <w:kern w:val="2"/>
                <w:sz w:val="21"/>
                <w:szCs w:val="21"/>
              </w:rPr>
            </w:pPr>
            <w:r>
              <w:rPr>
                <w:rFonts w:hint="default" w:ascii="Times New Roman" w:hAnsi="Times New Roman" w:cs="Times New Roman" w:eastAsiaTheme="minorEastAsia"/>
                <w:bCs/>
                <w:color w:val="auto"/>
                <w:kern w:val="2"/>
                <w:sz w:val="21"/>
                <w:szCs w:val="21"/>
              </w:rPr>
              <w:t>注：1.括号外数值为水温大于12℃时的控制标准，括号内数值为水温小于等于12℃时的控制标准。</w:t>
            </w:r>
          </w:p>
          <w:p w14:paraId="30DD7BC3">
            <w:pPr>
              <w:adjustRightInd/>
              <w:snapToGrid/>
              <w:ind w:firstLine="420"/>
              <w:rPr>
                <w:rFonts w:hint="default" w:ascii="Times New Roman" w:hAnsi="Times New Roman" w:cs="Times New Roman" w:eastAsiaTheme="minorEastAsia"/>
                <w:bCs/>
                <w:color w:val="auto"/>
                <w:sz w:val="21"/>
                <w:szCs w:val="16"/>
                <w:lang w:eastAsia="zh-CN"/>
              </w:rPr>
            </w:pPr>
            <w:r>
              <w:rPr>
                <w:rFonts w:hint="default" w:ascii="Times New Roman" w:hAnsi="Times New Roman" w:cs="Times New Roman" w:eastAsiaTheme="minorEastAsia"/>
                <w:bCs/>
                <w:color w:val="auto"/>
                <w:kern w:val="2"/>
                <w:sz w:val="21"/>
                <w:szCs w:val="21"/>
                <w:lang w:bidi="ar"/>
              </w:rPr>
              <w:t>2.广东省地方标准《水污染物排放限值》（DB44/26-2001）第二时段一级标准中TP参照磷酸盐排放标准执行</w:t>
            </w:r>
            <w:r>
              <w:rPr>
                <w:rFonts w:hint="default" w:ascii="Times New Roman" w:hAnsi="Times New Roman" w:cs="Times New Roman" w:eastAsiaTheme="minorEastAsia"/>
                <w:bCs/>
                <w:color w:val="auto"/>
                <w:kern w:val="2"/>
                <w:sz w:val="21"/>
                <w:szCs w:val="21"/>
                <w:lang w:eastAsia="zh-CN" w:bidi="ar"/>
              </w:rPr>
              <w:t>。</w:t>
            </w:r>
          </w:p>
          <w:p w14:paraId="26B6C4CA">
            <w:pPr>
              <w:tabs>
                <w:tab w:val="left" w:pos="4935"/>
              </w:tabs>
              <w:ind w:firstLine="482" w:firstLineChars="200"/>
              <w:jc w:val="left"/>
              <w:rPr>
                <w:rFonts w:hint="default" w:ascii="Times New Roman" w:hAnsi="Times New Roman" w:cs="Times New Roman"/>
                <w:b/>
                <w:color w:val="auto"/>
                <w:szCs w:val="22"/>
              </w:rPr>
            </w:pPr>
            <w:r>
              <w:rPr>
                <w:rFonts w:hint="default" w:ascii="Times New Roman" w:hAnsi="Times New Roman" w:cs="Times New Roman"/>
                <w:b/>
                <w:color w:val="auto"/>
                <w:szCs w:val="22"/>
              </w:rPr>
              <w:t>2、废气排放标准</w:t>
            </w:r>
          </w:p>
          <w:p w14:paraId="6740F7DB">
            <w:pPr>
              <w:ind w:firstLine="482" w:firstLineChars="200"/>
              <w:rPr>
                <w:rFonts w:hint="default" w:ascii="Times New Roman" w:hAnsi="Times New Roman" w:eastAsia="宋体" w:cs="Times New Roman"/>
                <w:b/>
                <w:bCs/>
                <w:color w:val="auto"/>
                <w:kern w:val="0"/>
                <w:sz w:val="24"/>
                <w:szCs w:val="24"/>
                <w:lang w:val="en-US" w:eastAsia="zh-CN" w:bidi="ar-SA"/>
              </w:rPr>
            </w:pPr>
            <w:r>
              <w:rPr>
                <w:rFonts w:hint="default" w:ascii="Times New Roman" w:hAnsi="Times New Roman" w:eastAsia="宋体" w:cs="Times New Roman"/>
                <w:b/>
                <w:bCs/>
                <w:color w:val="auto"/>
                <w:kern w:val="0"/>
                <w:sz w:val="24"/>
                <w:szCs w:val="24"/>
                <w:lang w:val="en-US" w:eastAsia="zh-CN" w:bidi="ar-SA"/>
              </w:rPr>
              <w:t>排气筒DA001（</w:t>
            </w:r>
            <w:r>
              <w:rPr>
                <w:rFonts w:hint="default" w:ascii="Times New Roman" w:hAnsi="Times New Roman" w:cs="Times New Roman"/>
                <w:b/>
                <w:bCs/>
                <w:color w:val="auto"/>
                <w:kern w:val="0"/>
                <w:sz w:val="24"/>
                <w:szCs w:val="24"/>
                <w:lang w:val="en-US" w:eastAsia="zh-CN" w:bidi="ar-SA"/>
              </w:rPr>
              <w:t>6F废气收集：调漆、</w:t>
            </w:r>
            <w:r>
              <w:rPr>
                <w:rFonts w:hint="default" w:ascii="Times New Roman" w:hAnsi="Times New Roman" w:eastAsia="宋体" w:cs="Times New Roman"/>
                <w:b/>
                <w:bCs/>
                <w:color w:val="auto"/>
                <w:kern w:val="0"/>
                <w:sz w:val="24"/>
                <w:szCs w:val="24"/>
                <w:lang w:val="en-US" w:eastAsia="zh-CN" w:bidi="ar-SA"/>
              </w:rPr>
              <w:t>喷漆、烘烤废气、</w:t>
            </w:r>
            <w:r>
              <w:rPr>
                <w:rFonts w:hint="default" w:ascii="Times New Roman" w:hAnsi="Times New Roman" w:cs="Times New Roman"/>
                <w:b/>
                <w:bCs/>
                <w:color w:val="auto"/>
                <w:kern w:val="0"/>
                <w:sz w:val="24"/>
                <w:szCs w:val="24"/>
                <w:lang w:val="en-US" w:eastAsia="zh-CN" w:bidi="ar-SA"/>
              </w:rPr>
              <w:t>密炼、硫化成型、</w:t>
            </w:r>
            <w:r>
              <w:rPr>
                <w:rFonts w:hint="default" w:ascii="Times New Roman" w:hAnsi="Times New Roman" w:eastAsia="宋体" w:cs="Times New Roman"/>
                <w:b/>
                <w:bCs/>
                <w:color w:val="auto"/>
                <w:kern w:val="0"/>
                <w:sz w:val="24"/>
                <w:szCs w:val="24"/>
                <w:lang w:val="en-US" w:eastAsia="zh-CN" w:bidi="ar-SA"/>
              </w:rPr>
              <w:t>移印废气）</w:t>
            </w:r>
          </w:p>
          <w:p w14:paraId="07F4F832">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调漆、喷漆、烘烤工序：</w:t>
            </w:r>
          </w:p>
          <w:p w14:paraId="659C57ED">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 w:val="0"/>
                <w:bCs w:val="0"/>
                <w:color w:val="auto"/>
                <w:sz w:val="24"/>
                <w:szCs w:val="24"/>
                <w:lang w:val="en-US" w:eastAsia="zh-CN"/>
              </w:rPr>
              <w:t>调漆、喷漆、烘烤工序有机废气</w:t>
            </w:r>
            <w:r>
              <w:rPr>
                <w:rFonts w:hint="default" w:ascii="Times New Roman" w:hAnsi="Times New Roman" w:eastAsia="宋体" w:cs="Times New Roman"/>
                <w:bCs/>
                <w:color w:val="auto"/>
                <w:sz w:val="24"/>
                <w:szCs w:val="24"/>
                <w:lang w:val="en-US" w:eastAsia="zh-CN" w:bidi="ar"/>
              </w:rPr>
              <w:t>（TVOC、非甲烷总烃）有组织排放执行</w:t>
            </w:r>
            <w:r>
              <w:rPr>
                <w:rFonts w:hint="default" w:ascii="Times New Roman" w:hAnsi="Times New Roman" w:eastAsia="宋体" w:cs="Times New Roman"/>
                <w:bCs/>
                <w:color w:val="auto"/>
                <w:sz w:val="24"/>
                <w:szCs w:val="24"/>
                <w:lang w:bidi="ar"/>
              </w:rPr>
              <w:t>广东省《固定污染源挥发性有机物综合排放标准》（DB44/2367-2022）表1 NMHC及TVOC最高允许浓度限值</w:t>
            </w:r>
            <w:r>
              <w:rPr>
                <w:rFonts w:hint="default" w:ascii="Times New Roman" w:hAnsi="Times New Roman" w:eastAsia="宋体" w:cs="Times New Roman"/>
                <w:bCs/>
                <w:color w:val="auto"/>
                <w:sz w:val="24"/>
                <w:szCs w:val="24"/>
                <w:lang w:eastAsia="zh-CN" w:bidi="ar"/>
              </w:rPr>
              <w:t>。</w:t>
            </w:r>
            <w:r>
              <w:rPr>
                <w:rFonts w:hint="default" w:ascii="Times New Roman" w:hAnsi="Times New Roman" w:eastAsia="宋体" w:cs="Times New Roman"/>
                <w:bCs/>
                <w:color w:val="auto"/>
                <w:sz w:val="24"/>
                <w:szCs w:val="24"/>
                <w:lang w:val="en-US" w:eastAsia="zh-CN" w:bidi="ar"/>
              </w:rPr>
              <w:t>漆雾（颗粒物）有组织排放执行广东省《大气污染物排放限值》（DB44/27-2001）中第二时段二级标准限值。</w:t>
            </w:r>
          </w:p>
          <w:p w14:paraId="7B3F92AD">
            <w:pPr>
              <w:keepNext w:val="0"/>
              <w:keepLines w:val="0"/>
              <w:suppressLineNumbers w:val="0"/>
              <w:wordWrap w:val="0"/>
              <w:spacing w:before="0" w:beforeAutospacing="0" w:after="0" w:afterAutospacing="0"/>
              <w:ind w:left="0" w:right="0" w:firstLine="480" w:firstLineChars="200"/>
              <w:rPr>
                <w:rFonts w:hint="default" w:ascii="Times New Roman" w:hAnsi="Times New Roman" w:cs="Times New Roman"/>
                <w:bCs/>
                <w:color w:val="auto"/>
                <w:sz w:val="24"/>
                <w:szCs w:val="24"/>
                <w:lang w:val="en-US" w:eastAsia="zh-CN" w:bidi="ar"/>
              </w:rPr>
            </w:pPr>
            <w:r>
              <w:rPr>
                <w:rFonts w:hint="default" w:ascii="Times New Roman" w:hAnsi="Times New Roman" w:cs="Times New Roman"/>
                <w:bCs/>
                <w:color w:val="auto"/>
                <w:sz w:val="24"/>
                <w:szCs w:val="24"/>
                <w:lang w:val="en-US" w:eastAsia="zh-CN" w:bidi="ar"/>
              </w:rPr>
              <w:t>密炼、硫化成型工序：</w:t>
            </w:r>
          </w:p>
          <w:p w14:paraId="6DC69E3A">
            <w:pPr>
              <w:keepNext w:val="0"/>
              <w:keepLines w:val="0"/>
              <w:suppressLineNumbers w:val="0"/>
              <w:wordWrap w:val="0"/>
              <w:spacing w:before="0" w:beforeAutospacing="0" w:after="0" w:afterAutospacing="0"/>
              <w:ind w:left="0" w:right="0" w:firstLine="480" w:firstLineChars="200"/>
              <w:rPr>
                <w:rFonts w:hint="default" w:ascii="Times New Roman" w:hAnsi="Times New Roman" w:cs="Times New Roman"/>
                <w:bCs/>
                <w:color w:val="auto"/>
                <w:sz w:val="24"/>
                <w:szCs w:val="24"/>
                <w:lang w:val="en-US" w:eastAsia="zh-CN" w:bidi="ar"/>
              </w:rPr>
            </w:pPr>
            <w:r>
              <w:rPr>
                <w:rFonts w:hint="default" w:ascii="Times New Roman" w:hAnsi="Times New Roman" w:cs="Times New Roman"/>
                <w:bCs/>
                <w:color w:val="auto"/>
                <w:sz w:val="24"/>
                <w:szCs w:val="24"/>
                <w:lang w:val="en-US" w:eastAsia="zh-CN" w:bidi="ar"/>
              </w:rPr>
              <w:t>项目密炼及硫化成型工序非甲烷总烃排放执行《橡胶制品工业污染物排放标准》（GB27632-2011）表5中新建企业大气污染物排放限值。</w:t>
            </w:r>
            <w:r>
              <w:rPr>
                <w:rFonts w:hint="default" w:ascii="Times New Roman" w:hAnsi="Times New Roman" w:eastAsia="宋体" w:cs="Times New Roman"/>
                <w:bCs/>
                <w:color w:val="auto"/>
                <w:sz w:val="24"/>
                <w:szCs w:val="24"/>
                <w:lang w:val="en-US" w:eastAsia="zh-CN" w:bidi="ar"/>
              </w:rPr>
              <w:t>臭气浓度有组织排放执行《恶臭污染物排放标准》（GB14554-93）表2恶臭污染物排放标准值。</w:t>
            </w:r>
          </w:p>
          <w:p w14:paraId="6487185C">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移印工序：</w:t>
            </w:r>
          </w:p>
          <w:p w14:paraId="3F0D737D">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移印工序有机废气（总VOCs）排放执行广东省《印刷行业挥发性有机化合物排放标准》（DB44/815-2010）表2第II时段标准限值要求；移印工序有机废气（NMHC）有组织废气排放执行《印刷工业大气污染物排放标准》（GB 41616—2022）表1排放限值要求。</w:t>
            </w:r>
          </w:p>
          <w:p w14:paraId="0BC1185E">
            <w:pPr>
              <w:ind w:firstLine="480" w:firstLineChars="200"/>
              <w:rPr>
                <w:rFonts w:hint="default" w:ascii="Times New Roman" w:hAnsi="Times New Roman" w:eastAsia="宋体" w:cs="Times New Roman"/>
                <w:b/>
                <w:bCs/>
                <w:color w:val="auto"/>
                <w:kern w:val="0"/>
                <w:sz w:val="24"/>
                <w:szCs w:val="24"/>
                <w:lang w:val="en-US" w:eastAsia="zh-CN" w:bidi="ar-SA"/>
              </w:rPr>
            </w:pPr>
            <w:r>
              <w:rPr>
                <w:rFonts w:hint="default" w:ascii="Times New Roman" w:hAnsi="Times New Roman" w:eastAsia="宋体" w:cs="Times New Roman"/>
                <w:bCs/>
                <w:color w:val="auto"/>
                <w:sz w:val="24"/>
                <w:szCs w:val="24"/>
                <w:lang w:val="en-US" w:eastAsia="zh-CN" w:bidi="ar"/>
              </w:rPr>
              <w:t>综上，排气筒DA00</w:t>
            </w:r>
            <w:r>
              <w:rPr>
                <w:rFonts w:hint="default" w:ascii="Times New Roman" w:hAnsi="Times New Roman" w:cs="Times New Roman"/>
                <w:bCs/>
                <w:color w:val="auto"/>
                <w:sz w:val="24"/>
                <w:szCs w:val="24"/>
                <w:lang w:val="en-US" w:eastAsia="zh-CN" w:bidi="ar"/>
              </w:rPr>
              <w:t>1</w:t>
            </w:r>
            <w:r>
              <w:rPr>
                <w:rFonts w:hint="default" w:ascii="Times New Roman" w:hAnsi="Times New Roman" w:eastAsia="宋体" w:cs="Times New Roman"/>
                <w:bCs/>
                <w:color w:val="auto"/>
                <w:sz w:val="24"/>
                <w:szCs w:val="24"/>
                <w:lang w:val="en-US" w:eastAsia="zh-CN" w:bidi="ar"/>
              </w:rPr>
              <w:t>中，非甲烷总烃有组织排放执行</w:t>
            </w:r>
            <w:r>
              <w:rPr>
                <w:rFonts w:hint="default" w:ascii="Times New Roman" w:hAnsi="Times New Roman" w:eastAsia="宋体" w:cs="Times New Roman"/>
                <w:bCs/>
                <w:color w:val="auto"/>
                <w:sz w:val="24"/>
                <w:szCs w:val="24"/>
                <w:lang w:bidi="ar"/>
              </w:rPr>
              <w:t>广东省《固定污染源挥发性有机物综合排放标准》（DB44/2367-2022）表1 NMHC最高允许浓度限值</w:t>
            </w:r>
            <w:r>
              <w:rPr>
                <w:rFonts w:hint="default" w:ascii="Times New Roman" w:hAnsi="Times New Roman" w:cs="Times New Roman"/>
                <w:bCs/>
                <w:color w:val="auto"/>
                <w:sz w:val="24"/>
                <w:szCs w:val="24"/>
                <w:lang w:eastAsia="zh-CN" w:bidi="ar"/>
              </w:rPr>
              <w:t>、</w:t>
            </w:r>
            <w:r>
              <w:rPr>
                <w:rFonts w:hint="default" w:ascii="Times New Roman" w:hAnsi="Times New Roman" w:cs="Times New Roman"/>
                <w:bCs/>
                <w:color w:val="auto"/>
                <w:sz w:val="24"/>
                <w:szCs w:val="24"/>
                <w:lang w:val="en-US" w:eastAsia="zh-CN" w:bidi="ar"/>
              </w:rPr>
              <w:t>《橡胶制品工业污染物排放标准》（GB27632-2011）表5中新建企业大气污染物排放限值</w:t>
            </w:r>
            <w:r>
              <w:rPr>
                <w:rFonts w:hint="default" w:ascii="Times New Roman" w:hAnsi="Times New Roman" w:eastAsia="宋体" w:cs="Times New Roman"/>
                <w:bCs/>
                <w:color w:val="auto"/>
                <w:sz w:val="24"/>
                <w:szCs w:val="24"/>
                <w:lang w:val="en-US" w:eastAsia="zh-CN" w:bidi="ar"/>
              </w:rPr>
              <w:t>及《印刷工业大气污染物排放标准》（GB 41616—2022）表1排放限值要求的</w:t>
            </w:r>
            <w:r>
              <w:rPr>
                <w:rFonts w:hint="default" w:ascii="Times New Roman" w:hAnsi="Times New Roman" w:cs="Times New Roman"/>
                <w:bCs/>
                <w:color w:val="auto"/>
                <w:sz w:val="24"/>
                <w:szCs w:val="24"/>
                <w:lang w:val="en-US" w:eastAsia="zh-CN" w:bidi="ar"/>
              </w:rPr>
              <w:t>三者</w:t>
            </w:r>
            <w:r>
              <w:rPr>
                <w:rFonts w:hint="default" w:ascii="Times New Roman" w:hAnsi="Times New Roman" w:eastAsia="宋体" w:cs="Times New Roman"/>
                <w:bCs/>
                <w:color w:val="auto"/>
                <w:sz w:val="24"/>
                <w:szCs w:val="24"/>
                <w:lang w:val="en-US" w:eastAsia="zh-CN" w:bidi="ar"/>
              </w:rPr>
              <w:t>较严值，TVOC有组织排放执行</w:t>
            </w:r>
            <w:r>
              <w:rPr>
                <w:rFonts w:hint="default" w:ascii="Times New Roman" w:hAnsi="Times New Roman" w:eastAsia="宋体" w:cs="Times New Roman"/>
                <w:bCs/>
                <w:color w:val="auto"/>
                <w:sz w:val="24"/>
                <w:szCs w:val="24"/>
                <w:lang w:bidi="ar"/>
              </w:rPr>
              <w:t>广东省《固定污染源挥发性有机物综合排放标准》（DB44/2367-2022）表1 TVOC最高允许浓度限值</w:t>
            </w:r>
            <w:r>
              <w:rPr>
                <w:rFonts w:hint="default" w:ascii="Times New Roman" w:hAnsi="Times New Roman" w:eastAsia="宋体" w:cs="Times New Roman"/>
                <w:bCs/>
                <w:color w:val="auto"/>
                <w:sz w:val="24"/>
                <w:szCs w:val="24"/>
                <w:lang w:eastAsia="zh-CN" w:bidi="ar"/>
              </w:rPr>
              <w:t>，</w:t>
            </w:r>
            <w:r>
              <w:rPr>
                <w:rFonts w:hint="default" w:ascii="Times New Roman" w:hAnsi="Times New Roman" w:eastAsia="宋体" w:cs="Times New Roman"/>
                <w:bCs/>
                <w:color w:val="auto"/>
                <w:sz w:val="24"/>
                <w:szCs w:val="24"/>
                <w:lang w:val="en-US" w:eastAsia="zh-CN" w:bidi="ar"/>
              </w:rPr>
              <w:t>总VOCs有组织排放执行广东省《印刷行业挥发性有机化合物排放标准》（DB44/815-2010）表2第II时段标准限值要求，颗粒物有组织排放执行广东省《大气污染物排放限值》（DB44/27-2001）中第二时段二级标准限值。臭气浓度有组织排放执行《恶臭污染物排放标准》（GB14554-93）表2恶臭污染物排放标准值。</w:t>
            </w:r>
          </w:p>
          <w:p w14:paraId="28239686">
            <w:pPr>
              <w:keepNext w:val="0"/>
              <w:keepLines w:val="0"/>
              <w:suppressLineNumbers w:val="0"/>
              <w:wordWrap w:val="0"/>
              <w:spacing w:before="0" w:beforeAutospacing="0" w:after="0" w:afterAutospacing="0"/>
              <w:ind w:left="0" w:right="0" w:firstLine="482" w:firstLineChars="200"/>
              <w:rPr>
                <w:rFonts w:hint="default" w:ascii="Times New Roman" w:hAnsi="Times New Roman" w:eastAsia="宋体" w:cs="Times New Roman"/>
                <w:b/>
                <w:bCs w:val="0"/>
                <w:color w:val="auto"/>
                <w:spacing w:val="0"/>
                <w:kern w:val="21"/>
                <w:sz w:val="24"/>
                <w:szCs w:val="24"/>
                <w:lang w:val="en-US" w:eastAsia="zh-CN"/>
              </w:rPr>
            </w:pPr>
            <w:r>
              <w:rPr>
                <w:rFonts w:hint="default" w:ascii="Times New Roman" w:hAnsi="Times New Roman" w:eastAsia="宋体" w:cs="Times New Roman"/>
                <w:b/>
                <w:bCs w:val="0"/>
                <w:color w:val="auto"/>
                <w:spacing w:val="0"/>
                <w:kern w:val="21"/>
                <w:sz w:val="24"/>
                <w:szCs w:val="24"/>
                <w:lang w:val="en-US" w:eastAsia="zh-CN"/>
              </w:rPr>
              <w:t>排气筒DA00</w:t>
            </w:r>
            <w:r>
              <w:rPr>
                <w:rFonts w:hint="default" w:ascii="Times New Roman" w:hAnsi="Times New Roman" w:cs="Times New Roman"/>
                <w:b/>
                <w:bCs w:val="0"/>
                <w:color w:val="auto"/>
                <w:spacing w:val="0"/>
                <w:kern w:val="21"/>
                <w:sz w:val="24"/>
                <w:szCs w:val="24"/>
                <w:lang w:val="en-US" w:eastAsia="zh-CN"/>
              </w:rPr>
              <w:t>2</w:t>
            </w:r>
            <w:r>
              <w:rPr>
                <w:rFonts w:hint="default" w:ascii="Times New Roman" w:hAnsi="Times New Roman" w:eastAsia="宋体" w:cs="Times New Roman"/>
                <w:b/>
                <w:bCs w:val="0"/>
                <w:color w:val="auto"/>
                <w:spacing w:val="0"/>
                <w:kern w:val="21"/>
                <w:sz w:val="24"/>
                <w:szCs w:val="24"/>
                <w:lang w:val="en-US" w:eastAsia="zh-CN"/>
              </w:rPr>
              <w:t>（</w:t>
            </w:r>
            <w:r>
              <w:rPr>
                <w:rFonts w:hint="default" w:ascii="Times New Roman" w:hAnsi="Times New Roman" w:cs="Times New Roman"/>
                <w:b/>
                <w:bCs w:val="0"/>
                <w:color w:val="auto"/>
                <w:spacing w:val="0"/>
                <w:kern w:val="21"/>
                <w:sz w:val="24"/>
                <w:szCs w:val="24"/>
                <w:lang w:val="en-US" w:eastAsia="zh-CN"/>
              </w:rPr>
              <w:t>7F废气收集：</w:t>
            </w:r>
            <w:r>
              <w:rPr>
                <w:rFonts w:hint="default" w:ascii="Times New Roman" w:hAnsi="Times New Roman" w:eastAsia="宋体" w:cs="Times New Roman"/>
                <w:b/>
                <w:bCs w:val="0"/>
                <w:color w:val="auto"/>
                <w:spacing w:val="0"/>
                <w:kern w:val="21"/>
                <w:sz w:val="24"/>
                <w:szCs w:val="24"/>
                <w:lang w:val="en-US" w:eastAsia="zh-CN"/>
              </w:rPr>
              <w:t>注塑废气、</w:t>
            </w:r>
            <w:r>
              <w:rPr>
                <w:rFonts w:hint="default" w:ascii="Times New Roman" w:hAnsi="Times New Roman" w:cs="Times New Roman"/>
                <w:b/>
                <w:bCs w:val="0"/>
                <w:color w:val="auto"/>
                <w:spacing w:val="0"/>
                <w:kern w:val="21"/>
                <w:sz w:val="24"/>
                <w:szCs w:val="24"/>
                <w:lang w:val="en-US" w:eastAsia="zh-CN"/>
              </w:rPr>
              <w:t>液态成型</w:t>
            </w:r>
            <w:r>
              <w:rPr>
                <w:rFonts w:hint="default" w:ascii="Times New Roman" w:hAnsi="Times New Roman" w:eastAsia="宋体" w:cs="Times New Roman"/>
                <w:b/>
                <w:bCs w:val="0"/>
                <w:color w:val="auto"/>
                <w:spacing w:val="0"/>
                <w:kern w:val="21"/>
                <w:sz w:val="24"/>
                <w:szCs w:val="24"/>
                <w:lang w:val="en-US" w:eastAsia="zh-CN"/>
              </w:rPr>
              <w:t>废气）:</w:t>
            </w:r>
          </w:p>
          <w:p w14:paraId="718C12BF">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注塑工序：</w:t>
            </w:r>
          </w:p>
          <w:p w14:paraId="3BDA06C7">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bidi="ar"/>
              </w:rPr>
            </w:pPr>
            <w:r>
              <w:rPr>
                <w:rFonts w:hint="default" w:ascii="Times New Roman" w:hAnsi="Times New Roman" w:eastAsia="宋体" w:cs="Times New Roman"/>
                <w:bCs/>
                <w:color w:val="auto"/>
                <w:sz w:val="24"/>
                <w:szCs w:val="24"/>
                <w:lang w:val="en-US" w:eastAsia="zh-CN" w:bidi="ar"/>
              </w:rPr>
              <w:t>项目注塑过程原料包括ABS、P</w:t>
            </w:r>
            <w:r>
              <w:rPr>
                <w:rFonts w:hint="default" w:ascii="Times New Roman" w:hAnsi="Times New Roman" w:cs="Times New Roman"/>
                <w:bCs/>
                <w:color w:val="auto"/>
                <w:sz w:val="24"/>
                <w:szCs w:val="24"/>
                <w:lang w:val="en-US" w:eastAsia="zh-CN" w:bidi="ar"/>
              </w:rPr>
              <w:t>E</w:t>
            </w:r>
            <w:r>
              <w:rPr>
                <w:rFonts w:hint="default" w:ascii="Times New Roman" w:hAnsi="Times New Roman" w:eastAsia="宋体" w:cs="Times New Roman"/>
                <w:bCs/>
                <w:color w:val="auto"/>
                <w:sz w:val="24"/>
                <w:szCs w:val="24"/>
                <w:lang w:val="en-US" w:eastAsia="zh-CN" w:bidi="ar"/>
              </w:rPr>
              <w:t>、PP等，注塑过程涉及塑料加工，因此，结合上述回复结果，</w:t>
            </w:r>
            <w:r>
              <w:rPr>
                <w:rFonts w:hint="default" w:ascii="Times New Roman" w:hAnsi="Times New Roman" w:eastAsia="宋体" w:cs="Times New Roman"/>
                <w:bCs/>
                <w:color w:val="auto"/>
                <w:sz w:val="24"/>
                <w:szCs w:val="24"/>
                <w:lang w:bidi="ar"/>
              </w:rPr>
              <w:t>项目</w:t>
            </w:r>
            <w:r>
              <w:rPr>
                <w:rFonts w:hint="default" w:ascii="Times New Roman" w:hAnsi="Times New Roman" w:eastAsia="宋体" w:cs="Times New Roman"/>
                <w:bCs/>
                <w:color w:val="auto"/>
                <w:sz w:val="24"/>
                <w:szCs w:val="24"/>
                <w:lang w:val="en-US" w:eastAsia="zh-CN" w:bidi="ar"/>
              </w:rPr>
              <w:t>注塑工序</w:t>
            </w:r>
            <w:r>
              <w:rPr>
                <w:rFonts w:hint="default" w:ascii="Times New Roman" w:hAnsi="Times New Roman" w:eastAsia="宋体" w:cs="Times New Roman"/>
                <w:bCs/>
                <w:color w:val="auto"/>
                <w:sz w:val="24"/>
                <w:szCs w:val="24"/>
                <w:lang w:bidi="ar"/>
              </w:rPr>
              <w:t>非甲烷总烃</w:t>
            </w:r>
            <w:r>
              <w:rPr>
                <w:rFonts w:hint="default" w:ascii="Times New Roman" w:hAnsi="Times New Roman" w:eastAsia="宋体" w:cs="Times New Roman"/>
                <w:bCs/>
                <w:color w:val="auto"/>
                <w:sz w:val="24"/>
                <w:szCs w:val="24"/>
                <w:lang w:val="en-US" w:eastAsia="zh-CN" w:bidi="ar"/>
              </w:rPr>
              <w:t>有组织排放</w:t>
            </w:r>
            <w:r>
              <w:rPr>
                <w:rFonts w:hint="default" w:ascii="Times New Roman" w:hAnsi="Times New Roman" w:eastAsia="宋体" w:cs="Times New Roman"/>
                <w:bCs/>
                <w:color w:val="auto"/>
                <w:sz w:val="24"/>
                <w:szCs w:val="24"/>
                <w:lang w:bidi="ar"/>
              </w:rPr>
              <w:t>执行</w:t>
            </w:r>
            <w:r>
              <w:rPr>
                <w:rFonts w:hint="default" w:ascii="Times New Roman" w:hAnsi="Times New Roman" w:eastAsia="宋体" w:cs="Times New Roman"/>
                <w:bCs/>
                <w:color w:val="auto"/>
                <w:sz w:val="24"/>
                <w:szCs w:val="24"/>
                <w:lang w:eastAsia="zh-CN" w:bidi="ar"/>
              </w:rPr>
              <w:t>《合成树脂工业污染物排放标准》（GB31572-2015，含2024年修改单）</w:t>
            </w:r>
            <w:r>
              <w:rPr>
                <w:rFonts w:hint="default" w:ascii="Times New Roman" w:hAnsi="Times New Roman" w:cs="Times New Roman"/>
                <w:color w:val="auto"/>
                <w:sz w:val="24"/>
                <w:szCs w:val="32"/>
                <w:lang w:val="en-US" w:eastAsia="zh-CN"/>
              </w:rPr>
              <w:t>及修改单</w:t>
            </w:r>
            <w:r>
              <w:rPr>
                <w:rFonts w:hint="default" w:ascii="Times New Roman" w:hAnsi="Times New Roman" w:eastAsia="宋体" w:cs="Times New Roman"/>
                <w:bCs/>
                <w:color w:val="auto"/>
                <w:sz w:val="24"/>
                <w:szCs w:val="24"/>
                <w:lang w:bidi="ar"/>
              </w:rPr>
              <w:t>表5</w:t>
            </w:r>
            <w:r>
              <w:rPr>
                <w:rFonts w:hint="default" w:ascii="Times New Roman" w:hAnsi="Times New Roman" w:eastAsia="宋体" w:cs="Times New Roman"/>
                <w:bCs/>
                <w:color w:val="auto"/>
                <w:sz w:val="24"/>
                <w:szCs w:val="24"/>
                <w:lang w:val="en-US" w:eastAsia="zh-CN" w:bidi="ar"/>
              </w:rPr>
              <w:t>大气污染物特别排放限值，苯乙烯、丙烯腈、1，3-丁二烯、甲苯、乙苯等有组织排放执行</w:t>
            </w:r>
            <w:r>
              <w:rPr>
                <w:rFonts w:hint="default" w:ascii="Times New Roman" w:hAnsi="Times New Roman" w:eastAsia="宋体" w:cs="Times New Roman"/>
                <w:bCs/>
                <w:color w:val="auto"/>
                <w:sz w:val="24"/>
                <w:szCs w:val="24"/>
                <w:lang w:eastAsia="zh-CN" w:bidi="ar"/>
              </w:rPr>
              <w:t>《合成树脂工业污染物排放标准》（GB31572-2015，含2024年修改单）</w:t>
            </w:r>
            <w:r>
              <w:rPr>
                <w:rFonts w:hint="default" w:ascii="Times New Roman" w:hAnsi="Times New Roman" w:eastAsia="宋体" w:cs="Times New Roman"/>
                <w:bCs/>
                <w:color w:val="auto"/>
                <w:sz w:val="24"/>
                <w:szCs w:val="24"/>
                <w:lang w:bidi="ar"/>
              </w:rPr>
              <w:t>表5</w:t>
            </w:r>
            <w:r>
              <w:rPr>
                <w:rFonts w:hint="default" w:ascii="Times New Roman" w:hAnsi="Times New Roman" w:eastAsia="宋体" w:cs="Times New Roman"/>
                <w:bCs/>
                <w:color w:val="auto"/>
                <w:sz w:val="24"/>
                <w:szCs w:val="24"/>
                <w:lang w:val="en-US" w:eastAsia="zh-CN" w:bidi="ar"/>
              </w:rPr>
              <w:t>大气污染物特别排放限值。臭气浓度有组织排放执行《恶臭污染物排放标准》（GB14554-93）表2恶臭污染物排放标准值。</w:t>
            </w:r>
          </w:p>
          <w:p w14:paraId="281FC6D9">
            <w:pPr>
              <w:keepNext w:val="0"/>
              <w:keepLines w:val="0"/>
              <w:suppressLineNumbers w:val="0"/>
              <w:wordWrap w:val="0"/>
              <w:spacing w:before="0" w:beforeAutospacing="0" w:after="0" w:afterAutospacing="0"/>
              <w:ind w:left="0" w:right="0" w:firstLine="480" w:firstLineChars="200"/>
              <w:rPr>
                <w:rFonts w:hint="default" w:ascii="Times New Roman" w:hAnsi="Times New Roman" w:cs="Times New Roman"/>
                <w:bCs/>
                <w:color w:val="auto"/>
                <w:sz w:val="24"/>
                <w:szCs w:val="24"/>
                <w:lang w:val="en-US" w:eastAsia="zh-CN" w:bidi="ar"/>
              </w:rPr>
            </w:pPr>
            <w:r>
              <w:rPr>
                <w:rFonts w:hint="default" w:ascii="Times New Roman" w:hAnsi="Times New Roman" w:cs="Times New Roman"/>
                <w:bCs/>
                <w:color w:val="auto"/>
                <w:sz w:val="24"/>
                <w:szCs w:val="24"/>
                <w:lang w:val="en-US" w:eastAsia="zh-CN" w:bidi="ar"/>
              </w:rPr>
              <w:t>液态成型工序：</w:t>
            </w:r>
          </w:p>
          <w:p w14:paraId="2E1A2D65">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bidi="ar"/>
              </w:rPr>
            </w:pPr>
            <w:r>
              <w:rPr>
                <w:rFonts w:hint="default" w:ascii="Times New Roman" w:hAnsi="Times New Roman" w:eastAsia="宋体" w:cs="Times New Roman"/>
                <w:bCs/>
                <w:color w:val="auto"/>
                <w:sz w:val="24"/>
                <w:szCs w:val="24"/>
                <w:lang w:val="en-US" w:eastAsia="zh-CN" w:bidi="ar"/>
              </w:rPr>
              <w:t>非甲烷总烃执行《橡胶制品工业污染物排放标准》（GB27632-2011）表5新建企业大气污染物排放限值</w:t>
            </w:r>
            <w:r>
              <w:rPr>
                <w:rFonts w:hint="default" w:ascii="Times New Roman" w:hAnsi="Times New Roman" w:cs="Times New Roman"/>
                <w:bCs/>
                <w:color w:val="auto"/>
                <w:sz w:val="24"/>
                <w:szCs w:val="24"/>
                <w:lang w:val="en-US" w:eastAsia="zh-CN" w:bidi="ar"/>
              </w:rPr>
              <w:t>。</w:t>
            </w:r>
            <w:r>
              <w:rPr>
                <w:rFonts w:hint="default" w:ascii="Times New Roman" w:hAnsi="Times New Roman" w:eastAsia="宋体" w:cs="Times New Roman"/>
                <w:bCs/>
                <w:color w:val="auto"/>
                <w:sz w:val="24"/>
                <w:szCs w:val="24"/>
                <w:lang w:val="en-US" w:eastAsia="zh-CN" w:bidi="ar"/>
              </w:rPr>
              <w:t>臭气浓度有组织排放执行《恶臭污染物排放标准》（GB14554-93）表2恶臭污染物排放标准值。</w:t>
            </w:r>
          </w:p>
          <w:p w14:paraId="61D5D021">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综上，排气筒DA00</w:t>
            </w:r>
            <w:r>
              <w:rPr>
                <w:rFonts w:hint="default" w:ascii="Times New Roman" w:hAnsi="Times New Roman" w:cs="Times New Roman"/>
                <w:bCs/>
                <w:color w:val="auto"/>
                <w:sz w:val="24"/>
                <w:szCs w:val="24"/>
                <w:lang w:val="en-US" w:eastAsia="zh-CN" w:bidi="ar"/>
              </w:rPr>
              <w:t>2</w:t>
            </w:r>
            <w:r>
              <w:rPr>
                <w:rFonts w:hint="default" w:ascii="Times New Roman" w:hAnsi="Times New Roman" w:eastAsia="宋体" w:cs="Times New Roman"/>
                <w:bCs/>
                <w:color w:val="auto"/>
                <w:sz w:val="24"/>
                <w:szCs w:val="24"/>
                <w:lang w:val="en-US" w:eastAsia="zh-CN" w:bidi="ar"/>
              </w:rPr>
              <w:t>中，非甲烷总烃有组织排放执行</w:t>
            </w:r>
            <w:r>
              <w:rPr>
                <w:rFonts w:hint="default" w:ascii="Times New Roman" w:hAnsi="Times New Roman" w:eastAsia="宋体" w:cs="Times New Roman"/>
                <w:bCs/>
                <w:color w:val="auto"/>
                <w:sz w:val="24"/>
                <w:szCs w:val="24"/>
                <w:lang w:eastAsia="zh-CN" w:bidi="ar"/>
              </w:rPr>
              <w:t>《合成树脂工业污染物排放标准》（GB31572-2015，含2024年修改单）</w:t>
            </w:r>
            <w:r>
              <w:rPr>
                <w:rFonts w:hint="default" w:ascii="Times New Roman" w:hAnsi="Times New Roman" w:eastAsia="宋体" w:cs="Times New Roman"/>
                <w:bCs/>
                <w:color w:val="auto"/>
                <w:sz w:val="24"/>
                <w:szCs w:val="24"/>
                <w:lang w:bidi="ar"/>
              </w:rPr>
              <w:t>表5</w:t>
            </w:r>
            <w:r>
              <w:rPr>
                <w:rFonts w:hint="default" w:ascii="Times New Roman" w:hAnsi="Times New Roman" w:eastAsia="宋体" w:cs="Times New Roman"/>
                <w:bCs/>
                <w:color w:val="auto"/>
                <w:sz w:val="24"/>
                <w:szCs w:val="24"/>
                <w:lang w:val="en-US" w:eastAsia="zh-CN" w:bidi="ar"/>
              </w:rPr>
              <w:t>大气污染物特别排放限值</w:t>
            </w:r>
            <w:r>
              <w:rPr>
                <w:rFonts w:hint="default" w:ascii="Times New Roman" w:hAnsi="Times New Roman" w:cs="Times New Roman"/>
                <w:bCs/>
                <w:color w:val="auto"/>
                <w:sz w:val="24"/>
                <w:szCs w:val="24"/>
                <w:lang w:val="en-US" w:eastAsia="zh-CN" w:bidi="ar"/>
              </w:rPr>
              <w:t>和</w:t>
            </w:r>
            <w:r>
              <w:rPr>
                <w:rFonts w:hint="default" w:ascii="Times New Roman" w:hAnsi="Times New Roman" w:eastAsia="宋体" w:cs="Times New Roman"/>
                <w:bCs/>
                <w:color w:val="auto"/>
                <w:sz w:val="24"/>
                <w:szCs w:val="24"/>
                <w:lang w:val="en-US" w:eastAsia="zh-CN" w:bidi="ar"/>
              </w:rPr>
              <w:t>《橡胶制品工业污染物排放标准》（GB27632-2011）表5新建企业大气污染物排放限值两者的较严值</w:t>
            </w:r>
            <w:r>
              <w:rPr>
                <w:rFonts w:hint="default" w:ascii="Times New Roman" w:hAnsi="Times New Roman" w:cs="Times New Roman"/>
                <w:bCs/>
                <w:color w:val="auto"/>
                <w:sz w:val="24"/>
                <w:szCs w:val="24"/>
                <w:lang w:val="en-US" w:eastAsia="zh-CN" w:bidi="ar"/>
              </w:rPr>
              <w:t>；</w:t>
            </w:r>
            <w:r>
              <w:rPr>
                <w:rFonts w:hint="default" w:ascii="Times New Roman" w:hAnsi="Times New Roman" w:eastAsia="宋体" w:cs="Times New Roman"/>
                <w:bCs/>
                <w:color w:val="auto"/>
                <w:sz w:val="24"/>
                <w:szCs w:val="24"/>
                <w:lang w:val="en-US" w:eastAsia="zh-CN" w:bidi="ar"/>
              </w:rPr>
              <w:t>苯乙烯、丙烯腈、1，3-丁二烯、甲苯、乙苯等有组织排放执行</w:t>
            </w:r>
            <w:r>
              <w:rPr>
                <w:rFonts w:hint="default" w:ascii="Times New Roman" w:hAnsi="Times New Roman" w:eastAsia="宋体" w:cs="Times New Roman"/>
                <w:bCs/>
                <w:color w:val="auto"/>
                <w:sz w:val="24"/>
                <w:szCs w:val="24"/>
                <w:lang w:eastAsia="zh-CN" w:bidi="ar"/>
              </w:rPr>
              <w:t>《合成树脂工业污染物排放标准》（GB31572-2015，含2024年修改单）</w:t>
            </w:r>
            <w:r>
              <w:rPr>
                <w:rFonts w:hint="default" w:ascii="Times New Roman" w:hAnsi="Times New Roman" w:eastAsia="宋体" w:cs="Times New Roman"/>
                <w:bCs/>
                <w:color w:val="auto"/>
                <w:sz w:val="24"/>
                <w:szCs w:val="24"/>
                <w:lang w:bidi="ar"/>
              </w:rPr>
              <w:t>表5</w:t>
            </w:r>
            <w:r>
              <w:rPr>
                <w:rFonts w:hint="default" w:ascii="Times New Roman" w:hAnsi="Times New Roman" w:eastAsia="宋体" w:cs="Times New Roman"/>
                <w:bCs/>
                <w:color w:val="auto"/>
                <w:sz w:val="24"/>
                <w:szCs w:val="24"/>
                <w:lang w:val="en-US" w:eastAsia="zh-CN" w:bidi="ar"/>
              </w:rPr>
              <w:t>大气污染物特别排放限值；臭气浓度有组织排放执行《恶臭污染物排放标准》（GB14554-93）表2恶臭污染物排放标准值。</w:t>
            </w:r>
          </w:p>
          <w:p w14:paraId="47A553B0">
            <w:pPr>
              <w:widowControl/>
              <w:numPr>
                <w:ilvl w:val="0"/>
                <w:numId w:val="0"/>
              </w:numPr>
              <w:wordWrap/>
              <w:spacing w:line="240" w:lineRule="auto"/>
              <w:ind w:left="420" w:leftChars="0" w:hanging="420" w:firstLineChars="0"/>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kern w:val="2"/>
                <w:sz w:val="24"/>
                <w:szCs w:val="24"/>
                <w:lang w:val="en-US" w:eastAsia="zh-CN" w:bidi="ar-SA"/>
              </w:rPr>
              <w:t>表3-</w:t>
            </w:r>
            <w:r>
              <w:rPr>
                <w:rFonts w:hint="default" w:ascii="Times New Roman" w:hAnsi="Times New Roman" w:cs="Times New Roman"/>
                <w:b/>
                <w:bCs/>
                <w:color w:val="auto"/>
                <w:kern w:val="2"/>
                <w:sz w:val="24"/>
                <w:szCs w:val="24"/>
                <w:lang w:val="en-US" w:eastAsia="zh-CN" w:bidi="ar-SA"/>
              </w:rPr>
              <w:t xml:space="preserve">5 </w:t>
            </w:r>
            <w:r>
              <w:rPr>
                <w:rFonts w:hint="default" w:ascii="Times New Roman" w:hAnsi="Times New Roman" w:eastAsia="宋体" w:cs="Times New Roman"/>
                <w:b/>
                <w:bCs/>
                <w:color w:val="auto"/>
                <w:sz w:val="24"/>
                <w:szCs w:val="24"/>
                <w:lang w:val="en-US" w:eastAsia="zh-CN"/>
              </w:rPr>
              <w:t>项目有组织废气</w:t>
            </w:r>
            <w:r>
              <w:rPr>
                <w:rFonts w:hint="default" w:ascii="Times New Roman" w:hAnsi="Times New Roman" w:eastAsia="宋体" w:cs="Times New Roman"/>
                <w:b/>
                <w:color w:val="auto"/>
                <w:sz w:val="24"/>
                <w:szCs w:val="24"/>
                <w:lang w:val="en-US" w:eastAsia="zh-CN"/>
              </w:rPr>
              <w:t>排放</w:t>
            </w:r>
            <w:r>
              <w:rPr>
                <w:rFonts w:hint="default" w:ascii="Times New Roman" w:hAnsi="Times New Roman" w:eastAsia="宋体" w:cs="Times New Roman"/>
                <w:b/>
                <w:bCs/>
                <w:color w:val="auto"/>
                <w:sz w:val="24"/>
                <w:szCs w:val="24"/>
                <w:lang w:val="en-US" w:eastAsia="zh-CN"/>
              </w:rPr>
              <w:t>限值要求</w:t>
            </w:r>
          </w:p>
          <w:tbl>
            <w:tblPr>
              <w:tblStyle w:val="22"/>
              <w:tblW w:w="49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455"/>
              <w:gridCol w:w="839"/>
              <w:gridCol w:w="1021"/>
              <w:gridCol w:w="765"/>
              <w:gridCol w:w="525"/>
              <w:gridCol w:w="525"/>
              <w:gridCol w:w="918"/>
              <w:gridCol w:w="1865"/>
            </w:tblGrid>
            <w:tr w14:paraId="21CE4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4" w:type="pct"/>
                  <w:gridSpan w:val="2"/>
                  <w:vMerge w:val="restart"/>
                  <w:noWrap w:val="0"/>
                  <w:vAlign w:val="center"/>
                </w:tcPr>
                <w:p w14:paraId="59B4DBA5">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污染源</w:t>
                  </w:r>
                </w:p>
              </w:tc>
              <w:tc>
                <w:tcPr>
                  <w:tcW w:w="1064" w:type="pct"/>
                  <w:gridSpan w:val="2"/>
                  <w:vMerge w:val="restart"/>
                  <w:noWrap w:val="0"/>
                  <w:vAlign w:val="center"/>
                </w:tcPr>
                <w:p w14:paraId="085B48F5">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污染因子</w:t>
                  </w:r>
                </w:p>
              </w:tc>
              <w:tc>
                <w:tcPr>
                  <w:tcW w:w="437" w:type="pct"/>
                  <w:vMerge w:val="restart"/>
                  <w:noWrap w:val="0"/>
                  <w:vAlign w:val="center"/>
                </w:tcPr>
                <w:p w14:paraId="36A3EED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排气筒高度</w:t>
                  </w:r>
                </w:p>
              </w:tc>
              <w:tc>
                <w:tcPr>
                  <w:tcW w:w="1126" w:type="pct"/>
                  <w:gridSpan w:val="3"/>
                  <w:noWrap w:val="0"/>
                  <w:vAlign w:val="center"/>
                </w:tcPr>
                <w:p w14:paraId="07DA09FB">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有组织</w:t>
                  </w:r>
                </w:p>
              </w:tc>
              <w:tc>
                <w:tcPr>
                  <w:tcW w:w="1067" w:type="pct"/>
                  <w:vMerge w:val="restart"/>
                  <w:noWrap w:val="0"/>
                  <w:vAlign w:val="center"/>
                </w:tcPr>
                <w:p w14:paraId="2A281FD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执行标准</w:t>
                  </w:r>
                </w:p>
              </w:tc>
            </w:tr>
            <w:tr w14:paraId="5E53F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4" w:type="pct"/>
                  <w:gridSpan w:val="2"/>
                  <w:vMerge w:val="continue"/>
                  <w:noWrap w:val="0"/>
                  <w:vAlign w:val="center"/>
                </w:tcPr>
                <w:p w14:paraId="71DFF1C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c>
                <w:tcPr>
                  <w:tcW w:w="1064" w:type="pct"/>
                  <w:gridSpan w:val="2"/>
                  <w:vMerge w:val="continue"/>
                  <w:noWrap w:val="0"/>
                  <w:vAlign w:val="center"/>
                </w:tcPr>
                <w:p w14:paraId="7C53F05E">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c>
                <w:tcPr>
                  <w:tcW w:w="437" w:type="pct"/>
                  <w:vMerge w:val="continue"/>
                  <w:noWrap w:val="0"/>
                  <w:vAlign w:val="center"/>
                </w:tcPr>
                <w:p w14:paraId="445B64F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c>
                <w:tcPr>
                  <w:tcW w:w="600" w:type="pct"/>
                  <w:gridSpan w:val="2"/>
                  <w:noWrap w:val="0"/>
                  <w:vAlign w:val="center"/>
                </w:tcPr>
                <w:p w14:paraId="78BAD02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最高允许排放浓度mg/m</w:t>
                  </w:r>
                  <w:r>
                    <w:rPr>
                      <w:rFonts w:hint="default" w:ascii="Times New Roman" w:hAnsi="Times New Roman" w:eastAsia="宋体" w:cs="Times New Roman"/>
                      <w:b/>
                      <w:color w:val="auto"/>
                      <w:kern w:val="0"/>
                      <w:sz w:val="21"/>
                      <w:szCs w:val="21"/>
                      <w:vertAlign w:val="superscript"/>
                    </w:rPr>
                    <w:t>3</w:t>
                  </w:r>
                </w:p>
              </w:tc>
              <w:tc>
                <w:tcPr>
                  <w:tcW w:w="525" w:type="pct"/>
                  <w:noWrap w:val="0"/>
                  <w:vAlign w:val="center"/>
                </w:tcPr>
                <w:p w14:paraId="396CE34B">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b/>
                      <w:color w:val="auto"/>
                      <w:kern w:val="0"/>
                      <w:sz w:val="21"/>
                      <w:szCs w:val="21"/>
                    </w:rPr>
                    <w:t>排放速率kg/h</w:t>
                  </w:r>
                </w:p>
              </w:tc>
              <w:tc>
                <w:tcPr>
                  <w:tcW w:w="1067" w:type="pct"/>
                  <w:vMerge w:val="continue"/>
                  <w:noWrap w:val="0"/>
                  <w:vAlign w:val="center"/>
                </w:tcPr>
                <w:p w14:paraId="0DF039EC">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r>
            <w:tr w14:paraId="5F8BD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pct"/>
                  <w:vMerge w:val="restart"/>
                  <w:noWrap w:val="0"/>
                  <w:vAlign w:val="center"/>
                </w:tcPr>
                <w:p w14:paraId="3A8EAE0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排气筒DA00</w:t>
                  </w:r>
                  <w:r>
                    <w:rPr>
                      <w:rFonts w:hint="default" w:ascii="Times New Roman" w:hAnsi="Times New Roman" w:cs="Times New Roman"/>
                      <w:color w:val="auto"/>
                      <w:sz w:val="21"/>
                      <w:szCs w:val="21"/>
                      <w:lang w:val="en-US" w:eastAsia="zh-CN"/>
                    </w:rPr>
                    <w:t>1</w:t>
                  </w:r>
                </w:p>
              </w:tc>
              <w:tc>
                <w:tcPr>
                  <w:tcW w:w="832" w:type="pct"/>
                  <w:noWrap w:val="0"/>
                  <w:vAlign w:val="center"/>
                </w:tcPr>
                <w:p w14:paraId="38BEA400">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喷漆</w:t>
                  </w:r>
                </w:p>
              </w:tc>
              <w:tc>
                <w:tcPr>
                  <w:tcW w:w="1064" w:type="pct"/>
                  <w:gridSpan w:val="2"/>
                  <w:noWrap w:val="0"/>
                  <w:vAlign w:val="center"/>
                </w:tcPr>
                <w:p w14:paraId="05458906">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颗粒物</w:t>
                  </w:r>
                </w:p>
              </w:tc>
              <w:tc>
                <w:tcPr>
                  <w:tcW w:w="437" w:type="pct"/>
                  <w:vMerge w:val="restart"/>
                  <w:noWrap w:val="0"/>
                  <w:vAlign w:val="center"/>
                </w:tcPr>
                <w:p w14:paraId="696B9CA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54m</w:t>
                  </w:r>
                </w:p>
              </w:tc>
              <w:tc>
                <w:tcPr>
                  <w:tcW w:w="600" w:type="pct"/>
                  <w:gridSpan w:val="2"/>
                  <w:noWrap w:val="0"/>
                  <w:vAlign w:val="center"/>
                </w:tcPr>
                <w:p w14:paraId="7C5706B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rPr>
                    <w:t>120</w:t>
                  </w:r>
                </w:p>
              </w:tc>
              <w:tc>
                <w:tcPr>
                  <w:tcW w:w="525" w:type="pct"/>
                  <w:noWrap w:val="0"/>
                  <w:vAlign w:val="center"/>
                </w:tcPr>
                <w:p w14:paraId="27FBAD6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49</w:t>
                  </w:r>
                </w:p>
              </w:tc>
              <w:tc>
                <w:tcPr>
                  <w:tcW w:w="1067" w:type="pct"/>
                  <w:noWrap w:val="0"/>
                  <w:vAlign w:val="center"/>
                </w:tcPr>
                <w:p w14:paraId="6C8CA68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DB44/27-2001</w:t>
                  </w:r>
                </w:p>
              </w:tc>
            </w:tr>
            <w:tr w14:paraId="44D3C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pct"/>
                  <w:vMerge w:val="continue"/>
                  <w:noWrap w:val="0"/>
                  <w:vAlign w:val="center"/>
                </w:tcPr>
                <w:p w14:paraId="5E57670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832" w:type="pct"/>
                  <w:shd w:val="clear" w:color="auto" w:fill="auto"/>
                  <w:noWrap w:val="0"/>
                  <w:vAlign w:val="center"/>
                </w:tcPr>
                <w:p w14:paraId="217046CD">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移印</w:t>
                  </w:r>
                </w:p>
              </w:tc>
              <w:tc>
                <w:tcPr>
                  <w:tcW w:w="1064" w:type="pct"/>
                  <w:gridSpan w:val="2"/>
                  <w:shd w:val="clear" w:color="auto" w:fill="auto"/>
                  <w:noWrap w:val="0"/>
                  <w:vAlign w:val="center"/>
                </w:tcPr>
                <w:p w14:paraId="69898E0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总VOCs</w:t>
                  </w:r>
                </w:p>
              </w:tc>
              <w:tc>
                <w:tcPr>
                  <w:tcW w:w="437" w:type="pct"/>
                  <w:vMerge w:val="continue"/>
                  <w:shd w:val="clear" w:color="auto" w:fill="auto"/>
                  <w:noWrap w:val="0"/>
                  <w:vAlign w:val="center"/>
                </w:tcPr>
                <w:p w14:paraId="23344E3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600" w:type="pct"/>
                  <w:gridSpan w:val="2"/>
                  <w:shd w:val="clear" w:color="auto" w:fill="auto"/>
                  <w:noWrap w:val="0"/>
                  <w:vAlign w:val="center"/>
                </w:tcPr>
                <w:p w14:paraId="67ACB17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120</w:t>
                  </w:r>
                </w:p>
              </w:tc>
              <w:tc>
                <w:tcPr>
                  <w:tcW w:w="525" w:type="pct"/>
                  <w:shd w:val="clear" w:color="auto" w:fill="auto"/>
                  <w:noWrap w:val="0"/>
                  <w:vAlign w:val="center"/>
                </w:tcPr>
                <w:p w14:paraId="767E1B7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5.1</w:t>
                  </w:r>
                </w:p>
              </w:tc>
              <w:tc>
                <w:tcPr>
                  <w:tcW w:w="1067" w:type="pct"/>
                  <w:shd w:val="clear" w:color="auto" w:fill="auto"/>
                  <w:noWrap w:val="0"/>
                  <w:vAlign w:val="center"/>
                </w:tcPr>
                <w:p w14:paraId="65A1EC5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eastAsia="宋体" w:cs="Times New Roman"/>
                      <w:color w:val="auto"/>
                      <w:sz w:val="21"/>
                      <w:szCs w:val="21"/>
                    </w:rPr>
                    <w:t>DB44/815-2010</w:t>
                  </w:r>
                </w:p>
              </w:tc>
            </w:tr>
            <w:tr w14:paraId="5CA89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pct"/>
                  <w:vMerge w:val="continue"/>
                  <w:noWrap w:val="0"/>
                  <w:vAlign w:val="center"/>
                </w:tcPr>
                <w:p w14:paraId="18EE858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832" w:type="pct"/>
                  <w:noWrap w:val="0"/>
                  <w:vAlign w:val="center"/>
                </w:tcPr>
                <w:p w14:paraId="35B21A9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移印</w:t>
                  </w:r>
                </w:p>
              </w:tc>
              <w:tc>
                <w:tcPr>
                  <w:tcW w:w="1064" w:type="pct"/>
                  <w:gridSpan w:val="2"/>
                  <w:noWrap w:val="0"/>
                  <w:vAlign w:val="center"/>
                </w:tcPr>
                <w:p w14:paraId="66890E00">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非甲烷总烃</w:t>
                  </w:r>
                </w:p>
              </w:tc>
              <w:tc>
                <w:tcPr>
                  <w:tcW w:w="437" w:type="pct"/>
                  <w:vMerge w:val="continue"/>
                  <w:noWrap w:val="0"/>
                  <w:vAlign w:val="center"/>
                </w:tcPr>
                <w:p w14:paraId="7BFD24A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300" w:type="pct"/>
                  <w:shd w:val="clear" w:color="auto" w:fill="auto"/>
                  <w:noWrap w:val="0"/>
                  <w:vAlign w:val="center"/>
                </w:tcPr>
                <w:p w14:paraId="2DA46EC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70</w:t>
                  </w:r>
                </w:p>
              </w:tc>
              <w:tc>
                <w:tcPr>
                  <w:tcW w:w="300" w:type="pct"/>
                  <w:vMerge w:val="restart"/>
                  <w:shd w:val="clear" w:color="auto" w:fill="auto"/>
                  <w:noWrap w:val="0"/>
                  <w:vAlign w:val="center"/>
                </w:tcPr>
                <w:p w14:paraId="0BB0B53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525" w:type="pct"/>
                  <w:shd w:val="clear" w:color="auto" w:fill="auto"/>
                  <w:noWrap w:val="0"/>
                  <w:vAlign w:val="center"/>
                </w:tcPr>
                <w:p w14:paraId="362A4B2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1067" w:type="pct"/>
                  <w:vMerge w:val="restart"/>
                  <w:shd w:val="clear" w:color="auto" w:fill="auto"/>
                  <w:noWrap w:val="0"/>
                  <w:vAlign w:val="center"/>
                </w:tcPr>
                <w:p w14:paraId="45C5EFA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eastAsia="zh-CN"/>
                    </w:rPr>
                    <w:t>GB27632-2011</w:t>
                  </w:r>
                  <w:r>
                    <w:rPr>
                      <w:rFonts w:hint="default"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sz w:val="21"/>
                      <w:szCs w:val="21"/>
                    </w:rPr>
                    <w:t>DB44/2367-2022</w:t>
                  </w:r>
                  <w:r>
                    <w:rPr>
                      <w:rFonts w:hint="default" w:ascii="Times New Roman" w:hAnsi="Times New Roman" w:eastAsia="宋体" w:cs="Times New Roman"/>
                      <w:color w:val="auto"/>
                      <w:sz w:val="21"/>
                      <w:szCs w:val="21"/>
                      <w:lang w:eastAsia="zh-CN"/>
                    </w:rPr>
                    <w:t>、GB 41616—2022</w:t>
                  </w:r>
                </w:p>
              </w:tc>
            </w:tr>
            <w:tr w14:paraId="78936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pct"/>
                  <w:vMerge w:val="continue"/>
                  <w:noWrap w:val="0"/>
                  <w:vAlign w:val="center"/>
                </w:tcPr>
                <w:p w14:paraId="7D65CAA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832" w:type="pct"/>
                  <w:noWrap w:val="0"/>
                  <w:vAlign w:val="center"/>
                </w:tcPr>
                <w:p w14:paraId="6800219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密炼、硫化成型</w:t>
                  </w:r>
                </w:p>
              </w:tc>
              <w:tc>
                <w:tcPr>
                  <w:tcW w:w="1064" w:type="pct"/>
                  <w:gridSpan w:val="2"/>
                  <w:noWrap w:val="0"/>
                  <w:vAlign w:val="center"/>
                </w:tcPr>
                <w:p w14:paraId="61FC7C9E">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非甲烷总烃</w:t>
                  </w:r>
                </w:p>
              </w:tc>
              <w:tc>
                <w:tcPr>
                  <w:tcW w:w="437" w:type="pct"/>
                  <w:vMerge w:val="continue"/>
                  <w:noWrap w:val="0"/>
                  <w:vAlign w:val="center"/>
                </w:tcPr>
                <w:p w14:paraId="1BA6104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300" w:type="pct"/>
                  <w:shd w:val="clear" w:color="auto" w:fill="auto"/>
                  <w:noWrap w:val="0"/>
                  <w:vAlign w:val="center"/>
                </w:tcPr>
                <w:p w14:paraId="761DF94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10</w:t>
                  </w:r>
                </w:p>
              </w:tc>
              <w:tc>
                <w:tcPr>
                  <w:tcW w:w="300" w:type="pct"/>
                  <w:vMerge w:val="continue"/>
                  <w:shd w:val="clear" w:color="auto" w:fill="auto"/>
                  <w:noWrap w:val="0"/>
                  <w:vAlign w:val="center"/>
                </w:tcPr>
                <w:p w14:paraId="60F50AFD">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525" w:type="pct"/>
                  <w:shd w:val="clear" w:color="auto" w:fill="auto"/>
                  <w:noWrap w:val="0"/>
                  <w:vAlign w:val="center"/>
                </w:tcPr>
                <w:p w14:paraId="4569F1E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1067" w:type="pct"/>
                  <w:vMerge w:val="continue"/>
                  <w:shd w:val="clear" w:color="auto" w:fill="auto"/>
                  <w:noWrap w:val="0"/>
                  <w:vAlign w:val="center"/>
                </w:tcPr>
                <w:p w14:paraId="295685B0">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r w14:paraId="44697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pct"/>
                  <w:vMerge w:val="continue"/>
                  <w:noWrap w:val="0"/>
                  <w:vAlign w:val="center"/>
                </w:tcPr>
                <w:p w14:paraId="28E4B1E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832" w:type="pct"/>
                  <w:vMerge w:val="restart"/>
                  <w:noWrap w:val="0"/>
                  <w:vAlign w:val="center"/>
                </w:tcPr>
                <w:p w14:paraId="7332859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喷漆、调漆、烘烤</w:t>
                  </w:r>
                </w:p>
              </w:tc>
              <w:tc>
                <w:tcPr>
                  <w:tcW w:w="480" w:type="pct"/>
                  <w:vMerge w:val="restart"/>
                  <w:noWrap w:val="0"/>
                  <w:vAlign w:val="center"/>
                </w:tcPr>
                <w:p w14:paraId="596D2301">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VOCs</w:t>
                  </w:r>
                </w:p>
              </w:tc>
              <w:tc>
                <w:tcPr>
                  <w:tcW w:w="584" w:type="pct"/>
                  <w:noWrap w:val="0"/>
                  <w:vAlign w:val="center"/>
                </w:tcPr>
                <w:p w14:paraId="0F1F3EA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非甲烷总烃</w:t>
                  </w:r>
                </w:p>
              </w:tc>
              <w:tc>
                <w:tcPr>
                  <w:tcW w:w="437" w:type="pct"/>
                  <w:vMerge w:val="continue"/>
                  <w:noWrap w:val="0"/>
                  <w:vAlign w:val="center"/>
                </w:tcPr>
                <w:p w14:paraId="0C9350E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300" w:type="pct"/>
                  <w:noWrap w:val="0"/>
                  <w:vAlign w:val="center"/>
                </w:tcPr>
                <w:p w14:paraId="38BAB1B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kern w:val="0"/>
                      <w:sz w:val="21"/>
                      <w:szCs w:val="21"/>
                      <w:lang w:val="en-US" w:eastAsia="zh-CN"/>
                    </w:rPr>
                    <w:t>80</w:t>
                  </w:r>
                </w:p>
              </w:tc>
              <w:tc>
                <w:tcPr>
                  <w:tcW w:w="300" w:type="pct"/>
                  <w:vMerge w:val="continue"/>
                  <w:noWrap w:val="0"/>
                  <w:vAlign w:val="center"/>
                </w:tcPr>
                <w:p w14:paraId="0934A94D">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p>
              </w:tc>
              <w:tc>
                <w:tcPr>
                  <w:tcW w:w="525" w:type="pct"/>
                  <w:noWrap w:val="0"/>
                  <w:vAlign w:val="center"/>
                </w:tcPr>
                <w:p w14:paraId="7568D09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w:t>
                  </w:r>
                </w:p>
              </w:tc>
              <w:tc>
                <w:tcPr>
                  <w:tcW w:w="1067" w:type="pct"/>
                  <w:vMerge w:val="continue"/>
                  <w:noWrap w:val="0"/>
                  <w:vAlign w:val="center"/>
                </w:tcPr>
                <w:p w14:paraId="7EEB0C3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6AB0E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pct"/>
                  <w:vMerge w:val="continue"/>
                  <w:noWrap w:val="0"/>
                  <w:vAlign w:val="center"/>
                </w:tcPr>
                <w:p w14:paraId="4C1A519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832" w:type="pct"/>
                  <w:vMerge w:val="continue"/>
                  <w:noWrap w:val="0"/>
                  <w:vAlign w:val="center"/>
                </w:tcPr>
                <w:p w14:paraId="113BF7E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p>
              </w:tc>
              <w:tc>
                <w:tcPr>
                  <w:tcW w:w="480" w:type="pct"/>
                  <w:vMerge w:val="continue"/>
                  <w:noWrap w:val="0"/>
                  <w:vAlign w:val="center"/>
                </w:tcPr>
                <w:p w14:paraId="48A2CF12">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584" w:type="pct"/>
                  <w:noWrap w:val="0"/>
                  <w:vAlign w:val="center"/>
                </w:tcPr>
                <w:p w14:paraId="1B9121EE">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TVOC</w:t>
                  </w:r>
                </w:p>
              </w:tc>
              <w:tc>
                <w:tcPr>
                  <w:tcW w:w="437" w:type="pct"/>
                  <w:vMerge w:val="continue"/>
                  <w:noWrap w:val="0"/>
                  <w:vAlign w:val="center"/>
                </w:tcPr>
                <w:p w14:paraId="534FC24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600" w:type="pct"/>
                  <w:gridSpan w:val="2"/>
                  <w:noWrap w:val="0"/>
                  <w:vAlign w:val="center"/>
                </w:tcPr>
                <w:p w14:paraId="084EDC8E">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rPr>
                    <w:t>100</w:t>
                  </w:r>
                </w:p>
              </w:tc>
              <w:tc>
                <w:tcPr>
                  <w:tcW w:w="525" w:type="pct"/>
                  <w:noWrap w:val="0"/>
                  <w:vAlign w:val="center"/>
                </w:tcPr>
                <w:p w14:paraId="2B4E250B">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w:t>
                  </w:r>
                </w:p>
              </w:tc>
              <w:tc>
                <w:tcPr>
                  <w:tcW w:w="1067" w:type="pct"/>
                  <w:noWrap w:val="0"/>
                  <w:vAlign w:val="center"/>
                </w:tcPr>
                <w:p w14:paraId="4E356CFC">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DB44/2367-2022</w:t>
                  </w:r>
                </w:p>
              </w:tc>
            </w:tr>
            <w:tr w14:paraId="4BE7C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472" w:type="pct"/>
                  <w:vMerge w:val="continue"/>
                  <w:noWrap w:val="0"/>
                  <w:vAlign w:val="center"/>
                </w:tcPr>
                <w:p w14:paraId="68F3D60D">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832" w:type="pct"/>
                  <w:noWrap w:val="0"/>
                  <w:vAlign w:val="center"/>
                </w:tcPr>
                <w:p w14:paraId="52E66EC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密炼、硫化成型</w:t>
                  </w:r>
                </w:p>
              </w:tc>
              <w:tc>
                <w:tcPr>
                  <w:tcW w:w="1064" w:type="pct"/>
                  <w:gridSpan w:val="2"/>
                  <w:shd w:val="clear" w:color="auto" w:fill="auto"/>
                  <w:noWrap w:val="0"/>
                  <w:vAlign w:val="center"/>
                </w:tcPr>
                <w:p w14:paraId="5B84382D">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0"/>
                      <w:sz w:val="21"/>
                      <w:szCs w:val="21"/>
                      <w:lang w:val="en-US" w:eastAsia="zh-CN"/>
                    </w:rPr>
                    <w:t>臭气浓度</w:t>
                  </w:r>
                </w:p>
              </w:tc>
              <w:tc>
                <w:tcPr>
                  <w:tcW w:w="437" w:type="pct"/>
                  <w:vMerge w:val="continue"/>
                  <w:shd w:val="clear" w:color="auto" w:fill="auto"/>
                  <w:noWrap w:val="0"/>
                  <w:vAlign w:val="center"/>
                </w:tcPr>
                <w:p w14:paraId="7CF2603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600" w:type="pct"/>
                  <w:gridSpan w:val="2"/>
                  <w:shd w:val="clear" w:color="auto" w:fill="auto"/>
                  <w:noWrap w:val="0"/>
                  <w:vAlign w:val="center"/>
                </w:tcPr>
                <w:p w14:paraId="48B8221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40000（无量纲）</w:t>
                  </w:r>
                </w:p>
              </w:tc>
              <w:tc>
                <w:tcPr>
                  <w:tcW w:w="525" w:type="pct"/>
                  <w:shd w:val="clear" w:color="auto" w:fill="auto"/>
                  <w:noWrap w:val="0"/>
                  <w:vAlign w:val="center"/>
                </w:tcPr>
                <w:p w14:paraId="26FCB31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w:t>
                  </w:r>
                </w:p>
              </w:tc>
              <w:tc>
                <w:tcPr>
                  <w:tcW w:w="1067" w:type="pct"/>
                  <w:shd w:val="clear" w:color="auto" w:fill="auto"/>
                  <w:noWrap w:val="0"/>
                  <w:vAlign w:val="center"/>
                </w:tcPr>
                <w:p w14:paraId="5D31883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GB14554-93</w:t>
                  </w:r>
                </w:p>
              </w:tc>
            </w:tr>
            <w:tr w14:paraId="68A2D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72" w:type="pct"/>
                  <w:vMerge w:val="restart"/>
                  <w:noWrap w:val="0"/>
                  <w:vAlign w:val="center"/>
                </w:tcPr>
                <w:p w14:paraId="338BB6F5">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排气筒DA00</w:t>
                  </w:r>
                  <w:r>
                    <w:rPr>
                      <w:rFonts w:hint="default" w:ascii="Times New Roman" w:hAnsi="Times New Roman" w:cs="Times New Roman"/>
                      <w:color w:val="auto"/>
                      <w:sz w:val="21"/>
                      <w:szCs w:val="21"/>
                      <w:lang w:val="en-US" w:eastAsia="zh-CN"/>
                    </w:rPr>
                    <w:t>2</w:t>
                  </w:r>
                </w:p>
              </w:tc>
              <w:tc>
                <w:tcPr>
                  <w:tcW w:w="832" w:type="pct"/>
                  <w:noWrap w:val="0"/>
                  <w:vAlign w:val="center"/>
                </w:tcPr>
                <w:p w14:paraId="487B0EF1">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注塑</w:t>
                  </w:r>
                </w:p>
              </w:tc>
              <w:tc>
                <w:tcPr>
                  <w:tcW w:w="1064" w:type="pct"/>
                  <w:gridSpan w:val="2"/>
                  <w:noWrap w:val="0"/>
                  <w:vAlign w:val="center"/>
                </w:tcPr>
                <w:p w14:paraId="338824D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437" w:type="pct"/>
                  <w:vMerge w:val="restart"/>
                  <w:noWrap w:val="0"/>
                  <w:vAlign w:val="center"/>
                </w:tcPr>
                <w:p w14:paraId="247C6DD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54m</w:t>
                  </w:r>
                </w:p>
              </w:tc>
              <w:tc>
                <w:tcPr>
                  <w:tcW w:w="300" w:type="pct"/>
                  <w:noWrap w:val="0"/>
                  <w:vAlign w:val="center"/>
                </w:tcPr>
                <w:p w14:paraId="47528406">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60</w:t>
                  </w:r>
                </w:p>
              </w:tc>
              <w:tc>
                <w:tcPr>
                  <w:tcW w:w="300" w:type="pct"/>
                  <w:vMerge w:val="restart"/>
                  <w:noWrap w:val="0"/>
                  <w:vAlign w:val="center"/>
                </w:tcPr>
                <w:p w14:paraId="3A23782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525" w:type="pct"/>
                  <w:noWrap w:val="0"/>
                  <w:vAlign w:val="center"/>
                </w:tcPr>
                <w:p w14:paraId="390DB4C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c>
                <w:tcPr>
                  <w:tcW w:w="1067" w:type="pct"/>
                  <w:noWrap w:val="0"/>
                  <w:vAlign w:val="center"/>
                </w:tcPr>
                <w:p w14:paraId="630BA48E">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GB31572-2015</w:t>
                  </w:r>
                </w:p>
              </w:tc>
            </w:tr>
            <w:tr w14:paraId="3B356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pct"/>
                  <w:vMerge w:val="continue"/>
                  <w:noWrap w:val="0"/>
                  <w:vAlign w:val="center"/>
                </w:tcPr>
                <w:p w14:paraId="5FAC3A0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832" w:type="pct"/>
                  <w:noWrap w:val="0"/>
                  <w:vAlign w:val="center"/>
                </w:tcPr>
                <w:p w14:paraId="5578DE2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液态成型</w:t>
                  </w:r>
                </w:p>
              </w:tc>
              <w:tc>
                <w:tcPr>
                  <w:tcW w:w="1064" w:type="pct"/>
                  <w:gridSpan w:val="2"/>
                  <w:noWrap w:val="0"/>
                  <w:vAlign w:val="center"/>
                </w:tcPr>
                <w:p w14:paraId="77DA6BC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437" w:type="pct"/>
                  <w:vMerge w:val="continue"/>
                  <w:noWrap w:val="0"/>
                  <w:vAlign w:val="center"/>
                </w:tcPr>
                <w:p w14:paraId="0B8AFEE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300" w:type="pct"/>
                  <w:noWrap w:val="0"/>
                  <w:vAlign w:val="center"/>
                </w:tcPr>
                <w:p w14:paraId="35EE59F6">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300" w:type="pct"/>
                  <w:vMerge w:val="continue"/>
                  <w:noWrap w:val="0"/>
                  <w:vAlign w:val="center"/>
                </w:tcPr>
                <w:p w14:paraId="144183DE">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p>
              </w:tc>
              <w:tc>
                <w:tcPr>
                  <w:tcW w:w="525" w:type="pct"/>
                  <w:noWrap w:val="0"/>
                  <w:vAlign w:val="center"/>
                </w:tcPr>
                <w:p w14:paraId="0BCAF05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c>
                <w:tcPr>
                  <w:tcW w:w="1067" w:type="pct"/>
                  <w:noWrap w:val="0"/>
                  <w:vAlign w:val="center"/>
                </w:tcPr>
                <w:p w14:paraId="6FC73CC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eastAsia="zh-CN"/>
                    </w:rPr>
                    <w:t>GB27632-2011</w:t>
                  </w:r>
                </w:p>
              </w:tc>
            </w:tr>
            <w:tr w14:paraId="6AC32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2" w:type="pct"/>
                  <w:vMerge w:val="continue"/>
                  <w:noWrap w:val="0"/>
                  <w:vAlign w:val="center"/>
                </w:tcPr>
                <w:p w14:paraId="5EDD9E9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832" w:type="pct"/>
                  <w:vMerge w:val="restart"/>
                  <w:noWrap w:val="0"/>
                  <w:vAlign w:val="center"/>
                </w:tcPr>
                <w:p w14:paraId="2130C35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注塑</w:t>
                  </w:r>
                </w:p>
              </w:tc>
              <w:tc>
                <w:tcPr>
                  <w:tcW w:w="1064" w:type="pct"/>
                  <w:gridSpan w:val="2"/>
                  <w:noWrap w:val="0"/>
                  <w:vAlign w:val="center"/>
                </w:tcPr>
                <w:p w14:paraId="16AD84D4">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苯乙烯</w:t>
                  </w:r>
                </w:p>
              </w:tc>
              <w:tc>
                <w:tcPr>
                  <w:tcW w:w="437" w:type="pct"/>
                  <w:vMerge w:val="continue"/>
                  <w:noWrap w:val="0"/>
                  <w:vAlign w:val="center"/>
                </w:tcPr>
                <w:p w14:paraId="79B8EED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600" w:type="pct"/>
                  <w:gridSpan w:val="2"/>
                  <w:noWrap w:val="0"/>
                  <w:vAlign w:val="center"/>
                </w:tcPr>
                <w:p w14:paraId="0D28743B">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20</w:t>
                  </w:r>
                </w:p>
              </w:tc>
              <w:tc>
                <w:tcPr>
                  <w:tcW w:w="525" w:type="pct"/>
                  <w:noWrap w:val="0"/>
                  <w:vAlign w:val="center"/>
                </w:tcPr>
                <w:p w14:paraId="1304552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1067" w:type="pct"/>
                  <w:vMerge w:val="restart"/>
                  <w:noWrap w:val="0"/>
                  <w:vAlign w:val="center"/>
                </w:tcPr>
                <w:p w14:paraId="2736846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GB31572-2015，含2024修改单</w:t>
                  </w:r>
                </w:p>
              </w:tc>
            </w:tr>
            <w:tr w14:paraId="289EC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2" w:type="pct"/>
                  <w:vMerge w:val="continue"/>
                  <w:noWrap w:val="0"/>
                  <w:vAlign w:val="center"/>
                </w:tcPr>
                <w:p w14:paraId="333C70A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832" w:type="pct"/>
                  <w:vMerge w:val="continue"/>
                  <w:noWrap w:val="0"/>
                  <w:vAlign w:val="center"/>
                </w:tcPr>
                <w:p w14:paraId="0F8A7491">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p>
              </w:tc>
              <w:tc>
                <w:tcPr>
                  <w:tcW w:w="1064" w:type="pct"/>
                  <w:gridSpan w:val="2"/>
                  <w:noWrap w:val="0"/>
                  <w:vAlign w:val="center"/>
                </w:tcPr>
                <w:p w14:paraId="5FD0125E">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丙烯腈</w:t>
                  </w:r>
                </w:p>
              </w:tc>
              <w:tc>
                <w:tcPr>
                  <w:tcW w:w="437" w:type="pct"/>
                  <w:vMerge w:val="continue"/>
                  <w:noWrap w:val="0"/>
                  <w:vAlign w:val="center"/>
                </w:tcPr>
                <w:p w14:paraId="3FA77B5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600" w:type="pct"/>
                  <w:gridSpan w:val="2"/>
                  <w:noWrap w:val="0"/>
                  <w:vAlign w:val="center"/>
                </w:tcPr>
                <w:p w14:paraId="79CD654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0.5</w:t>
                  </w:r>
                </w:p>
              </w:tc>
              <w:tc>
                <w:tcPr>
                  <w:tcW w:w="525" w:type="pct"/>
                  <w:noWrap w:val="0"/>
                  <w:vAlign w:val="center"/>
                </w:tcPr>
                <w:p w14:paraId="5A142019">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067" w:type="pct"/>
                  <w:vMerge w:val="continue"/>
                  <w:noWrap w:val="0"/>
                  <w:vAlign w:val="center"/>
                </w:tcPr>
                <w:p w14:paraId="0E3BAE2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4FFC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2" w:type="pct"/>
                  <w:vMerge w:val="continue"/>
                  <w:noWrap w:val="0"/>
                  <w:vAlign w:val="center"/>
                </w:tcPr>
                <w:p w14:paraId="1E0EEA4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832" w:type="pct"/>
                  <w:vMerge w:val="continue"/>
                  <w:noWrap w:val="0"/>
                  <w:vAlign w:val="center"/>
                </w:tcPr>
                <w:p w14:paraId="5F1CCE6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c>
                <w:tcPr>
                  <w:tcW w:w="1064" w:type="pct"/>
                  <w:gridSpan w:val="2"/>
                  <w:noWrap w:val="0"/>
                  <w:vAlign w:val="center"/>
                </w:tcPr>
                <w:p w14:paraId="1BD9FF68">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1,3-丁二烯</w:t>
                  </w:r>
                </w:p>
              </w:tc>
              <w:tc>
                <w:tcPr>
                  <w:tcW w:w="437" w:type="pct"/>
                  <w:vMerge w:val="continue"/>
                  <w:noWrap w:val="0"/>
                  <w:vAlign w:val="center"/>
                </w:tcPr>
                <w:p w14:paraId="6814029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600" w:type="pct"/>
                  <w:gridSpan w:val="2"/>
                  <w:noWrap w:val="0"/>
                  <w:vAlign w:val="center"/>
                </w:tcPr>
                <w:p w14:paraId="35ED609B">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1</w:t>
                  </w:r>
                </w:p>
              </w:tc>
              <w:tc>
                <w:tcPr>
                  <w:tcW w:w="525" w:type="pct"/>
                  <w:noWrap w:val="0"/>
                  <w:vAlign w:val="center"/>
                </w:tcPr>
                <w:p w14:paraId="7F65AA20">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067" w:type="pct"/>
                  <w:vMerge w:val="continue"/>
                  <w:noWrap w:val="0"/>
                  <w:vAlign w:val="center"/>
                </w:tcPr>
                <w:p w14:paraId="090BB52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r>
            <w:tr w14:paraId="345A9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2" w:type="pct"/>
                  <w:vMerge w:val="continue"/>
                  <w:noWrap w:val="0"/>
                  <w:vAlign w:val="center"/>
                </w:tcPr>
                <w:p w14:paraId="2C2E775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832" w:type="pct"/>
                  <w:vMerge w:val="continue"/>
                  <w:noWrap w:val="0"/>
                  <w:vAlign w:val="center"/>
                </w:tcPr>
                <w:p w14:paraId="7A69970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c>
                <w:tcPr>
                  <w:tcW w:w="1064" w:type="pct"/>
                  <w:gridSpan w:val="2"/>
                  <w:noWrap w:val="0"/>
                  <w:vAlign w:val="center"/>
                </w:tcPr>
                <w:p w14:paraId="0E27073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甲苯</w:t>
                  </w:r>
                </w:p>
              </w:tc>
              <w:tc>
                <w:tcPr>
                  <w:tcW w:w="437" w:type="pct"/>
                  <w:vMerge w:val="continue"/>
                  <w:noWrap w:val="0"/>
                  <w:vAlign w:val="center"/>
                </w:tcPr>
                <w:p w14:paraId="5CEF163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600" w:type="pct"/>
                  <w:gridSpan w:val="2"/>
                  <w:noWrap w:val="0"/>
                  <w:vAlign w:val="center"/>
                </w:tcPr>
                <w:p w14:paraId="3A99DF0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8</w:t>
                  </w:r>
                </w:p>
              </w:tc>
              <w:tc>
                <w:tcPr>
                  <w:tcW w:w="525" w:type="pct"/>
                  <w:noWrap w:val="0"/>
                  <w:vAlign w:val="center"/>
                </w:tcPr>
                <w:p w14:paraId="584E4112">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067" w:type="pct"/>
                  <w:vMerge w:val="continue"/>
                  <w:noWrap w:val="0"/>
                  <w:vAlign w:val="center"/>
                </w:tcPr>
                <w:p w14:paraId="276F96CE">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r>
            <w:tr w14:paraId="293B6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2" w:type="pct"/>
                  <w:vMerge w:val="continue"/>
                  <w:noWrap w:val="0"/>
                  <w:vAlign w:val="center"/>
                </w:tcPr>
                <w:p w14:paraId="2C8025C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832" w:type="pct"/>
                  <w:vMerge w:val="continue"/>
                  <w:noWrap w:val="0"/>
                  <w:vAlign w:val="center"/>
                </w:tcPr>
                <w:p w14:paraId="46C39A0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c>
                <w:tcPr>
                  <w:tcW w:w="1064" w:type="pct"/>
                  <w:gridSpan w:val="2"/>
                  <w:noWrap w:val="0"/>
                  <w:vAlign w:val="center"/>
                </w:tcPr>
                <w:p w14:paraId="5377FADE">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乙苯</w:t>
                  </w:r>
                </w:p>
              </w:tc>
              <w:tc>
                <w:tcPr>
                  <w:tcW w:w="437" w:type="pct"/>
                  <w:vMerge w:val="continue"/>
                  <w:noWrap w:val="0"/>
                  <w:vAlign w:val="center"/>
                </w:tcPr>
                <w:p w14:paraId="1BB2114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600" w:type="pct"/>
                  <w:gridSpan w:val="2"/>
                  <w:noWrap w:val="0"/>
                  <w:vAlign w:val="center"/>
                </w:tcPr>
                <w:p w14:paraId="7B96E3D3">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50</w:t>
                  </w:r>
                </w:p>
              </w:tc>
              <w:tc>
                <w:tcPr>
                  <w:tcW w:w="525" w:type="pct"/>
                  <w:noWrap w:val="0"/>
                  <w:vAlign w:val="center"/>
                </w:tcPr>
                <w:p w14:paraId="21BFA770">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067" w:type="pct"/>
                  <w:vMerge w:val="continue"/>
                  <w:noWrap w:val="0"/>
                  <w:vAlign w:val="center"/>
                </w:tcPr>
                <w:p w14:paraId="0AA6683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r>
            <w:tr w14:paraId="25B2F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2" w:type="pct"/>
                  <w:vMerge w:val="continue"/>
                  <w:noWrap w:val="0"/>
                  <w:vAlign w:val="center"/>
                </w:tcPr>
                <w:p w14:paraId="5EC306E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832" w:type="pct"/>
                  <w:noWrap w:val="0"/>
                  <w:vAlign w:val="center"/>
                </w:tcPr>
                <w:p w14:paraId="4FEBAC0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注塑</w:t>
                  </w:r>
                  <w:r>
                    <w:rPr>
                      <w:rFonts w:hint="default" w:ascii="Times New Roman" w:hAnsi="Times New Roman" w:cs="Times New Roman"/>
                      <w:color w:val="auto"/>
                      <w:kern w:val="0"/>
                      <w:sz w:val="21"/>
                      <w:szCs w:val="21"/>
                      <w:lang w:val="en-US" w:eastAsia="zh-CN"/>
                    </w:rPr>
                    <w:t>、液态成型</w:t>
                  </w:r>
                </w:p>
              </w:tc>
              <w:tc>
                <w:tcPr>
                  <w:tcW w:w="1064" w:type="pct"/>
                  <w:gridSpan w:val="2"/>
                  <w:noWrap w:val="0"/>
                  <w:vAlign w:val="center"/>
                </w:tcPr>
                <w:p w14:paraId="0414759B">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臭气浓度</w:t>
                  </w:r>
                </w:p>
              </w:tc>
              <w:tc>
                <w:tcPr>
                  <w:tcW w:w="437" w:type="pct"/>
                  <w:vMerge w:val="continue"/>
                  <w:noWrap w:val="0"/>
                  <w:vAlign w:val="center"/>
                </w:tcPr>
                <w:p w14:paraId="0973AB6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600" w:type="pct"/>
                  <w:gridSpan w:val="2"/>
                  <w:noWrap w:val="0"/>
                  <w:vAlign w:val="center"/>
                </w:tcPr>
                <w:p w14:paraId="75CE63F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40000</w:t>
                  </w:r>
                  <w:r>
                    <w:rPr>
                      <w:rFonts w:hint="default" w:ascii="Times New Roman" w:hAnsi="Times New Roman" w:eastAsia="宋体" w:cs="Times New Roman"/>
                      <w:color w:val="auto"/>
                      <w:kern w:val="0"/>
                      <w:sz w:val="21"/>
                      <w:szCs w:val="21"/>
                      <w:lang w:val="en-US" w:eastAsia="zh-CN"/>
                    </w:rPr>
                    <w:t>（无量纲）</w:t>
                  </w:r>
                </w:p>
              </w:tc>
              <w:tc>
                <w:tcPr>
                  <w:tcW w:w="525" w:type="pct"/>
                  <w:noWrap w:val="0"/>
                  <w:vAlign w:val="center"/>
                </w:tcPr>
                <w:p w14:paraId="3261AEFC">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w:t>
                  </w:r>
                </w:p>
              </w:tc>
              <w:tc>
                <w:tcPr>
                  <w:tcW w:w="1067" w:type="pct"/>
                  <w:noWrap w:val="0"/>
                  <w:vAlign w:val="center"/>
                </w:tcPr>
                <w:p w14:paraId="3A3160C5">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GB14554-93</w:t>
                  </w:r>
                </w:p>
              </w:tc>
            </w:tr>
            <w:tr w14:paraId="42578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9"/>
                  <w:noWrap w:val="0"/>
                  <w:vAlign w:val="center"/>
                </w:tcPr>
                <w:p w14:paraId="65E14CDE">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注：根据《橡胶制品工业污染物排放标准》（GB27632-2011）“4.2.7所有排气筒高度应不低于15m，排气筒周围半径200m范围内有建筑物时，排气筒高度还应高出最高建筑物3m以上”。项目排气筒高度为54m，附近200m范围内最高建筑物高度为51m，可以高出最高建筑物3m以上，符合要求。</w:t>
                  </w:r>
                </w:p>
              </w:tc>
            </w:tr>
          </w:tbl>
          <w:p w14:paraId="55C48E5E">
            <w:pPr>
              <w:keepNext w:val="0"/>
              <w:keepLines w:val="0"/>
              <w:suppressLineNumbers w:val="0"/>
              <w:wordWrap w:val="0"/>
              <w:spacing w:before="0" w:beforeAutospacing="0" w:after="0" w:afterAutospacing="0"/>
              <w:ind w:left="0" w:right="0" w:firstLine="482" w:firstLineChars="200"/>
              <w:rPr>
                <w:rFonts w:hint="default" w:ascii="Times New Roman" w:hAnsi="Times New Roman" w:eastAsia="宋体" w:cs="Times New Roman"/>
                <w:b/>
                <w:bCs w:val="0"/>
                <w:color w:val="auto"/>
                <w:sz w:val="24"/>
                <w:szCs w:val="24"/>
                <w:lang w:val="en-US" w:eastAsia="zh-CN" w:bidi="ar"/>
              </w:rPr>
            </w:pPr>
            <w:r>
              <w:rPr>
                <w:rFonts w:hint="default" w:ascii="Times New Roman" w:hAnsi="Times New Roman" w:eastAsia="宋体" w:cs="Times New Roman"/>
                <w:b/>
                <w:bCs w:val="0"/>
                <w:color w:val="auto"/>
                <w:sz w:val="24"/>
                <w:szCs w:val="24"/>
                <w:lang w:val="en-US" w:eastAsia="zh-CN" w:bidi="ar"/>
              </w:rPr>
              <w:t>厂界无组织（未被收集的工序废气、</w:t>
            </w:r>
            <w:r>
              <w:rPr>
                <w:rFonts w:hint="default" w:ascii="Times New Roman" w:hAnsi="Times New Roman" w:cs="Times New Roman"/>
                <w:b/>
                <w:bCs w:val="0"/>
                <w:color w:val="auto"/>
                <w:sz w:val="24"/>
                <w:szCs w:val="24"/>
                <w:lang w:val="en-US" w:eastAsia="zh-CN" w:bidi="ar"/>
              </w:rPr>
              <w:t>机加工废气、电火花废气、破碎</w:t>
            </w:r>
            <w:r>
              <w:rPr>
                <w:rFonts w:hint="default" w:ascii="Times New Roman" w:hAnsi="Times New Roman" w:eastAsia="宋体" w:cs="Times New Roman"/>
                <w:b/>
                <w:bCs w:val="0"/>
                <w:color w:val="auto"/>
                <w:sz w:val="24"/>
                <w:szCs w:val="24"/>
                <w:lang w:val="en-US" w:eastAsia="zh-CN" w:bidi="ar"/>
              </w:rPr>
              <w:t>废气）：</w:t>
            </w:r>
          </w:p>
          <w:p w14:paraId="0F039AE6">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val="en-US" w:eastAsia="zh-CN" w:bidi="ar"/>
              </w:rPr>
            </w:pPr>
            <w:r>
              <w:rPr>
                <w:rFonts w:hint="default" w:ascii="Times New Roman" w:hAnsi="Times New Roman" w:cs="Times New Roman"/>
                <w:bCs/>
                <w:color w:val="auto"/>
                <w:sz w:val="24"/>
                <w:szCs w:val="24"/>
                <w:lang w:val="en-US" w:eastAsia="zh-CN" w:bidi="ar"/>
              </w:rPr>
              <w:t>厂界颗粒物执行</w:t>
            </w:r>
            <w:r>
              <w:rPr>
                <w:rFonts w:hint="default" w:ascii="Times New Roman" w:hAnsi="Times New Roman" w:eastAsia="宋体" w:cs="Times New Roman"/>
                <w:b w:val="0"/>
                <w:bCs/>
                <w:color w:val="auto"/>
                <w:kern w:val="2"/>
                <w:sz w:val="24"/>
                <w:szCs w:val="24"/>
                <w:highlight w:val="none"/>
                <w:lang w:val="en-US" w:eastAsia="zh-CN" w:bidi="ar-SA"/>
              </w:rPr>
              <w:t>广东省《大气污染物排放限值》（DB44/27-2001）第二时段无组织排放浓度限、</w:t>
            </w:r>
            <w:r>
              <w:rPr>
                <w:rFonts w:hint="default" w:ascii="Times New Roman" w:hAnsi="Times New Roman" w:cs="Times New Roman"/>
                <w:bCs/>
                <w:color w:val="auto"/>
                <w:lang w:eastAsia="zh-CN" w:bidi="ar"/>
              </w:rPr>
              <w:t>《</w:t>
            </w:r>
            <w:r>
              <w:rPr>
                <w:rFonts w:hint="default" w:ascii="Times New Roman" w:hAnsi="Times New Roman" w:cs="Times New Roman"/>
                <w:bCs/>
                <w:color w:val="auto"/>
                <w:lang w:bidi="ar"/>
              </w:rPr>
              <w:t>合成树脂工业污染物排放标准》（GB31572-2015，含2024年修改单）表</w:t>
            </w:r>
            <w:r>
              <w:rPr>
                <w:rFonts w:hint="default" w:ascii="Times New Roman" w:hAnsi="Times New Roman" w:cs="Times New Roman"/>
                <w:bCs/>
                <w:color w:val="auto"/>
                <w:lang w:val="en-US" w:eastAsia="zh-CN" w:bidi="ar"/>
              </w:rPr>
              <w:t>9企业边界大气污染物浓度限值两者较严值；厂界非甲烷总烃</w:t>
            </w:r>
            <w:r>
              <w:rPr>
                <w:rFonts w:hint="default" w:ascii="Times New Roman" w:hAnsi="Times New Roman" w:eastAsia="宋体" w:cs="Times New Roman"/>
                <w:bCs/>
                <w:color w:val="auto"/>
                <w:sz w:val="24"/>
                <w:szCs w:val="24"/>
                <w:lang w:val="en-US" w:eastAsia="zh-CN" w:bidi="ar"/>
              </w:rPr>
              <w:t>执行《合成树脂工业污染物排放标准》（GB31572-2015，含2024年修改单）表9企业边界大气污染物浓度限值、</w:t>
            </w:r>
            <w:r>
              <w:rPr>
                <w:rFonts w:hint="default" w:ascii="Times New Roman" w:hAnsi="Times New Roman" w:eastAsia="宋体" w:cs="Times New Roman"/>
                <w:b w:val="0"/>
                <w:bCs/>
                <w:color w:val="auto"/>
                <w:kern w:val="2"/>
                <w:sz w:val="24"/>
                <w:szCs w:val="24"/>
                <w:highlight w:val="none"/>
                <w:lang w:val="en-US" w:eastAsia="zh-CN" w:bidi="ar-SA"/>
              </w:rPr>
              <w:t>广东省《大气污染物排放限值》（DB44/27-2001）第二时段无组织排放浓度限值和《橡胶制品工业污染物排放标准》（GB27632-2011）表6厂界无组织排放限值三者较严值；</w:t>
            </w:r>
            <w:r>
              <w:rPr>
                <w:rFonts w:hint="default" w:ascii="Times New Roman" w:hAnsi="Times New Roman" w:eastAsia="宋体" w:cs="Times New Roman"/>
                <w:bCs/>
                <w:color w:val="auto"/>
                <w:sz w:val="24"/>
                <w:szCs w:val="24"/>
                <w:lang w:val="en-US" w:eastAsia="zh-CN" w:bidi="ar"/>
              </w:rPr>
              <w:t>甲苯执行《合成树脂工业污染物排放标准》（GB31572-2015，含2024年修改单）表9企业边界大气污染物浓度限值，总VOCs无组织排放执行《印刷行业挥发性有机化合物排放标准》（DB44/815-2010）和广东省地方标准《家具制造行业挥发性有机化合物排放标准》（DB44/814-2010）两者较严</w:t>
            </w:r>
            <w:r>
              <w:rPr>
                <w:rFonts w:hint="default" w:ascii="Times New Roman" w:hAnsi="Times New Roman" w:cs="Times New Roman"/>
                <w:bCs/>
                <w:color w:val="auto"/>
                <w:sz w:val="24"/>
                <w:szCs w:val="24"/>
                <w:lang w:val="en-US" w:eastAsia="zh-CN" w:bidi="ar"/>
              </w:rPr>
              <w:t>值；</w:t>
            </w:r>
            <w:r>
              <w:rPr>
                <w:rFonts w:hint="default" w:ascii="Times New Roman" w:hAnsi="Times New Roman" w:eastAsia="宋体" w:cs="Times New Roman"/>
                <w:bCs/>
                <w:color w:val="auto"/>
                <w:sz w:val="24"/>
                <w:szCs w:val="24"/>
                <w:lang w:val="en-US" w:eastAsia="zh-CN" w:bidi="ar"/>
              </w:rPr>
              <w:t>臭气浓度无组织排放执行《恶臭污染物排放标准》（GB14554-93）表1恶臭污染物厂界标准值中新改扩建二级标准值。</w:t>
            </w:r>
          </w:p>
          <w:p w14:paraId="75A0EA02">
            <w:pPr>
              <w:widowControl/>
              <w:numPr>
                <w:ilvl w:val="0"/>
                <w:numId w:val="0"/>
              </w:numPr>
              <w:spacing w:line="240" w:lineRule="auto"/>
              <w:ind w:left="420" w:leftChars="0" w:hanging="420" w:firstLineChars="0"/>
              <w:jc w:val="center"/>
              <w:rPr>
                <w:rFonts w:hint="default" w:ascii="Times New Roman" w:hAnsi="Times New Roman" w:eastAsia="宋体" w:cs="Times New Roman"/>
                <w:b/>
                <w:color w:val="auto"/>
                <w:sz w:val="24"/>
                <w:szCs w:val="24"/>
                <w:lang w:val="en-US" w:eastAsia="zh-CN"/>
              </w:rPr>
            </w:pPr>
            <w:r>
              <w:rPr>
                <w:rFonts w:hint="default" w:ascii="Times New Roman" w:hAnsi="Times New Roman" w:eastAsia="宋体" w:cs="Times New Roman"/>
                <w:b/>
                <w:color w:val="auto"/>
                <w:kern w:val="2"/>
                <w:sz w:val="24"/>
                <w:szCs w:val="24"/>
                <w:lang w:val="en-US" w:eastAsia="zh-CN" w:bidi="ar-SA"/>
              </w:rPr>
              <w:t>表3-</w:t>
            </w:r>
            <w:r>
              <w:rPr>
                <w:rFonts w:hint="default" w:ascii="Times New Roman" w:hAnsi="Times New Roman" w:cs="Times New Roman"/>
                <w:b/>
                <w:color w:val="auto"/>
                <w:kern w:val="2"/>
                <w:sz w:val="24"/>
                <w:szCs w:val="24"/>
                <w:lang w:val="en-US" w:eastAsia="zh-CN" w:bidi="ar-SA"/>
              </w:rPr>
              <w:t xml:space="preserve">6 </w:t>
            </w:r>
            <w:r>
              <w:rPr>
                <w:rFonts w:hint="default" w:ascii="Times New Roman" w:hAnsi="Times New Roman" w:eastAsia="宋体" w:cs="Times New Roman"/>
                <w:b/>
                <w:bCs/>
                <w:color w:val="auto"/>
                <w:sz w:val="24"/>
                <w:szCs w:val="24"/>
                <w:lang w:val="en-US" w:eastAsia="zh-CN"/>
              </w:rPr>
              <w:t>项目厂界无组织废气</w:t>
            </w:r>
            <w:r>
              <w:rPr>
                <w:rFonts w:hint="default" w:ascii="Times New Roman" w:hAnsi="Times New Roman" w:eastAsia="宋体" w:cs="Times New Roman"/>
                <w:b/>
                <w:color w:val="auto"/>
                <w:sz w:val="24"/>
                <w:szCs w:val="24"/>
                <w:lang w:val="en-US" w:eastAsia="zh-CN"/>
              </w:rPr>
              <w:t>排放</w:t>
            </w:r>
            <w:r>
              <w:rPr>
                <w:rFonts w:hint="default" w:ascii="Times New Roman" w:hAnsi="Times New Roman" w:eastAsia="宋体" w:cs="Times New Roman"/>
                <w:b/>
                <w:bCs/>
                <w:color w:val="auto"/>
                <w:sz w:val="24"/>
                <w:szCs w:val="24"/>
                <w:lang w:val="en-US" w:eastAsia="zh-CN"/>
              </w:rPr>
              <w:t>限值要求</w:t>
            </w:r>
          </w:p>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8"/>
              <w:gridCol w:w="3272"/>
              <w:gridCol w:w="3709"/>
            </w:tblGrid>
            <w:tr w14:paraId="4E25F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59" w:type="pct"/>
                  <w:noWrap w:val="0"/>
                  <w:vAlign w:val="center"/>
                </w:tcPr>
                <w:p w14:paraId="6DDDFB31">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lang w:val="en-US" w:eastAsia="zh-CN" w:bidi="ar-SA"/>
                    </w:rPr>
                  </w:pPr>
                  <w:r>
                    <w:rPr>
                      <w:rFonts w:hint="default" w:ascii="Times New Roman" w:hAnsi="Times New Roman" w:eastAsia="宋体" w:cs="Times New Roman"/>
                      <w:b/>
                      <w:color w:val="auto"/>
                      <w:kern w:val="0"/>
                      <w:sz w:val="21"/>
                      <w:szCs w:val="21"/>
                    </w:rPr>
                    <w:t>污染因子</w:t>
                  </w:r>
                </w:p>
              </w:tc>
              <w:tc>
                <w:tcPr>
                  <w:tcW w:w="1846" w:type="pct"/>
                  <w:noWrap w:val="0"/>
                  <w:vAlign w:val="center"/>
                </w:tcPr>
                <w:p w14:paraId="50C31ED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vertAlign w:val="superscript"/>
                      <w:lang w:val="en-US" w:eastAsia="zh-CN" w:bidi="ar-SA"/>
                    </w:rPr>
                  </w:pPr>
                  <w:r>
                    <w:rPr>
                      <w:rFonts w:hint="default" w:ascii="Times New Roman" w:hAnsi="Times New Roman" w:eastAsia="宋体" w:cs="Times New Roman"/>
                      <w:b/>
                      <w:color w:val="auto"/>
                      <w:kern w:val="0"/>
                      <w:sz w:val="21"/>
                      <w:szCs w:val="21"/>
                    </w:rPr>
                    <w:t>无组织排放监控浓度限值mg/m</w:t>
                  </w:r>
                  <w:r>
                    <w:rPr>
                      <w:rFonts w:hint="default" w:ascii="Times New Roman" w:hAnsi="Times New Roman" w:eastAsia="宋体" w:cs="Times New Roman"/>
                      <w:b/>
                      <w:color w:val="auto"/>
                      <w:kern w:val="0"/>
                      <w:sz w:val="21"/>
                      <w:szCs w:val="21"/>
                      <w:vertAlign w:val="superscript"/>
                    </w:rPr>
                    <w:t>3</w:t>
                  </w:r>
                </w:p>
              </w:tc>
              <w:tc>
                <w:tcPr>
                  <w:tcW w:w="2093" w:type="pct"/>
                  <w:noWrap w:val="0"/>
                  <w:vAlign w:val="center"/>
                </w:tcPr>
                <w:p w14:paraId="73B6105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lang w:val="en-US" w:eastAsia="zh-CN" w:bidi="ar-SA"/>
                    </w:rPr>
                  </w:pPr>
                  <w:r>
                    <w:rPr>
                      <w:rFonts w:hint="default" w:ascii="Times New Roman" w:hAnsi="Times New Roman" w:eastAsia="宋体" w:cs="Times New Roman"/>
                      <w:b/>
                      <w:color w:val="auto"/>
                      <w:kern w:val="0"/>
                      <w:sz w:val="21"/>
                      <w:szCs w:val="21"/>
                    </w:rPr>
                    <w:t>执行标准</w:t>
                  </w:r>
                </w:p>
              </w:tc>
            </w:tr>
            <w:tr w14:paraId="6F527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9" w:type="pct"/>
                  <w:noWrap w:val="0"/>
                  <w:vAlign w:val="center"/>
                </w:tcPr>
                <w:p w14:paraId="1E89D74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1846" w:type="pct"/>
                  <w:noWrap w:val="0"/>
                  <w:vAlign w:val="center"/>
                </w:tcPr>
                <w:p w14:paraId="7F12237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4.0</w:t>
                  </w:r>
                </w:p>
              </w:tc>
              <w:tc>
                <w:tcPr>
                  <w:tcW w:w="2093" w:type="pct"/>
                  <w:noWrap w:val="0"/>
                  <w:vAlign w:val="center"/>
                </w:tcPr>
                <w:p w14:paraId="223C7F6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GB31572-2015</w:t>
                  </w:r>
                  <w:r>
                    <w:rPr>
                      <w:rFonts w:hint="default" w:ascii="Times New Roman" w:hAnsi="Times New Roman" w:eastAsia="宋体" w:cs="Times New Roman"/>
                      <w:color w:val="auto"/>
                      <w:sz w:val="21"/>
                      <w:szCs w:val="21"/>
                      <w:lang w:eastAsia="zh-CN"/>
                    </w:rPr>
                    <w:t>、DB44/27-2001</w:t>
                  </w:r>
                  <w:r>
                    <w:rPr>
                      <w:rFonts w:hint="default" w:ascii="Times New Roman" w:hAnsi="Times New Roman" w:cs="Times New Roman"/>
                      <w:color w:val="auto"/>
                      <w:sz w:val="21"/>
                      <w:szCs w:val="21"/>
                      <w:lang w:eastAsia="zh-CN"/>
                    </w:rPr>
                    <w:t>、GB27632-2011</w:t>
                  </w:r>
                </w:p>
              </w:tc>
            </w:tr>
            <w:tr w14:paraId="0F0FF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9" w:type="pct"/>
                  <w:noWrap w:val="0"/>
                  <w:vAlign w:val="center"/>
                </w:tcPr>
                <w:p w14:paraId="3334ECD6">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1846" w:type="pct"/>
                  <w:noWrap w:val="0"/>
                  <w:vAlign w:val="center"/>
                </w:tcPr>
                <w:p w14:paraId="2E2CC1D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2093" w:type="pct"/>
                  <w:noWrap w:val="0"/>
                  <w:vAlign w:val="center"/>
                </w:tcPr>
                <w:p w14:paraId="083E188E">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GB31572-2015</w:t>
                  </w:r>
                  <w:r>
                    <w:rPr>
                      <w:rFonts w:hint="default" w:ascii="Times New Roman" w:hAnsi="Times New Roman" w:eastAsia="宋体" w:cs="Times New Roman"/>
                      <w:color w:val="auto"/>
                      <w:sz w:val="21"/>
                      <w:szCs w:val="21"/>
                      <w:lang w:eastAsia="zh-CN"/>
                    </w:rPr>
                    <w:t>、DB44/27-2001</w:t>
                  </w:r>
                </w:p>
              </w:tc>
            </w:tr>
            <w:tr w14:paraId="0F1E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9" w:type="pct"/>
                  <w:noWrap w:val="0"/>
                  <w:vAlign w:val="center"/>
                </w:tcPr>
                <w:p w14:paraId="6E9AB89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总VOCs</w:t>
                  </w:r>
                </w:p>
              </w:tc>
              <w:tc>
                <w:tcPr>
                  <w:tcW w:w="1846" w:type="pct"/>
                  <w:noWrap w:val="0"/>
                  <w:vAlign w:val="center"/>
                </w:tcPr>
                <w:p w14:paraId="14A21C7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w:t>
                  </w:r>
                </w:p>
              </w:tc>
              <w:tc>
                <w:tcPr>
                  <w:tcW w:w="2093" w:type="pct"/>
                  <w:noWrap w:val="0"/>
                  <w:vAlign w:val="center"/>
                </w:tcPr>
                <w:p w14:paraId="1A8A91A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DB44/815-2010</w:t>
                  </w:r>
                  <w:r>
                    <w:rPr>
                      <w:rFonts w:hint="default" w:ascii="Times New Roman" w:hAnsi="Times New Roman" w:eastAsia="宋体" w:cs="Times New Roman"/>
                      <w:color w:val="auto"/>
                      <w:sz w:val="21"/>
                      <w:szCs w:val="21"/>
                      <w:lang w:eastAsia="zh-CN"/>
                    </w:rPr>
                    <w:t>、DB44/814-2010</w:t>
                  </w:r>
                </w:p>
              </w:tc>
            </w:tr>
            <w:tr w14:paraId="02185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9" w:type="pct"/>
                  <w:noWrap w:val="0"/>
                  <w:vAlign w:val="center"/>
                </w:tcPr>
                <w:p w14:paraId="61F7C78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臭气浓度</w:t>
                  </w:r>
                </w:p>
              </w:tc>
              <w:tc>
                <w:tcPr>
                  <w:tcW w:w="1846" w:type="pct"/>
                  <w:noWrap w:val="0"/>
                  <w:vAlign w:val="center"/>
                </w:tcPr>
                <w:p w14:paraId="2525F78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20（无量纲）</w:t>
                  </w:r>
                </w:p>
              </w:tc>
              <w:tc>
                <w:tcPr>
                  <w:tcW w:w="2093" w:type="pct"/>
                  <w:vMerge w:val="restart"/>
                  <w:noWrap w:val="0"/>
                  <w:vAlign w:val="center"/>
                </w:tcPr>
                <w:p w14:paraId="3FCDE71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GB14554-93</w:t>
                  </w:r>
                </w:p>
              </w:tc>
            </w:tr>
            <w:tr w14:paraId="4A11C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9" w:type="pct"/>
                  <w:noWrap w:val="0"/>
                  <w:vAlign w:val="center"/>
                </w:tcPr>
                <w:p w14:paraId="6778F704">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苯乙烯</w:t>
                  </w:r>
                </w:p>
              </w:tc>
              <w:tc>
                <w:tcPr>
                  <w:tcW w:w="1846" w:type="pct"/>
                  <w:noWrap w:val="0"/>
                  <w:vAlign w:val="center"/>
                </w:tcPr>
                <w:p w14:paraId="0DF6127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5.0</w:t>
                  </w:r>
                </w:p>
              </w:tc>
              <w:tc>
                <w:tcPr>
                  <w:tcW w:w="2093" w:type="pct"/>
                  <w:vMerge w:val="continue"/>
                  <w:noWrap w:val="0"/>
                  <w:vAlign w:val="center"/>
                </w:tcPr>
                <w:p w14:paraId="17555ECE">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375BA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noWrap w:val="0"/>
                  <w:vAlign w:val="center"/>
                </w:tcPr>
                <w:p w14:paraId="513C230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甲苯</w:t>
                  </w:r>
                </w:p>
              </w:tc>
              <w:tc>
                <w:tcPr>
                  <w:tcW w:w="1846" w:type="pct"/>
                  <w:noWrap w:val="0"/>
                  <w:vAlign w:val="center"/>
                </w:tcPr>
                <w:p w14:paraId="3974B4B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0.8</w:t>
                  </w:r>
                </w:p>
              </w:tc>
              <w:tc>
                <w:tcPr>
                  <w:tcW w:w="2093" w:type="pct"/>
                  <w:noWrap w:val="0"/>
                  <w:vAlign w:val="center"/>
                </w:tcPr>
                <w:p w14:paraId="3E07748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GB31572-2015</w:t>
                  </w:r>
                </w:p>
              </w:tc>
            </w:tr>
          </w:tbl>
          <w:p w14:paraId="5C8C545F">
            <w:pPr>
              <w:keepNext w:val="0"/>
              <w:keepLines w:val="0"/>
              <w:suppressLineNumbers w:val="0"/>
              <w:wordWrap w:val="0"/>
              <w:spacing w:before="0" w:beforeAutospacing="0" w:after="0" w:afterAutospacing="0"/>
              <w:ind w:left="0" w:right="0" w:firstLine="482" w:firstLineChars="200"/>
              <w:rPr>
                <w:rFonts w:hint="default" w:ascii="Times New Roman" w:hAnsi="Times New Roman" w:eastAsia="宋体" w:cs="Times New Roman"/>
                <w:b/>
                <w:bCs w:val="0"/>
                <w:color w:val="auto"/>
                <w:sz w:val="24"/>
                <w:szCs w:val="24"/>
                <w:lang w:val="en-US" w:eastAsia="zh-CN" w:bidi="ar"/>
              </w:rPr>
            </w:pPr>
            <w:r>
              <w:rPr>
                <w:rFonts w:hint="default" w:ascii="Times New Roman" w:hAnsi="Times New Roman" w:eastAsia="宋体" w:cs="Times New Roman"/>
                <w:b/>
                <w:bCs w:val="0"/>
                <w:color w:val="auto"/>
                <w:sz w:val="24"/>
                <w:szCs w:val="24"/>
                <w:lang w:val="en-US" w:eastAsia="zh-CN" w:bidi="ar"/>
              </w:rPr>
              <w:t>厂区内无组织：</w:t>
            </w:r>
          </w:p>
          <w:p w14:paraId="4B749918">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厂区内NMHC无组织排放执行广东省《固定污染源挥发性有机物综合排放标准》（DB44/2367-2022）中的表3厂区内 VOCs 无组织排放限值和《印刷工业大气污染物排放标准》（GB 41616-2022）表A.1厂区内VOCs无组织排放限值的较严值。</w:t>
            </w:r>
          </w:p>
          <w:p w14:paraId="230B5DDA">
            <w:pPr>
              <w:widowControl/>
              <w:numPr>
                <w:ilvl w:val="0"/>
                <w:numId w:val="0"/>
              </w:numPr>
              <w:spacing w:line="240" w:lineRule="auto"/>
              <w:ind w:left="420" w:leftChars="0" w:hanging="420" w:firstLineChars="0"/>
              <w:jc w:val="center"/>
              <w:rPr>
                <w:rFonts w:hint="default" w:ascii="Times New Roman" w:hAnsi="Times New Roman" w:eastAsia="宋体" w:cs="Times New Roman"/>
                <w:b/>
                <w:color w:val="auto"/>
                <w:sz w:val="24"/>
                <w:szCs w:val="24"/>
                <w:lang w:val="en-US" w:eastAsia="zh-CN"/>
              </w:rPr>
            </w:pPr>
            <w:r>
              <w:rPr>
                <w:rFonts w:hint="default" w:ascii="Times New Roman" w:hAnsi="Times New Roman" w:eastAsia="宋体" w:cs="Times New Roman"/>
                <w:b/>
                <w:color w:val="auto"/>
                <w:kern w:val="2"/>
                <w:sz w:val="24"/>
                <w:szCs w:val="24"/>
                <w:lang w:val="en-US" w:eastAsia="zh-CN" w:bidi="ar-SA"/>
              </w:rPr>
              <w:t>表3-</w:t>
            </w:r>
            <w:r>
              <w:rPr>
                <w:rFonts w:hint="default" w:ascii="Times New Roman" w:hAnsi="Times New Roman" w:cs="Times New Roman"/>
                <w:b/>
                <w:color w:val="auto"/>
                <w:kern w:val="2"/>
                <w:sz w:val="24"/>
                <w:szCs w:val="24"/>
                <w:lang w:val="en-US" w:eastAsia="zh-CN" w:bidi="ar-SA"/>
              </w:rPr>
              <w:t>7</w:t>
            </w:r>
            <w:r>
              <w:rPr>
                <w:rFonts w:hint="default" w:ascii="Times New Roman" w:hAnsi="Times New Roman" w:eastAsia="宋体" w:cs="Times New Roman"/>
                <w:b/>
                <w:bCs/>
                <w:color w:val="auto"/>
                <w:sz w:val="24"/>
                <w:szCs w:val="24"/>
                <w:lang w:val="en-US" w:eastAsia="zh-CN"/>
              </w:rPr>
              <w:t>项目厂区无组织废气</w:t>
            </w:r>
            <w:r>
              <w:rPr>
                <w:rFonts w:hint="default" w:ascii="Times New Roman" w:hAnsi="Times New Roman" w:eastAsia="宋体" w:cs="Times New Roman"/>
                <w:b/>
                <w:color w:val="auto"/>
                <w:sz w:val="24"/>
                <w:szCs w:val="24"/>
                <w:lang w:val="en-US" w:eastAsia="zh-CN"/>
              </w:rPr>
              <w:t>排放</w:t>
            </w:r>
            <w:r>
              <w:rPr>
                <w:rFonts w:hint="default" w:ascii="Times New Roman" w:hAnsi="Times New Roman" w:eastAsia="宋体" w:cs="Times New Roman"/>
                <w:b/>
                <w:bCs/>
                <w:color w:val="auto"/>
                <w:sz w:val="24"/>
                <w:szCs w:val="24"/>
                <w:lang w:val="en-US" w:eastAsia="zh-CN"/>
              </w:rPr>
              <w:t>限值要求</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b/>
                <w:bCs/>
                <w:color w:val="auto"/>
                <w:sz w:val="24"/>
                <w:szCs w:val="24"/>
                <w:lang w:val="en-US" w:eastAsia="zh-CN"/>
              </w:rPr>
              <w:t>单位：mg/m</w:t>
            </w:r>
            <w:r>
              <w:rPr>
                <w:rFonts w:hint="default" w:ascii="Times New Roman" w:hAnsi="Times New Roman" w:cs="Times New Roman"/>
                <w:b/>
                <w:bCs/>
                <w:color w:val="auto"/>
                <w:sz w:val="24"/>
                <w:szCs w:val="24"/>
                <w:vertAlign w:val="superscript"/>
                <w:lang w:val="en-US" w:eastAsia="zh-CN"/>
              </w:rPr>
              <w:t>3</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73"/>
              <w:gridCol w:w="3022"/>
              <w:gridCol w:w="2505"/>
            </w:tblGrid>
            <w:tr w14:paraId="0B4EA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880" w:type="pct"/>
                  <w:noWrap w:val="0"/>
                  <w:vAlign w:val="center"/>
                </w:tcPr>
                <w:p w14:paraId="202ABE4E">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污染物项目</w:t>
                  </w:r>
                </w:p>
              </w:tc>
              <w:tc>
                <w:tcPr>
                  <w:tcW w:w="1000" w:type="pct"/>
                  <w:noWrap w:val="0"/>
                  <w:vAlign w:val="center"/>
                </w:tcPr>
                <w:p w14:paraId="7180C856">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特别排放限值</w:t>
                  </w:r>
                </w:p>
              </w:tc>
              <w:tc>
                <w:tcPr>
                  <w:tcW w:w="1705" w:type="pct"/>
                  <w:noWrap w:val="0"/>
                  <w:vAlign w:val="center"/>
                </w:tcPr>
                <w:p w14:paraId="477D521E">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限值含义</w:t>
                  </w:r>
                </w:p>
              </w:tc>
              <w:tc>
                <w:tcPr>
                  <w:tcW w:w="1413" w:type="pct"/>
                  <w:noWrap w:val="0"/>
                  <w:vAlign w:val="center"/>
                </w:tcPr>
                <w:p w14:paraId="4080C92E">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无组织排放监控位置</w:t>
                  </w:r>
                </w:p>
              </w:tc>
            </w:tr>
            <w:tr w14:paraId="32B38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0" w:type="pct"/>
                  <w:vMerge w:val="restart"/>
                  <w:noWrap w:val="0"/>
                  <w:vAlign w:val="center"/>
                </w:tcPr>
                <w:p w14:paraId="0A75DCB2">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NMHC</w:t>
                  </w:r>
                </w:p>
              </w:tc>
              <w:tc>
                <w:tcPr>
                  <w:tcW w:w="1000" w:type="pct"/>
                  <w:noWrap w:val="0"/>
                  <w:vAlign w:val="center"/>
                </w:tcPr>
                <w:p w14:paraId="21D076C4">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1705" w:type="pct"/>
                  <w:noWrap w:val="0"/>
                  <w:vAlign w:val="center"/>
                </w:tcPr>
                <w:p w14:paraId="4DD1DAA6">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监控点处1h平均浓度值</w:t>
                  </w:r>
                </w:p>
              </w:tc>
              <w:tc>
                <w:tcPr>
                  <w:tcW w:w="1413" w:type="pct"/>
                  <w:vMerge w:val="restart"/>
                  <w:noWrap w:val="0"/>
                  <w:vAlign w:val="center"/>
                </w:tcPr>
                <w:p w14:paraId="1F31F8FF">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在厂房外设置监控点</w:t>
                  </w:r>
                </w:p>
              </w:tc>
            </w:tr>
            <w:tr w14:paraId="29D17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80" w:type="pct"/>
                  <w:vMerge w:val="continue"/>
                  <w:noWrap w:val="0"/>
                  <w:vAlign w:val="center"/>
                </w:tcPr>
                <w:p w14:paraId="1B8D7D68">
                  <w:pPr>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iCs/>
                      <w:snapToGrid w:val="0"/>
                      <w:color w:val="auto"/>
                      <w:sz w:val="21"/>
                      <w:szCs w:val="21"/>
                      <w:lang w:val="en-US" w:eastAsia="zh-CN" w:bidi="ar-SA"/>
                    </w:rPr>
                  </w:pPr>
                </w:p>
              </w:tc>
              <w:tc>
                <w:tcPr>
                  <w:tcW w:w="1000" w:type="pct"/>
                  <w:noWrap w:val="0"/>
                  <w:vAlign w:val="center"/>
                </w:tcPr>
                <w:p w14:paraId="23A17248">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1705" w:type="pct"/>
                  <w:noWrap w:val="0"/>
                  <w:vAlign w:val="center"/>
                </w:tcPr>
                <w:p w14:paraId="3F48B433">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监控点处任意一次浓度值</w:t>
                  </w:r>
                </w:p>
              </w:tc>
              <w:tc>
                <w:tcPr>
                  <w:tcW w:w="1413" w:type="pct"/>
                  <w:vMerge w:val="continue"/>
                  <w:noWrap w:val="0"/>
                  <w:vAlign w:val="center"/>
                </w:tcPr>
                <w:p w14:paraId="23230AAC">
                  <w:pPr>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iCs/>
                      <w:snapToGrid w:val="0"/>
                      <w:color w:val="auto"/>
                      <w:sz w:val="21"/>
                      <w:szCs w:val="21"/>
                      <w:lang w:val="en-US" w:eastAsia="zh-CN" w:bidi="ar-SA"/>
                    </w:rPr>
                  </w:pPr>
                </w:p>
              </w:tc>
            </w:tr>
          </w:tbl>
          <w:p w14:paraId="317C2838">
            <w:pPr>
              <w:ind w:firstLine="482" w:firstLineChars="200"/>
              <w:jc w:val="left"/>
              <w:rPr>
                <w:rFonts w:hint="default" w:ascii="Times New Roman" w:hAnsi="Times New Roman" w:cs="Times New Roman"/>
                <w:b/>
                <w:color w:val="auto"/>
                <w:szCs w:val="22"/>
              </w:rPr>
            </w:pPr>
            <w:r>
              <w:rPr>
                <w:rFonts w:hint="default" w:ascii="Times New Roman" w:hAnsi="Times New Roman" w:cs="Times New Roman"/>
                <w:b/>
                <w:color w:val="auto"/>
                <w:szCs w:val="22"/>
              </w:rPr>
              <w:t>3、噪声排放标准</w:t>
            </w:r>
          </w:p>
          <w:p w14:paraId="36EEFB99">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项目营运期噪声执行《工业企业厂界环境噪声排放标准》（GB12348-2008）</w:t>
            </w:r>
            <w:r>
              <w:rPr>
                <w:rFonts w:hint="default" w:ascii="Times New Roman" w:hAnsi="Times New Roman" w:cs="Times New Roman"/>
                <w:color w:val="auto"/>
                <w:szCs w:val="22"/>
                <w:lang w:val="en-US" w:eastAsia="zh-CN"/>
              </w:rPr>
              <w:t>2</w:t>
            </w:r>
            <w:r>
              <w:rPr>
                <w:rFonts w:hint="default" w:ascii="Times New Roman" w:hAnsi="Times New Roman" w:cs="Times New Roman"/>
                <w:color w:val="auto"/>
                <w:szCs w:val="22"/>
              </w:rPr>
              <w:t>类标准。</w:t>
            </w:r>
          </w:p>
          <w:p w14:paraId="31A423B6">
            <w:pPr>
              <w:spacing w:line="240" w:lineRule="auto"/>
              <w:jc w:val="center"/>
              <w:rPr>
                <w:rFonts w:hint="default" w:ascii="Times New Roman" w:hAnsi="Times New Roman" w:cs="Times New Roman"/>
                <w:b/>
                <w:color w:val="auto"/>
                <w:kern w:val="0"/>
              </w:rPr>
            </w:pPr>
            <w:r>
              <w:rPr>
                <w:rFonts w:hint="default" w:ascii="Times New Roman" w:hAnsi="Times New Roman" w:cs="Times New Roman"/>
                <w:b/>
                <w:color w:val="auto"/>
                <w:kern w:val="0"/>
              </w:rPr>
              <w:t>表</w:t>
            </w:r>
            <w:r>
              <w:rPr>
                <w:rFonts w:hint="default" w:ascii="Times New Roman" w:hAnsi="Times New Roman" w:cs="Times New Roman"/>
                <w:b/>
                <w:color w:val="auto"/>
                <w:kern w:val="0"/>
                <w:lang w:val="en-US" w:eastAsia="zh-CN"/>
              </w:rPr>
              <w:t>3-8</w:t>
            </w:r>
            <w:r>
              <w:rPr>
                <w:rFonts w:hint="default" w:ascii="Times New Roman" w:hAnsi="Times New Roman" w:cs="Times New Roman"/>
                <w:b/>
                <w:color w:val="auto"/>
                <w:kern w:val="0"/>
              </w:rPr>
              <w:t xml:space="preserve"> 项目营运期厂界噪声排放标准</w:t>
            </w:r>
            <w:r>
              <w:rPr>
                <w:rFonts w:hint="default" w:ascii="Times New Roman" w:hAnsi="Times New Roman" w:cs="Times New Roman"/>
                <w:b/>
                <w:bCs/>
                <w:color w:val="auto"/>
                <w:szCs w:val="22"/>
              </w:rPr>
              <w:t xml:space="preserve">   （单位：[dB(A)]）</w:t>
            </w:r>
          </w:p>
          <w:tbl>
            <w:tblPr>
              <w:tblStyle w:val="22"/>
              <w:tblW w:w="8839" w:type="dxa"/>
              <w:jc w:val="center"/>
              <w:tblLayout w:type="fixed"/>
              <w:tblCellMar>
                <w:top w:w="0" w:type="dxa"/>
                <w:left w:w="108" w:type="dxa"/>
                <w:bottom w:w="0" w:type="dxa"/>
                <w:right w:w="108" w:type="dxa"/>
              </w:tblCellMar>
            </w:tblPr>
            <w:tblGrid>
              <w:gridCol w:w="2945"/>
              <w:gridCol w:w="2947"/>
              <w:gridCol w:w="2947"/>
            </w:tblGrid>
            <w:tr w14:paraId="13460D40">
              <w:tblPrEx>
                <w:tblCellMar>
                  <w:top w:w="0" w:type="dxa"/>
                  <w:left w:w="108" w:type="dxa"/>
                  <w:bottom w:w="0" w:type="dxa"/>
                  <w:right w:w="108" w:type="dxa"/>
                </w:tblCellMar>
              </w:tblPrEx>
              <w:trPr>
                <w:trHeight w:val="262" w:hRule="atLeast"/>
                <w:jc w:val="center"/>
              </w:trPr>
              <w:tc>
                <w:tcPr>
                  <w:tcW w:w="2945" w:type="dxa"/>
                  <w:tcBorders>
                    <w:top w:val="single" w:color="auto" w:sz="4" w:space="0"/>
                    <w:left w:val="single" w:color="auto" w:sz="4" w:space="0"/>
                    <w:bottom w:val="single" w:color="auto" w:sz="4" w:space="0"/>
                    <w:right w:val="single" w:color="auto" w:sz="4" w:space="0"/>
                  </w:tcBorders>
                  <w:vAlign w:val="center"/>
                </w:tcPr>
                <w:p w14:paraId="6EB10C21">
                  <w:pPr>
                    <w:wordWrap/>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类别</w:t>
                  </w:r>
                </w:p>
              </w:tc>
              <w:tc>
                <w:tcPr>
                  <w:tcW w:w="2947" w:type="dxa"/>
                  <w:tcBorders>
                    <w:top w:val="single" w:color="auto" w:sz="4" w:space="0"/>
                    <w:left w:val="nil"/>
                    <w:bottom w:val="single" w:color="auto" w:sz="4" w:space="0"/>
                    <w:right w:val="single" w:color="auto" w:sz="4" w:space="0"/>
                  </w:tcBorders>
                  <w:vAlign w:val="center"/>
                </w:tcPr>
                <w:p w14:paraId="2E86ACC8">
                  <w:pPr>
                    <w:wordWrap/>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昼间</w:t>
                  </w:r>
                </w:p>
              </w:tc>
              <w:tc>
                <w:tcPr>
                  <w:tcW w:w="2947" w:type="dxa"/>
                  <w:tcBorders>
                    <w:top w:val="single" w:color="auto" w:sz="4" w:space="0"/>
                    <w:left w:val="nil"/>
                    <w:bottom w:val="single" w:color="auto" w:sz="4" w:space="0"/>
                    <w:right w:val="single" w:color="auto" w:sz="4" w:space="0"/>
                  </w:tcBorders>
                  <w:vAlign w:val="center"/>
                </w:tcPr>
                <w:p w14:paraId="40AFFB83">
                  <w:pPr>
                    <w:wordWrap/>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夜间</w:t>
                  </w:r>
                </w:p>
              </w:tc>
            </w:tr>
            <w:tr w14:paraId="465A6406">
              <w:tblPrEx>
                <w:tblCellMar>
                  <w:top w:w="0" w:type="dxa"/>
                  <w:left w:w="108" w:type="dxa"/>
                  <w:bottom w:w="0" w:type="dxa"/>
                  <w:right w:w="108" w:type="dxa"/>
                </w:tblCellMar>
              </w:tblPrEx>
              <w:trPr>
                <w:trHeight w:val="269" w:hRule="atLeast"/>
                <w:jc w:val="center"/>
              </w:trPr>
              <w:tc>
                <w:tcPr>
                  <w:tcW w:w="2945" w:type="dxa"/>
                  <w:tcBorders>
                    <w:top w:val="single" w:color="auto" w:sz="4" w:space="0"/>
                    <w:left w:val="single" w:color="auto" w:sz="4" w:space="0"/>
                    <w:bottom w:val="single" w:color="auto" w:sz="4" w:space="0"/>
                    <w:right w:val="single" w:color="auto" w:sz="4" w:space="0"/>
                  </w:tcBorders>
                  <w:vAlign w:val="center"/>
                </w:tcPr>
                <w:p w14:paraId="234CE1C7">
                  <w:pPr>
                    <w:wordWrap/>
                    <w:snapToGrid w:val="0"/>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val="en-US" w:eastAsia="zh-CN" w:bidi="ar"/>
                    </w:rPr>
                    <w:t>2</w:t>
                  </w:r>
                  <w:r>
                    <w:rPr>
                      <w:rFonts w:hint="default" w:ascii="Times New Roman" w:hAnsi="Times New Roman" w:cs="Times New Roman"/>
                      <w:color w:val="auto"/>
                      <w:sz w:val="21"/>
                      <w:szCs w:val="21"/>
                      <w:lang w:bidi="ar"/>
                    </w:rPr>
                    <w:t>类</w:t>
                  </w:r>
                </w:p>
              </w:tc>
              <w:tc>
                <w:tcPr>
                  <w:tcW w:w="2947" w:type="dxa"/>
                  <w:tcBorders>
                    <w:top w:val="single" w:color="auto" w:sz="4" w:space="0"/>
                    <w:left w:val="nil"/>
                    <w:bottom w:val="single" w:color="auto" w:sz="4" w:space="0"/>
                    <w:right w:val="single" w:color="auto" w:sz="4" w:space="0"/>
                  </w:tcBorders>
                  <w:vAlign w:val="center"/>
                </w:tcPr>
                <w:p w14:paraId="569D1973">
                  <w:pPr>
                    <w:wordWrap/>
                    <w:snapToGrid w:val="0"/>
                    <w:spacing w:line="240" w:lineRule="auto"/>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60</w:t>
                  </w:r>
                </w:p>
              </w:tc>
              <w:tc>
                <w:tcPr>
                  <w:tcW w:w="2947" w:type="dxa"/>
                  <w:tcBorders>
                    <w:top w:val="single" w:color="auto" w:sz="4" w:space="0"/>
                    <w:left w:val="nil"/>
                    <w:bottom w:val="single" w:color="auto" w:sz="4" w:space="0"/>
                    <w:right w:val="single" w:color="auto" w:sz="4" w:space="0"/>
                  </w:tcBorders>
                  <w:vAlign w:val="center"/>
                </w:tcPr>
                <w:p w14:paraId="154EF4C2">
                  <w:pPr>
                    <w:wordWrap/>
                    <w:snapToGrid w:val="0"/>
                    <w:spacing w:line="240" w:lineRule="auto"/>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50</w:t>
                  </w:r>
                </w:p>
              </w:tc>
            </w:tr>
          </w:tbl>
          <w:p w14:paraId="02582675">
            <w:pPr>
              <w:ind w:firstLine="482" w:firstLineChars="200"/>
              <w:jc w:val="left"/>
              <w:rPr>
                <w:rFonts w:hint="default" w:ascii="Times New Roman" w:hAnsi="Times New Roman" w:cs="Times New Roman"/>
                <w:b/>
                <w:color w:val="auto"/>
                <w:szCs w:val="22"/>
              </w:rPr>
            </w:pPr>
            <w:r>
              <w:rPr>
                <w:rFonts w:hint="default" w:ascii="Times New Roman" w:hAnsi="Times New Roman" w:cs="Times New Roman"/>
                <w:b/>
                <w:color w:val="auto"/>
                <w:szCs w:val="22"/>
              </w:rPr>
              <w:t>4、固体废弃物控制标准</w:t>
            </w:r>
          </w:p>
          <w:p w14:paraId="41CC946B">
            <w:pPr>
              <w:adjustRightInd w:val="0"/>
              <w:snapToGrid w:val="0"/>
              <w:ind w:firstLine="480" w:firstLineChars="200"/>
              <w:rPr>
                <w:rFonts w:hint="default" w:ascii="Times New Roman" w:hAnsi="Times New Roman" w:cs="Times New Roman"/>
                <w:bCs/>
                <w:color w:val="auto"/>
                <w:kern w:val="0"/>
                <w:szCs w:val="22"/>
              </w:rPr>
            </w:pPr>
            <w:r>
              <w:rPr>
                <w:rFonts w:hint="default" w:ascii="Times New Roman" w:hAnsi="Times New Roman" w:cs="Times New Roman"/>
                <w:bCs/>
                <w:color w:val="auto"/>
                <w:kern w:val="0"/>
                <w:szCs w:val="22"/>
              </w:rPr>
              <w:t>一般工业固废贮存应满足《中华人民共和国固体废物污染环境防治法》（2020年修订）、《广东省固体废物污染环境防治条例》（2022年修正），一般工业固体废物在厂区内采用库房、包装工具（罐、桶、包装袋等）贮存，其贮存过程应满足相应防渗漏、防雨淋、防扬尘等环境保护要求；危险废物执行《危险废物贮存污染控制标准》（GB18597-2023）。</w:t>
            </w:r>
          </w:p>
        </w:tc>
      </w:tr>
      <w:tr w14:paraId="32E33C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95" w:hRule="atLeast"/>
          <w:jc w:val="center"/>
        </w:trPr>
        <w:tc>
          <w:tcPr>
            <w:tcW w:w="456" w:type="dxa"/>
            <w:vAlign w:val="center"/>
          </w:tcPr>
          <w:p w14:paraId="15E48DE8">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总量</w:t>
            </w:r>
          </w:p>
          <w:p w14:paraId="435B4D3F">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控制</w:t>
            </w:r>
          </w:p>
          <w:p w14:paraId="4253BBF5">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指标</w:t>
            </w:r>
          </w:p>
        </w:tc>
        <w:tc>
          <w:tcPr>
            <w:tcW w:w="9090" w:type="dxa"/>
          </w:tcPr>
          <w:p w14:paraId="0B8A68B3">
            <w:pPr>
              <w:ind w:firstLine="480" w:firstLineChars="200"/>
              <w:rPr>
                <w:rFonts w:hint="default" w:ascii="Times New Roman" w:hAnsi="Times New Roman" w:cs="Times New Roman"/>
                <w:color w:val="auto"/>
              </w:rPr>
            </w:pPr>
            <w:r>
              <w:rPr>
                <w:rFonts w:hint="default" w:ascii="Times New Roman" w:hAnsi="Times New Roman" w:cs="Times New Roman"/>
                <w:color w:val="auto"/>
                <w:lang w:bidi="ar"/>
              </w:rPr>
              <w:t>根据项目自身特点给出项目总量控制因子及总量控制指标建议值，详如下表。</w:t>
            </w:r>
          </w:p>
          <w:p w14:paraId="2B1EBC3F">
            <w:pPr>
              <w:spacing w:line="240" w:lineRule="auto"/>
              <w:jc w:val="center"/>
              <w:rPr>
                <w:rFonts w:hint="default" w:ascii="Times New Roman" w:hAnsi="Times New Roman" w:cs="Times New Roman"/>
                <w:b/>
                <w:color w:val="auto"/>
                <w:kern w:val="0"/>
                <w:szCs w:val="22"/>
              </w:rPr>
            </w:pPr>
            <w:r>
              <w:rPr>
                <w:rFonts w:hint="default" w:ascii="Times New Roman" w:hAnsi="Times New Roman" w:cs="Times New Roman"/>
                <w:b/>
                <w:color w:val="auto"/>
                <w:kern w:val="0"/>
                <w:szCs w:val="22"/>
                <w:lang w:bidi="ar"/>
              </w:rPr>
              <w:t>表</w:t>
            </w:r>
            <w:r>
              <w:rPr>
                <w:rFonts w:hint="default" w:ascii="Times New Roman" w:hAnsi="Times New Roman" w:cs="Times New Roman"/>
                <w:b/>
                <w:color w:val="auto"/>
                <w:kern w:val="0"/>
                <w:szCs w:val="22"/>
                <w:lang w:val="en-US" w:eastAsia="zh-CN" w:bidi="ar"/>
              </w:rPr>
              <w:t>3-9</w:t>
            </w:r>
            <w:r>
              <w:rPr>
                <w:rFonts w:hint="default" w:ascii="Times New Roman" w:hAnsi="Times New Roman" w:cs="Times New Roman"/>
                <w:b/>
                <w:color w:val="auto"/>
                <w:kern w:val="0"/>
                <w:szCs w:val="22"/>
                <w:lang w:bidi="ar"/>
              </w:rPr>
              <w:t xml:space="preserve">  项目</w:t>
            </w:r>
            <w:bookmarkStart w:id="15" w:name="总量控制建议指标"/>
            <w:r>
              <w:rPr>
                <w:rFonts w:hint="default" w:ascii="Times New Roman" w:hAnsi="Times New Roman" w:cs="Times New Roman"/>
                <w:b/>
                <w:color w:val="auto"/>
                <w:kern w:val="0"/>
                <w:szCs w:val="22"/>
                <w:lang w:bidi="ar"/>
              </w:rPr>
              <w:t>总量控制建议指标</w:t>
            </w:r>
            <w:bookmarkEnd w:id="15"/>
          </w:p>
          <w:tbl>
            <w:tblPr>
              <w:tblStyle w:val="22"/>
              <w:tblW w:w="88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4"/>
              <w:gridCol w:w="1244"/>
              <w:gridCol w:w="1245"/>
              <w:gridCol w:w="4156"/>
            </w:tblGrid>
            <w:tr w14:paraId="5093F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2214" w:type="dxa"/>
                  <w:tcBorders>
                    <w:top w:val="single" w:color="auto" w:sz="4" w:space="0"/>
                    <w:left w:val="single" w:color="auto" w:sz="4" w:space="0"/>
                    <w:bottom w:val="single" w:color="auto" w:sz="4" w:space="0"/>
                    <w:right w:val="single" w:color="auto" w:sz="4" w:space="0"/>
                  </w:tcBorders>
                  <w:vAlign w:val="center"/>
                </w:tcPr>
                <w:p w14:paraId="51C3CB11">
                  <w:pPr>
                    <w:spacing w:line="240" w:lineRule="auto"/>
                    <w:jc w:val="center"/>
                    <w:rPr>
                      <w:rFonts w:hint="default" w:ascii="Times New Roman" w:hAnsi="Times New Roman" w:cs="Times New Roman"/>
                      <w:b/>
                      <w:bCs/>
                      <w:color w:val="auto"/>
                      <w:sz w:val="21"/>
                      <w:szCs w:val="20"/>
                    </w:rPr>
                  </w:pPr>
                  <w:r>
                    <w:rPr>
                      <w:rFonts w:hint="default" w:ascii="Times New Roman" w:hAnsi="Times New Roman" w:cs="Times New Roman"/>
                      <w:b/>
                      <w:bCs/>
                      <w:color w:val="auto"/>
                      <w:sz w:val="21"/>
                      <w:szCs w:val="20"/>
                    </w:rPr>
                    <w:t>类别</w:t>
                  </w:r>
                </w:p>
              </w:tc>
              <w:tc>
                <w:tcPr>
                  <w:tcW w:w="2489" w:type="dxa"/>
                  <w:gridSpan w:val="2"/>
                  <w:tcBorders>
                    <w:top w:val="single" w:color="auto" w:sz="4" w:space="0"/>
                    <w:left w:val="single" w:color="auto" w:sz="4" w:space="0"/>
                    <w:bottom w:val="single" w:color="auto" w:sz="4" w:space="0"/>
                    <w:right w:val="single" w:color="auto" w:sz="4" w:space="0"/>
                  </w:tcBorders>
                  <w:vAlign w:val="center"/>
                </w:tcPr>
                <w:p w14:paraId="5642E0FA">
                  <w:pPr>
                    <w:spacing w:line="240" w:lineRule="auto"/>
                    <w:jc w:val="center"/>
                    <w:rPr>
                      <w:rFonts w:hint="default" w:ascii="Times New Roman" w:hAnsi="Times New Roman" w:cs="Times New Roman"/>
                      <w:b/>
                      <w:bCs/>
                      <w:color w:val="auto"/>
                      <w:sz w:val="21"/>
                      <w:szCs w:val="20"/>
                    </w:rPr>
                  </w:pPr>
                  <w:r>
                    <w:rPr>
                      <w:rFonts w:hint="default" w:ascii="Times New Roman" w:hAnsi="Times New Roman" w:cs="Times New Roman"/>
                      <w:b/>
                      <w:bCs/>
                      <w:color w:val="auto"/>
                      <w:sz w:val="21"/>
                      <w:szCs w:val="20"/>
                    </w:rPr>
                    <w:t>控 制 指 标</w:t>
                  </w:r>
                </w:p>
              </w:tc>
              <w:tc>
                <w:tcPr>
                  <w:tcW w:w="4156" w:type="dxa"/>
                  <w:tcBorders>
                    <w:top w:val="single" w:color="auto" w:sz="4" w:space="0"/>
                    <w:left w:val="single" w:color="auto" w:sz="4" w:space="0"/>
                    <w:bottom w:val="single" w:color="auto" w:sz="4" w:space="0"/>
                    <w:right w:val="single" w:color="auto" w:sz="4" w:space="0"/>
                  </w:tcBorders>
                  <w:vAlign w:val="center"/>
                </w:tcPr>
                <w:p w14:paraId="3630458B">
                  <w:pPr>
                    <w:spacing w:line="240" w:lineRule="auto"/>
                    <w:jc w:val="center"/>
                    <w:rPr>
                      <w:rFonts w:hint="default" w:ascii="Times New Roman" w:hAnsi="Times New Roman" w:cs="Times New Roman"/>
                      <w:b/>
                      <w:bCs/>
                      <w:color w:val="auto"/>
                      <w:sz w:val="21"/>
                      <w:szCs w:val="20"/>
                    </w:rPr>
                  </w:pPr>
                  <w:r>
                    <w:rPr>
                      <w:rFonts w:hint="default" w:ascii="Times New Roman" w:hAnsi="Times New Roman" w:cs="Times New Roman"/>
                      <w:b/>
                      <w:bCs/>
                      <w:color w:val="auto"/>
                      <w:sz w:val="21"/>
                      <w:szCs w:val="20"/>
                    </w:rPr>
                    <w:t>控制总量（t/a）</w:t>
                  </w:r>
                </w:p>
              </w:tc>
            </w:tr>
            <w:tr w14:paraId="6505B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restart"/>
                  <w:tcBorders>
                    <w:left w:val="single" w:color="auto" w:sz="4" w:space="0"/>
                    <w:right w:val="single" w:color="auto" w:sz="4" w:space="0"/>
                  </w:tcBorders>
                  <w:vAlign w:val="center"/>
                </w:tcPr>
                <w:p w14:paraId="5A26B1A8">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废水</w:t>
                  </w:r>
                </w:p>
              </w:tc>
              <w:tc>
                <w:tcPr>
                  <w:tcW w:w="2489" w:type="dxa"/>
                  <w:gridSpan w:val="2"/>
                  <w:tcBorders>
                    <w:left w:val="single" w:color="auto" w:sz="4" w:space="0"/>
                    <w:right w:val="single" w:color="auto" w:sz="4" w:space="0"/>
                  </w:tcBorders>
                  <w:vAlign w:val="center"/>
                </w:tcPr>
                <w:p w14:paraId="72049DFA">
                  <w:pPr>
                    <w:spacing w:line="240" w:lineRule="auto"/>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废水量</w:t>
                  </w:r>
                </w:p>
              </w:tc>
              <w:tc>
                <w:tcPr>
                  <w:tcW w:w="4156" w:type="dxa"/>
                  <w:tcBorders>
                    <w:top w:val="single" w:color="auto" w:sz="4" w:space="0"/>
                    <w:left w:val="single" w:color="auto" w:sz="4" w:space="0"/>
                    <w:bottom w:val="single" w:color="auto" w:sz="4" w:space="0"/>
                    <w:right w:val="single" w:color="auto" w:sz="4" w:space="0"/>
                  </w:tcBorders>
                  <w:vAlign w:val="center"/>
                </w:tcPr>
                <w:p w14:paraId="72893CC0">
                  <w:pPr>
                    <w:spacing w:line="240" w:lineRule="auto"/>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450</w:t>
                  </w:r>
                </w:p>
              </w:tc>
            </w:tr>
            <w:tr w14:paraId="16935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continue"/>
                  <w:tcBorders>
                    <w:left w:val="single" w:color="auto" w:sz="4" w:space="0"/>
                    <w:right w:val="single" w:color="auto" w:sz="4" w:space="0"/>
                  </w:tcBorders>
                  <w:vAlign w:val="center"/>
                </w:tcPr>
                <w:p w14:paraId="1C37BBD0">
                  <w:pPr>
                    <w:spacing w:line="240" w:lineRule="auto"/>
                    <w:jc w:val="center"/>
                    <w:rPr>
                      <w:rFonts w:hint="default" w:ascii="Times New Roman" w:hAnsi="Times New Roman" w:eastAsia="宋体" w:cs="Times New Roman"/>
                      <w:color w:val="auto"/>
                      <w:sz w:val="21"/>
                      <w:szCs w:val="20"/>
                      <w:lang w:val="en-US" w:eastAsia="zh-CN"/>
                    </w:rPr>
                  </w:pPr>
                </w:p>
              </w:tc>
              <w:tc>
                <w:tcPr>
                  <w:tcW w:w="2489" w:type="dxa"/>
                  <w:gridSpan w:val="2"/>
                  <w:tcBorders>
                    <w:left w:val="single" w:color="auto" w:sz="4" w:space="0"/>
                    <w:right w:val="single" w:color="auto" w:sz="4" w:space="0"/>
                  </w:tcBorders>
                  <w:vAlign w:val="center"/>
                </w:tcPr>
                <w:p w14:paraId="2AABF63D">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化学需氧量</w:t>
                  </w:r>
                </w:p>
              </w:tc>
              <w:tc>
                <w:tcPr>
                  <w:tcW w:w="4156" w:type="dxa"/>
                  <w:tcBorders>
                    <w:top w:val="single" w:color="auto" w:sz="4" w:space="0"/>
                    <w:left w:val="single" w:color="auto" w:sz="4" w:space="0"/>
                    <w:bottom w:val="single" w:color="auto" w:sz="4" w:space="0"/>
                    <w:right w:val="single" w:color="auto" w:sz="4" w:space="0"/>
                  </w:tcBorders>
                  <w:vAlign w:val="center"/>
                </w:tcPr>
                <w:p w14:paraId="580CCED4">
                  <w:pPr>
                    <w:spacing w:line="240" w:lineRule="auto"/>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0.018</w:t>
                  </w:r>
                </w:p>
              </w:tc>
            </w:tr>
            <w:tr w14:paraId="416FB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continue"/>
                  <w:tcBorders>
                    <w:left w:val="single" w:color="auto" w:sz="4" w:space="0"/>
                    <w:right w:val="single" w:color="auto" w:sz="4" w:space="0"/>
                  </w:tcBorders>
                  <w:vAlign w:val="center"/>
                </w:tcPr>
                <w:p w14:paraId="62F12B2D">
                  <w:pPr>
                    <w:spacing w:line="240" w:lineRule="auto"/>
                    <w:jc w:val="center"/>
                    <w:rPr>
                      <w:rFonts w:hint="default" w:ascii="Times New Roman" w:hAnsi="Times New Roman" w:cs="Times New Roman"/>
                      <w:color w:val="auto"/>
                      <w:sz w:val="21"/>
                      <w:szCs w:val="20"/>
                    </w:rPr>
                  </w:pPr>
                </w:p>
              </w:tc>
              <w:tc>
                <w:tcPr>
                  <w:tcW w:w="2489" w:type="dxa"/>
                  <w:gridSpan w:val="2"/>
                  <w:tcBorders>
                    <w:left w:val="single" w:color="auto" w:sz="4" w:space="0"/>
                    <w:right w:val="single" w:color="auto" w:sz="4" w:space="0"/>
                  </w:tcBorders>
                  <w:vAlign w:val="center"/>
                </w:tcPr>
                <w:p w14:paraId="7DCDE6EA">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氨氮</w:t>
                  </w:r>
                </w:p>
              </w:tc>
              <w:tc>
                <w:tcPr>
                  <w:tcW w:w="4156" w:type="dxa"/>
                  <w:tcBorders>
                    <w:top w:val="single" w:color="auto" w:sz="4" w:space="0"/>
                    <w:left w:val="single" w:color="auto" w:sz="4" w:space="0"/>
                    <w:bottom w:val="single" w:color="auto" w:sz="4" w:space="0"/>
                    <w:right w:val="single" w:color="auto" w:sz="4" w:space="0"/>
                  </w:tcBorders>
                  <w:vAlign w:val="center"/>
                </w:tcPr>
                <w:p w14:paraId="29D4753F">
                  <w:pPr>
                    <w:spacing w:line="240" w:lineRule="auto"/>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0.005</w:t>
                  </w:r>
                </w:p>
              </w:tc>
            </w:tr>
            <w:tr w14:paraId="023EF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restart"/>
                  <w:tcBorders>
                    <w:left w:val="single" w:color="auto" w:sz="4" w:space="0"/>
                    <w:right w:val="single" w:color="auto" w:sz="4" w:space="0"/>
                  </w:tcBorders>
                  <w:vAlign w:val="center"/>
                </w:tcPr>
                <w:p w14:paraId="49943ABF">
                  <w:pPr>
                    <w:spacing w:line="240" w:lineRule="auto"/>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废气</w:t>
                  </w:r>
                </w:p>
              </w:tc>
              <w:tc>
                <w:tcPr>
                  <w:tcW w:w="1244" w:type="dxa"/>
                  <w:vMerge w:val="restart"/>
                  <w:tcBorders>
                    <w:left w:val="single" w:color="auto" w:sz="4" w:space="0"/>
                    <w:right w:val="single" w:color="auto" w:sz="4" w:space="0"/>
                  </w:tcBorders>
                  <w:vAlign w:val="center"/>
                </w:tcPr>
                <w:p w14:paraId="2ED51295">
                  <w:pPr>
                    <w:spacing w:line="240" w:lineRule="auto"/>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颗粒物</w:t>
                  </w:r>
                </w:p>
              </w:tc>
              <w:tc>
                <w:tcPr>
                  <w:tcW w:w="1245" w:type="dxa"/>
                  <w:tcBorders>
                    <w:left w:val="single" w:color="auto" w:sz="4" w:space="0"/>
                    <w:right w:val="single" w:color="auto" w:sz="4" w:space="0"/>
                  </w:tcBorders>
                  <w:vAlign w:val="center"/>
                </w:tcPr>
                <w:p w14:paraId="76083268">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有组织</w:t>
                  </w:r>
                </w:p>
              </w:tc>
              <w:tc>
                <w:tcPr>
                  <w:tcW w:w="4156" w:type="dxa"/>
                  <w:tcBorders>
                    <w:top w:val="single" w:color="auto" w:sz="4" w:space="0"/>
                    <w:left w:val="single" w:color="auto" w:sz="4" w:space="0"/>
                    <w:bottom w:val="single" w:color="auto" w:sz="4" w:space="0"/>
                    <w:right w:val="single" w:color="auto" w:sz="4" w:space="0"/>
                  </w:tcBorders>
                  <w:vAlign w:val="center"/>
                </w:tcPr>
                <w:p w14:paraId="325913B6">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0.062</w:t>
                  </w:r>
                </w:p>
              </w:tc>
            </w:tr>
            <w:tr w14:paraId="2A2E0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continue"/>
                  <w:tcBorders>
                    <w:left w:val="single" w:color="auto" w:sz="4" w:space="0"/>
                    <w:right w:val="single" w:color="auto" w:sz="4" w:space="0"/>
                  </w:tcBorders>
                  <w:vAlign w:val="center"/>
                </w:tcPr>
                <w:p w14:paraId="1F6BF794">
                  <w:pPr>
                    <w:spacing w:line="240" w:lineRule="auto"/>
                    <w:jc w:val="center"/>
                    <w:rPr>
                      <w:rFonts w:hint="default" w:ascii="Times New Roman" w:hAnsi="Times New Roman" w:cs="Times New Roman"/>
                      <w:color w:val="auto"/>
                      <w:sz w:val="21"/>
                      <w:szCs w:val="20"/>
                    </w:rPr>
                  </w:pPr>
                </w:p>
              </w:tc>
              <w:tc>
                <w:tcPr>
                  <w:tcW w:w="1244" w:type="dxa"/>
                  <w:vMerge w:val="continue"/>
                  <w:tcBorders>
                    <w:left w:val="single" w:color="auto" w:sz="4" w:space="0"/>
                    <w:right w:val="single" w:color="auto" w:sz="4" w:space="0"/>
                  </w:tcBorders>
                  <w:vAlign w:val="center"/>
                </w:tcPr>
                <w:p w14:paraId="08EA16A0">
                  <w:pPr>
                    <w:spacing w:line="240" w:lineRule="auto"/>
                    <w:jc w:val="center"/>
                    <w:rPr>
                      <w:rFonts w:hint="default" w:ascii="Times New Roman" w:hAnsi="Times New Roman" w:cs="Times New Roman"/>
                      <w:color w:val="auto"/>
                      <w:sz w:val="21"/>
                      <w:szCs w:val="20"/>
                    </w:rPr>
                  </w:pPr>
                </w:p>
              </w:tc>
              <w:tc>
                <w:tcPr>
                  <w:tcW w:w="1245" w:type="dxa"/>
                  <w:tcBorders>
                    <w:left w:val="single" w:color="auto" w:sz="4" w:space="0"/>
                    <w:right w:val="single" w:color="auto" w:sz="4" w:space="0"/>
                  </w:tcBorders>
                  <w:vAlign w:val="center"/>
                </w:tcPr>
                <w:p w14:paraId="641AC224">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无组织</w:t>
                  </w:r>
                </w:p>
              </w:tc>
              <w:tc>
                <w:tcPr>
                  <w:tcW w:w="4156" w:type="dxa"/>
                  <w:tcBorders>
                    <w:top w:val="single" w:color="auto" w:sz="4" w:space="0"/>
                    <w:left w:val="single" w:color="auto" w:sz="4" w:space="0"/>
                    <w:bottom w:val="single" w:color="auto" w:sz="4" w:space="0"/>
                    <w:right w:val="single" w:color="auto" w:sz="4" w:space="0"/>
                  </w:tcBorders>
                  <w:vAlign w:val="center"/>
                </w:tcPr>
                <w:p w14:paraId="50C60753">
                  <w:pPr>
                    <w:spacing w:line="240" w:lineRule="auto"/>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0.241</w:t>
                  </w:r>
                </w:p>
              </w:tc>
            </w:tr>
            <w:tr w14:paraId="39807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continue"/>
                  <w:tcBorders>
                    <w:left w:val="single" w:color="auto" w:sz="4" w:space="0"/>
                    <w:right w:val="single" w:color="auto" w:sz="4" w:space="0"/>
                  </w:tcBorders>
                  <w:vAlign w:val="center"/>
                </w:tcPr>
                <w:p w14:paraId="139DB3BB">
                  <w:pPr>
                    <w:spacing w:line="240" w:lineRule="auto"/>
                    <w:jc w:val="center"/>
                    <w:rPr>
                      <w:rFonts w:hint="default" w:ascii="Times New Roman" w:hAnsi="Times New Roman" w:cs="Times New Roman"/>
                      <w:color w:val="auto"/>
                      <w:sz w:val="21"/>
                      <w:szCs w:val="20"/>
                    </w:rPr>
                  </w:pPr>
                </w:p>
              </w:tc>
              <w:tc>
                <w:tcPr>
                  <w:tcW w:w="1244" w:type="dxa"/>
                  <w:vMerge w:val="continue"/>
                  <w:tcBorders>
                    <w:left w:val="single" w:color="auto" w:sz="4" w:space="0"/>
                    <w:right w:val="single" w:color="auto" w:sz="4" w:space="0"/>
                  </w:tcBorders>
                  <w:vAlign w:val="center"/>
                </w:tcPr>
                <w:p w14:paraId="07CCEFFE">
                  <w:pPr>
                    <w:spacing w:line="240" w:lineRule="auto"/>
                    <w:jc w:val="center"/>
                    <w:rPr>
                      <w:rFonts w:hint="default" w:ascii="Times New Roman" w:hAnsi="Times New Roman" w:cs="Times New Roman"/>
                      <w:color w:val="auto"/>
                      <w:sz w:val="21"/>
                      <w:szCs w:val="20"/>
                    </w:rPr>
                  </w:pPr>
                </w:p>
              </w:tc>
              <w:tc>
                <w:tcPr>
                  <w:tcW w:w="1245" w:type="dxa"/>
                  <w:tcBorders>
                    <w:left w:val="single" w:color="auto" w:sz="4" w:space="0"/>
                    <w:right w:val="single" w:color="auto" w:sz="4" w:space="0"/>
                  </w:tcBorders>
                  <w:vAlign w:val="center"/>
                </w:tcPr>
                <w:p w14:paraId="6F819312">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合计</w:t>
                  </w:r>
                </w:p>
              </w:tc>
              <w:tc>
                <w:tcPr>
                  <w:tcW w:w="4156" w:type="dxa"/>
                  <w:tcBorders>
                    <w:top w:val="single" w:color="auto" w:sz="4" w:space="0"/>
                    <w:left w:val="single" w:color="auto" w:sz="4" w:space="0"/>
                    <w:bottom w:val="single" w:color="auto" w:sz="4" w:space="0"/>
                    <w:right w:val="single" w:color="auto" w:sz="4" w:space="0"/>
                  </w:tcBorders>
                  <w:vAlign w:val="center"/>
                </w:tcPr>
                <w:p w14:paraId="20FAFC52">
                  <w:pPr>
                    <w:spacing w:line="240" w:lineRule="auto"/>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0.302</w:t>
                  </w:r>
                </w:p>
              </w:tc>
            </w:tr>
            <w:tr w14:paraId="38199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2214" w:type="dxa"/>
                  <w:vMerge w:val="continue"/>
                  <w:tcBorders>
                    <w:left w:val="single" w:color="auto" w:sz="4" w:space="0"/>
                    <w:right w:val="single" w:color="auto" w:sz="4" w:space="0"/>
                  </w:tcBorders>
                  <w:vAlign w:val="center"/>
                </w:tcPr>
                <w:p w14:paraId="3D61FBCB">
                  <w:pPr>
                    <w:spacing w:line="240" w:lineRule="auto"/>
                    <w:jc w:val="center"/>
                    <w:rPr>
                      <w:rFonts w:hint="default" w:ascii="Times New Roman" w:hAnsi="Times New Roman" w:cs="Times New Roman"/>
                      <w:color w:val="auto"/>
                      <w:sz w:val="21"/>
                      <w:szCs w:val="20"/>
                    </w:rPr>
                  </w:pPr>
                </w:p>
              </w:tc>
              <w:tc>
                <w:tcPr>
                  <w:tcW w:w="1244" w:type="dxa"/>
                  <w:vMerge w:val="restart"/>
                  <w:tcBorders>
                    <w:left w:val="single" w:color="auto" w:sz="4" w:space="0"/>
                    <w:right w:val="single" w:color="auto" w:sz="4" w:space="0"/>
                  </w:tcBorders>
                  <w:vAlign w:val="center"/>
                </w:tcPr>
                <w:p w14:paraId="6C78B91E">
                  <w:pPr>
                    <w:spacing w:line="240" w:lineRule="auto"/>
                    <w:jc w:val="center"/>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cs="Times New Roman"/>
                      <w:color w:val="auto"/>
                      <w:sz w:val="21"/>
                      <w:szCs w:val="20"/>
                    </w:rPr>
                    <w:t>挥发性有机物</w:t>
                  </w:r>
                </w:p>
              </w:tc>
              <w:tc>
                <w:tcPr>
                  <w:tcW w:w="1245" w:type="dxa"/>
                  <w:tcBorders>
                    <w:left w:val="single" w:color="auto" w:sz="4" w:space="0"/>
                    <w:right w:val="single" w:color="auto" w:sz="4" w:space="0"/>
                  </w:tcBorders>
                  <w:vAlign w:val="center"/>
                </w:tcPr>
                <w:p w14:paraId="49869E50">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有组织</w:t>
                  </w:r>
                </w:p>
              </w:tc>
              <w:tc>
                <w:tcPr>
                  <w:tcW w:w="4156" w:type="dxa"/>
                  <w:tcBorders>
                    <w:top w:val="single" w:color="auto" w:sz="4" w:space="0"/>
                    <w:left w:val="single" w:color="auto" w:sz="4" w:space="0"/>
                    <w:bottom w:val="single" w:color="auto" w:sz="4" w:space="0"/>
                    <w:right w:val="single" w:color="auto" w:sz="4" w:space="0"/>
                  </w:tcBorders>
                  <w:vAlign w:val="center"/>
                </w:tcPr>
                <w:p w14:paraId="780A71E1">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0.2344</w:t>
                  </w:r>
                </w:p>
              </w:tc>
            </w:tr>
            <w:tr w14:paraId="0C98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2214" w:type="dxa"/>
                  <w:vMerge w:val="continue"/>
                  <w:tcBorders>
                    <w:left w:val="single" w:color="auto" w:sz="4" w:space="0"/>
                    <w:right w:val="single" w:color="auto" w:sz="4" w:space="0"/>
                  </w:tcBorders>
                  <w:vAlign w:val="center"/>
                </w:tcPr>
                <w:p w14:paraId="362C22BF">
                  <w:pPr>
                    <w:spacing w:line="240" w:lineRule="auto"/>
                    <w:jc w:val="center"/>
                    <w:rPr>
                      <w:rFonts w:hint="default" w:ascii="Times New Roman" w:hAnsi="Times New Roman" w:cs="Times New Roman"/>
                      <w:color w:val="auto"/>
                      <w:sz w:val="21"/>
                      <w:szCs w:val="20"/>
                    </w:rPr>
                  </w:pPr>
                </w:p>
              </w:tc>
              <w:tc>
                <w:tcPr>
                  <w:tcW w:w="1244" w:type="dxa"/>
                  <w:vMerge w:val="continue"/>
                  <w:tcBorders>
                    <w:left w:val="single" w:color="auto" w:sz="4" w:space="0"/>
                    <w:right w:val="single" w:color="auto" w:sz="4" w:space="0"/>
                  </w:tcBorders>
                  <w:shd w:val="clear" w:color="auto" w:fill="auto"/>
                  <w:vAlign w:val="center"/>
                </w:tcPr>
                <w:p w14:paraId="0E98113E">
                  <w:pPr>
                    <w:spacing w:line="240" w:lineRule="auto"/>
                    <w:jc w:val="center"/>
                    <w:rPr>
                      <w:rFonts w:hint="default" w:ascii="Times New Roman" w:hAnsi="Times New Roman" w:eastAsia="宋体" w:cs="Times New Roman"/>
                      <w:color w:val="auto"/>
                      <w:kern w:val="2"/>
                      <w:sz w:val="21"/>
                      <w:szCs w:val="20"/>
                      <w:lang w:val="en-US" w:eastAsia="zh-CN" w:bidi="ar-SA"/>
                    </w:rPr>
                  </w:pPr>
                </w:p>
              </w:tc>
              <w:tc>
                <w:tcPr>
                  <w:tcW w:w="1245" w:type="dxa"/>
                  <w:tcBorders>
                    <w:left w:val="single" w:color="auto" w:sz="4" w:space="0"/>
                    <w:right w:val="single" w:color="auto" w:sz="4" w:space="0"/>
                  </w:tcBorders>
                  <w:shd w:val="clear" w:color="auto" w:fill="auto"/>
                  <w:vAlign w:val="center"/>
                </w:tcPr>
                <w:p w14:paraId="43DACD18">
                  <w:pPr>
                    <w:spacing w:line="240" w:lineRule="auto"/>
                    <w:jc w:val="center"/>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cs="Times New Roman"/>
                      <w:color w:val="auto"/>
                      <w:kern w:val="2"/>
                      <w:sz w:val="21"/>
                      <w:szCs w:val="20"/>
                      <w:lang w:val="en-US" w:eastAsia="zh-CN" w:bidi="ar-SA"/>
                    </w:rPr>
                    <w:t>无组织</w:t>
                  </w:r>
                </w:p>
              </w:tc>
              <w:tc>
                <w:tcPr>
                  <w:tcW w:w="4156" w:type="dxa"/>
                  <w:tcBorders>
                    <w:top w:val="single" w:color="auto" w:sz="4" w:space="0"/>
                    <w:left w:val="single" w:color="auto" w:sz="4" w:space="0"/>
                    <w:bottom w:val="single" w:color="auto" w:sz="4" w:space="0"/>
                    <w:right w:val="single" w:color="auto" w:sz="4" w:space="0"/>
                  </w:tcBorders>
                  <w:vAlign w:val="center"/>
                </w:tcPr>
                <w:p w14:paraId="66A4C889">
                  <w:pPr>
                    <w:spacing w:line="240" w:lineRule="auto"/>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0.8274</w:t>
                  </w:r>
                </w:p>
              </w:tc>
            </w:tr>
            <w:tr w14:paraId="26A2D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2214" w:type="dxa"/>
                  <w:vMerge w:val="continue"/>
                  <w:tcBorders>
                    <w:left w:val="single" w:color="auto" w:sz="4" w:space="0"/>
                    <w:right w:val="single" w:color="auto" w:sz="4" w:space="0"/>
                  </w:tcBorders>
                  <w:vAlign w:val="center"/>
                </w:tcPr>
                <w:p w14:paraId="6C5E8B1D">
                  <w:pPr>
                    <w:spacing w:line="240" w:lineRule="auto"/>
                    <w:jc w:val="center"/>
                    <w:rPr>
                      <w:rFonts w:hint="default" w:ascii="Times New Roman" w:hAnsi="Times New Roman" w:cs="Times New Roman"/>
                      <w:color w:val="auto"/>
                      <w:sz w:val="21"/>
                      <w:szCs w:val="20"/>
                    </w:rPr>
                  </w:pPr>
                </w:p>
              </w:tc>
              <w:tc>
                <w:tcPr>
                  <w:tcW w:w="1244" w:type="dxa"/>
                  <w:vMerge w:val="continue"/>
                  <w:tcBorders>
                    <w:left w:val="single" w:color="auto" w:sz="4" w:space="0"/>
                    <w:right w:val="single" w:color="auto" w:sz="4" w:space="0"/>
                  </w:tcBorders>
                  <w:vAlign w:val="center"/>
                </w:tcPr>
                <w:p w14:paraId="1A960A4A">
                  <w:pPr>
                    <w:spacing w:line="240" w:lineRule="auto"/>
                    <w:jc w:val="center"/>
                    <w:rPr>
                      <w:rFonts w:hint="default" w:ascii="Times New Roman" w:hAnsi="Times New Roman" w:cs="Times New Roman"/>
                      <w:color w:val="auto"/>
                      <w:sz w:val="21"/>
                      <w:szCs w:val="20"/>
                    </w:rPr>
                  </w:pPr>
                </w:p>
              </w:tc>
              <w:tc>
                <w:tcPr>
                  <w:tcW w:w="1245" w:type="dxa"/>
                  <w:tcBorders>
                    <w:left w:val="single" w:color="auto" w:sz="4" w:space="0"/>
                    <w:right w:val="single" w:color="auto" w:sz="4" w:space="0"/>
                  </w:tcBorders>
                  <w:vAlign w:val="center"/>
                </w:tcPr>
                <w:p w14:paraId="05A490C8">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合计</w:t>
                  </w:r>
                </w:p>
              </w:tc>
              <w:tc>
                <w:tcPr>
                  <w:tcW w:w="4156" w:type="dxa"/>
                  <w:tcBorders>
                    <w:top w:val="single" w:color="auto" w:sz="4" w:space="0"/>
                    <w:left w:val="single" w:color="auto" w:sz="4" w:space="0"/>
                    <w:bottom w:val="single" w:color="auto" w:sz="4" w:space="0"/>
                    <w:right w:val="single" w:color="auto" w:sz="4" w:space="0"/>
                  </w:tcBorders>
                  <w:vAlign w:val="center"/>
                </w:tcPr>
                <w:p w14:paraId="010A430C">
                  <w:pPr>
                    <w:spacing w:line="240" w:lineRule="auto"/>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1.0618</w:t>
                  </w:r>
                </w:p>
              </w:tc>
            </w:tr>
          </w:tbl>
          <w:p w14:paraId="4D9DAF90">
            <w:pPr>
              <w:adjustRightInd w:val="0"/>
              <w:snapToGrid w:val="0"/>
              <w:spacing w:line="240" w:lineRule="auto"/>
              <w:rPr>
                <w:rFonts w:hint="default" w:ascii="Times New Roman" w:hAnsi="Times New Roman" w:cs="Times New Roman"/>
                <w:color w:val="auto"/>
                <w:sz w:val="21"/>
                <w:szCs w:val="16"/>
              </w:rPr>
            </w:pPr>
            <w:r>
              <w:rPr>
                <w:rFonts w:hint="default" w:ascii="Times New Roman" w:hAnsi="Times New Roman" w:cs="Times New Roman"/>
                <w:color w:val="auto"/>
                <w:sz w:val="21"/>
                <w:szCs w:val="16"/>
              </w:rPr>
              <w:t>注：</w:t>
            </w:r>
            <w:r>
              <w:rPr>
                <w:rFonts w:hint="default" w:ascii="Times New Roman" w:hAnsi="Times New Roman" w:cs="Times New Roman"/>
                <w:color w:val="auto"/>
                <w:sz w:val="21"/>
                <w:szCs w:val="21"/>
              </w:rPr>
              <w:t>生活污水经三级化粪池预处理后纳入市政管网进入</w:t>
            </w:r>
            <w:r>
              <w:rPr>
                <w:rFonts w:hint="default" w:ascii="Times New Roman" w:hAnsi="Times New Roman" w:cs="Times New Roman"/>
                <w:color w:val="auto"/>
                <w:sz w:val="21"/>
                <w:szCs w:val="21"/>
                <w:lang w:eastAsia="zh-CN"/>
              </w:rPr>
              <w:t>园洲镇第五污水处理厂</w:t>
            </w:r>
            <w:r>
              <w:rPr>
                <w:rFonts w:hint="default" w:ascii="Times New Roman" w:hAnsi="Times New Roman" w:cs="Times New Roman"/>
                <w:color w:val="auto"/>
                <w:sz w:val="21"/>
                <w:szCs w:val="21"/>
              </w:rPr>
              <w:t>处理</w:t>
            </w:r>
            <w:r>
              <w:rPr>
                <w:rFonts w:hint="default" w:ascii="Times New Roman" w:hAnsi="Times New Roman" w:cs="Times New Roman"/>
                <w:color w:val="auto"/>
                <w:sz w:val="21"/>
                <w:szCs w:val="16"/>
              </w:rPr>
              <w:t>，总量控制指标计入</w:t>
            </w:r>
            <w:r>
              <w:rPr>
                <w:rFonts w:hint="default" w:ascii="Times New Roman" w:hAnsi="Times New Roman" w:cs="Times New Roman"/>
                <w:color w:val="auto"/>
                <w:sz w:val="21"/>
                <w:szCs w:val="16"/>
                <w:lang w:eastAsia="zh-CN"/>
              </w:rPr>
              <w:t>园洲镇第五污水处理厂</w:t>
            </w:r>
            <w:r>
              <w:rPr>
                <w:rFonts w:hint="default" w:ascii="Times New Roman" w:hAnsi="Times New Roman" w:cs="Times New Roman"/>
                <w:color w:val="auto"/>
                <w:sz w:val="21"/>
                <w:szCs w:val="16"/>
              </w:rPr>
              <w:t>总量指标，不再另行分配。</w:t>
            </w:r>
          </w:p>
          <w:p w14:paraId="2F2B7D7C">
            <w:pPr>
              <w:rPr>
                <w:rFonts w:hint="default" w:ascii="Times New Roman" w:hAnsi="Times New Roman" w:cs="Times New Roman"/>
                <w:color w:val="auto"/>
              </w:rPr>
            </w:pPr>
          </w:p>
        </w:tc>
      </w:tr>
    </w:tbl>
    <w:p w14:paraId="3711C941">
      <w:pPr>
        <w:pStyle w:val="18"/>
        <w:spacing w:before="0" w:beforeAutospacing="0" w:after="0" w:afterAutospacing="0"/>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6"/>
          <w:szCs w:val="36"/>
        </w:rPr>
        <w:br w:type="page"/>
      </w:r>
      <w:r>
        <w:rPr>
          <w:rFonts w:hint="default" w:ascii="Times New Roman" w:hAnsi="Times New Roman" w:eastAsia="黑体" w:cs="Times New Roman"/>
          <w:snapToGrid w:val="0"/>
          <w:color w:val="auto"/>
          <w:sz w:val="30"/>
          <w:szCs w:val="30"/>
        </w:rPr>
        <w:t>四、主要环境影响和保护措施</w:t>
      </w:r>
    </w:p>
    <w:tbl>
      <w:tblPr>
        <w:tblStyle w:val="22"/>
        <w:tblW w:w="92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02"/>
        <w:gridCol w:w="8997"/>
      </w:tblGrid>
      <w:tr w14:paraId="00F145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9" w:hRule="atLeast"/>
          <w:jc w:val="center"/>
        </w:trPr>
        <w:tc>
          <w:tcPr>
            <w:tcW w:w="302" w:type="dxa"/>
            <w:tcMar>
              <w:left w:w="28" w:type="dxa"/>
              <w:right w:w="28" w:type="dxa"/>
            </w:tcMar>
            <w:vAlign w:val="center"/>
          </w:tcPr>
          <w:p w14:paraId="052FC287">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施工</w:t>
            </w:r>
          </w:p>
          <w:p w14:paraId="3B547B1D">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期环</w:t>
            </w:r>
          </w:p>
          <w:p w14:paraId="27B37E02">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境保</w:t>
            </w:r>
          </w:p>
          <w:p w14:paraId="6AE79B59">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护措</w:t>
            </w:r>
          </w:p>
          <w:p w14:paraId="69C622ED">
            <w:pPr>
              <w:pStyle w:val="18"/>
              <w:adjustRightInd w:val="0"/>
              <w:snapToGrid w:val="0"/>
              <w:spacing w:before="0" w:beforeAutospacing="0" w:after="0" w:afterAutospacing="0"/>
              <w:jc w:val="center"/>
              <w:rPr>
                <w:rFonts w:hint="default" w:ascii="Times New Roman" w:hAnsi="Times New Roman" w:cs="Times New Roman"/>
                <w:bCs/>
                <w:color w:val="auto"/>
                <w:kern w:val="2"/>
                <w:sz w:val="21"/>
                <w:szCs w:val="21"/>
              </w:rPr>
            </w:pPr>
            <w:r>
              <w:rPr>
                <w:rFonts w:hint="default" w:ascii="Times New Roman" w:hAnsi="Times New Roman" w:cs="Times New Roman"/>
                <w:color w:val="auto"/>
                <w:kern w:val="2"/>
                <w:sz w:val="21"/>
                <w:szCs w:val="21"/>
              </w:rPr>
              <w:t>施</w:t>
            </w:r>
          </w:p>
        </w:tc>
        <w:tc>
          <w:tcPr>
            <w:tcW w:w="8997" w:type="dxa"/>
            <w:vAlign w:val="center"/>
          </w:tcPr>
          <w:p w14:paraId="5A4BBD6F">
            <w:pPr>
              <w:adjustRightInd w:val="0"/>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 xml:space="preserve"> 项目</w:t>
            </w:r>
            <w:r>
              <w:rPr>
                <w:rFonts w:hint="default" w:ascii="Times New Roman" w:hAnsi="Times New Roman" w:cs="Times New Roman"/>
                <w:color w:val="auto"/>
                <w:lang w:val="en-US" w:eastAsia="zh-CN"/>
              </w:rPr>
              <w:t>购买</w:t>
            </w:r>
            <w:r>
              <w:rPr>
                <w:rFonts w:hint="default" w:ascii="Times New Roman" w:hAnsi="Times New Roman" w:cs="Times New Roman"/>
                <w:color w:val="auto"/>
              </w:rPr>
              <w:t>已建成厂房进行生产，施工期只需要进驻设备，无建筑、装修等工程，主要为噪声污染，对周边环境的影响较小，且随着施工期的结束而消失，因此，项目不再分析施工期的环境影响。</w:t>
            </w:r>
          </w:p>
        </w:tc>
      </w:tr>
    </w:tbl>
    <w:p w14:paraId="78B6913E">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sectPr>
          <w:type w:val="continuous"/>
          <w:pgSz w:w="11907" w:h="16840"/>
          <w:pgMar w:top="1701" w:right="1531" w:bottom="2127" w:left="1531" w:header="851" w:footer="1417" w:gutter="0"/>
          <w:cols w:space="720" w:num="1"/>
          <w:docGrid w:linePitch="312" w:charSpace="0"/>
        </w:sectPr>
      </w:pPr>
    </w:p>
    <w:tbl>
      <w:tblPr>
        <w:tblStyle w:val="22"/>
        <w:tblW w:w="128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96"/>
        <w:gridCol w:w="12583"/>
      </w:tblGrid>
      <w:tr w14:paraId="7BF630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2" w:hRule="atLeast"/>
          <w:jc w:val="center"/>
        </w:trPr>
        <w:tc>
          <w:tcPr>
            <w:tcW w:w="296" w:type="dxa"/>
            <w:tcMar>
              <w:left w:w="28" w:type="dxa"/>
              <w:right w:w="28" w:type="dxa"/>
            </w:tcMar>
            <w:vAlign w:val="center"/>
          </w:tcPr>
          <w:p w14:paraId="05B14EBE">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运营</w:t>
            </w:r>
          </w:p>
          <w:p w14:paraId="18FFB637">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期环</w:t>
            </w:r>
          </w:p>
          <w:p w14:paraId="4A821C5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境影</w:t>
            </w:r>
          </w:p>
          <w:p w14:paraId="3DD6428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响和</w:t>
            </w:r>
          </w:p>
          <w:p w14:paraId="7908587D">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保护</w:t>
            </w:r>
          </w:p>
          <w:p w14:paraId="6A37F066">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bCs/>
                <w:color w:val="auto"/>
                <w:szCs w:val="21"/>
              </w:rPr>
              <w:t>措施</w:t>
            </w:r>
          </w:p>
        </w:tc>
        <w:tc>
          <w:tcPr>
            <w:tcW w:w="12583" w:type="dxa"/>
            <w:vAlign w:val="center"/>
          </w:tcPr>
          <w:p w14:paraId="02966EE9">
            <w:pPr>
              <w:rPr>
                <w:rFonts w:hint="default" w:ascii="Times New Roman" w:hAnsi="Times New Roman" w:cs="Times New Roman"/>
                <w:b/>
                <w:color w:val="auto"/>
              </w:rPr>
            </w:pPr>
            <w:r>
              <w:rPr>
                <w:rFonts w:hint="default" w:ascii="Times New Roman" w:hAnsi="Times New Roman" w:cs="Times New Roman"/>
                <w:b/>
                <w:color w:val="auto"/>
              </w:rPr>
              <w:t>1、废气</w:t>
            </w:r>
          </w:p>
          <w:p w14:paraId="2036E31D">
            <w:pPr>
              <w:ind w:firstLine="480" w:firstLineChars="200"/>
              <w:textAlignment w:val="baseline"/>
              <w:rPr>
                <w:rFonts w:hint="default" w:ascii="Times New Roman" w:hAnsi="Times New Roman" w:cs="Times New Roman"/>
                <w:color w:val="auto"/>
              </w:rPr>
            </w:pPr>
            <w:r>
              <w:rPr>
                <w:rFonts w:hint="default" w:ascii="Times New Roman" w:hAnsi="Times New Roman" w:cs="Times New Roman"/>
                <w:color w:val="auto"/>
              </w:rPr>
              <w:t>项目大气污染源源强核算结果及相关参数见下表：</w:t>
            </w:r>
          </w:p>
          <w:p w14:paraId="7AE98C73">
            <w:pPr>
              <w:wordWrap/>
              <w:adjustRightInd w:val="0"/>
              <w:snapToGrid w:val="0"/>
              <w:spacing w:line="240" w:lineRule="auto"/>
              <w:ind w:firstLine="482" w:firstLineChars="200"/>
              <w:jc w:val="center"/>
              <w:rPr>
                <w:rFonts w:hint="default" w:ascii="Times New Roman" w:hAnsi="Times New Roman" w:cs="Times New Roman"/>
                <w:bCs/>
                <w:color w:val="auto"/>
                <w:kern w:val="21"/>
              </w:rPr>
            </w:pPr>
            <w:bookmarkStart w:id="16" w:name="项目废气污染治理措施"/>
            <w:r>
              <w:rPr>
                <w:rFonts w:hint="default" w:ascii="Times New Roman" w:hAnsi="Times New Roman" w:cs="Times New Roman"/>
                <w:b/>
                <w:color w:val="auto"/>
                <w:kern w:val="21"/>
              </w:rPr>
              <w:t>表</w:t>
            </w:r>
            <w:r>
              <w:rPr>
                <w:rFonts w:hint="default" w:ascii="Times New Roman" w:hAnsi="Times New Roman" w:cs="Times New Roman"/>
                <w:b/>
                <w:color w:val="auto"/>
                <w:kern w:val="21"/>
                <w:lang w:val="en-US" w:eastAsia="zh-CN"/>
              </w:rPr>
              <w:t>4-1</w:t>
            </w:r>
            <w:r>
              <w:rPr>
                <w:rFonts w:hint="default" w:ascii="Times New Roman" w:hAnsi="Times New Roman" w:cs="Times New Roman"/>
                <w:b/>
                <w:color w:val="auto"/>
                <w:kern w:val="21"/>
              </w:rPr>
              <w:t xml:space="preserve"> 项目废气污染治理措施</w:t>
            </w:r>
            <w:bookmarkEnd w:id="16"/>
            <w:r>
              <w:rPr>
                <w:rFonts w:hint="default" w:ascii="Times New Roman" w:hAnsi="Times New Roman" w:cs="Times New Roman"/>
                <w:b/>
                <w:color w:val="auto"/>
                <w:kern w:val="21"/>
              </w:rPr>
              <w:t>及产排情况一览表</w:t>
            </w:r>
          </w:p>
          <w:tbl>
            <w:tblPr>
              <w:tblStyle w:val="23"/>
              <w:tblW w:w="12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020"/>
              <w:gridCol w:w="900"/>
              <w:gridCol w:w="899"/>
              <w:gridCol w:w="945"/>
              <w:gridCol w:w="919"/>
              <w:gridCol w:w="1290"/>
              <w:gridCol w:w="780"/>
              <w:gridCol w:w="660"/>
              <w:gridCol w:w="675"/>
              <w:gridCol w:w="656"/>
              <w:gridCol w:w="930"/>
              <w:gridCol w:w="915"/>
              <w:gridCol w:w="901"/>
            </w:tblGrid>
            <w:tr w14:paraId="5C0AE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87" w:type="dxa"/>
                  <w:vMerge w:val="restart"/>
                  <w:vAlign w:val="center"/>
                </w:tcPr>
                <w:p w14:paraId="7A32BD10">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产污环节</w:t>
                  </w:r>
                </w:p>
              </w:tc>
              <w:tc>
                <w:tcPr>
                  <w:tcW w:w="1020" w:type="dxa"/>
                  <w:vMerge w:val="restart"/>
                  <w:vAlign w:val="center"/>
                </w:tcPr>
                <w:p w14:paraId="04193539">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污染物种类</w:t>
                  </w:r>
                </w:p>
              </w:tc>
              <w:tc>
                <w:tcPr>
                  <w:tcW w:w="900" w:type="dxa"/>
                  <w:vMerge w:val="restart"/>
                  <w:vAlign w:val="center"/>
                </w:tcPr>
                <w:p w14:paraId="532A1AA9">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排放形式</w:t>
                  </w:r>
                </w:p>
              </w:tc>
              <w:tc>
                <w:tcPr>
                  <w:tcW w:w="2763" w:type="dxa"/>
                  <w:gridSpan w:val="3"/>
                  <w:vAlign w:val="center"/>
                </w:tcPr>
                <w:p w14:paraId="371F058F">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污染物产生情况</w:t>
                  </w:r>
                </w:p>
              </w:tc>
              <w:tc>
                <w:tcPr>
                  <w:tcW w:w="4061" w:type="dxa"/>
                  <w:gridSpan w:val="5"/>
                  <w:vAlign w:val="center"/>
                </w:tcPr>
                <w:p w14:paraId="17C361D9">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主要污染治理措施</w:t>
                  </w:r>
                </w:p>
              </w:tc>
              <w:tc>
                <w:tcPr>
                  <w:tcW w:w="2746" w:type="dxa"/>
                  <w:gridSpan w:val="3"/>
                  <w:vAlign w:val="center"/>
                </w:tcPr>
                <w:p w14:paraId="5F282D3B">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污染物排放情况</w:t>
                  </w:r>
                </w:p>
              </w:tc>
            </w:tr>
            <w:tr w14:paraId="403D8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887" w:type="dxa"/>
                  <w:vMerge w:val="continue"/>
                  <w:vAlign w:val="center"/>
                </w:tcPr>
                <w:p w14:paraId="3379ADF1">
                  <w:pPr>
                    <w:wordWrap/>
                    <w:adjustRightInd w:val="0"/>
                    <w:snapToGrid w:val="0"/>
                    <w:spacing w:line="240" w:lineRule="auto"/>
                    <w:jc w:val="center"/>
                    <w:rPr>
                      <w:rFonts w:hint="default" w:ascii="Times New Roman" w:hAnsi="Times New Roman" w:cs="Times New Roman"/>
                      <w:b/>
                      <w:color w:val="auto"/>
                      <w:kern w:val="21"/>
                      <w:sz w:val="21"/>
                      <w:szCs w:val="21"/>
                    </w:rPr>
                  </w:pPr>
                </w:p>
              </w:tc>
              <w:tc>
                <w:tcPr>
                  <w:tcW w:w="1020" w:type="dxa"/>
                  <w:vMerge w:val="continue"/>
                  <w:vAlign w:val="center"/>
                </w:tcPr>
                <w:p w14:paraId="39C298A4">
                  <w:pPr>
                    <w:wordWrap/>
                    <w:adjustRightInd w:val="0"/>
                    <w:snapToGrid w:val="0"/>
                    <w:spacing w:line="240" w:lineRule="auto"/>
                    <w:jc w:val="center"/>
                    <w:rPr>
                      <w:rFonts w:hint="default" w:ascii="Times New Roman" w:hAnsi="Times New Roman" w:cs="Times New Roman"/>
                      <w:b/>
                      <w:color w:val="auto"/>
                      <w:kern w:val="21"/>
                      <w:sz w:val="21"/>
                      <w:szCs w:val="21"/>
                    </w:rPr>
                  </w:pPr>
                </w:p>
              </w:tc>
              <w:tc>
                <w:tcPr>
                  <w:tcW w:w="900" w:type="dxa"/>
                  <w:vMerge w:val="continue"/>
                  <w:vAlign w:val="center"/>
                </w:tcPr>
                <w:p w14:paraId="62301124">
                  <w:pPr>
                    <w:adjustRightInd w:val="0"/>
                    <w:snapToGrid w:val="0"/>
                    <w:spacing w:line="240" w:lineRule="auto"/>
                    <w:jc w:val="center"/>
                    <w:rPr>
                      <w:rFonts w:hint="default" w:ascii="Times New Roman" w:hAnsi="Times New Roman" w:cs="Times New Roman"/>
                      <w:b/>
                      <w:color w:val="auto"/>
                      <w:kern w:val="21"/>
                      <w:sz w:val="21"/>
                      <w:szCs w:val="21"/>
                    </w:rPr>
                  </w:pPr>
                </w:p>
              </w:tc>
              <w:tc>
                <w:tcPr>
                  <w:tcW w:w="899" w:type="dxa"/>
                  <w:vAlign w:val="center"/>
                </w:tcPr>
                <w:p w14:paraId="0BEB992D">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产生量（t/a）</w:t>
                  </w:r>
                </w:p>
              </w:tc>
              <w:tc>
                <w:tcPr>
                  <w:tcW w:w="945" w:type="dxa"/>
                  <w:vAlign w:val="center"/>
                </w:tcPr>
                <w:p w14:paraId="6913A24C">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产生速率（kg/h）</w:t>
                  </w:r>
                </w:p>
              </w:tc>
              <w:tc>
                <w:tcPr>
                  <w:tcW w:w="919" w:type="dxa"/>
                  <w:vAlign w:val="center"/>
                </w:tcPr>
                <w:p w14:paraId="3BD623D5">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产生浓度（mg/m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w:t>
                  </w:r>
                </w:p>
              </w:tc>
              <w:tc>
                <w:tcPr>
                  <w:tcW w:w="1290" w:type="dxa"/>
                  <w:vAlign w:val="center"/>
                </w:tcPr>
                <w:p w14:paraId="50BF660E">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治理措施</w:t>
                  </w:r>
                </w:p>
              </w:tc>
              <w:tc>
                <w:tcPr>
                  <w:tcW w:w="780" w:type="dxa"/>
                  <w:vAlign w:val="center"/>
                </w:tcPr>
                <w:p w14:paraId="5810068D">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处理风量（m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/h）</w:t>
                  </w:r>
                </w:p>
              </w:tc>
              <w:tc>
                <w:tcPr>
                  <w:tcW w:w="660" w:type="dxa"/>
                  <w:vAlign w:val="center"/>
                </w:tcPr>
                <w:p w14:paraId="6B3F5EDF">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收集效率%</w:t>
                  </w:r>
                </w:p>
              </w:tc>
              <w:tc>
                <w:tcPr>
                  <w:tcW w:w="675" w:type="dxa"/>
                  <w:vAlign w:val="center"/>
                </w:tcPr>
                <w:p w14:paraId="6E2C9AC3">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去除效率%</w:t>
                  </w:r>
                </w:p>
              </w:tc>
              <w:tc>
                <w:tcPr>
                  <w:tcW w:w="656" w:type="dxa"/>
                  <w:vAlign w:val="center"/>
                </w:tcPr>
                <w:p w14:paraId="002572F4">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是否为可行性技术</w:t>
                  </w:r>
                </w:p>
              </w:tc>
              <w:tc>
                <w:tcPr>
                  <w:tcW w:w="930" w:type="dxa"/>
                  <w:vAlign w:val="center"/>
                </w:tcPr>
                <w:p w14:paraId="468F35F0">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排放量（t/a）</w:t>
                  </w:r>
                </w:p>
              </w:tc>
              <w:tc>
                <w:tcPr>
                  <w:tcW w:w="915" w:type="dxa"/>
                  <w:vAlign w:val="center"/>
                </w:tcPr>
                <w:p w14:paraId="3BC51620">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排放速率（kg/h）</w:t>
                  </w:r>
                </w:p>
              </w:tc>
              <w:tc>
                <w:tcPr>
                  <w:tcW w:w="901" w:type="dxa"/>
                  <w:vAlign w:val="center"/>
                </w:tcPr>
                <w:p w14:paraId="5A8DA14A">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排放浓度（mg/m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w:t>
                  </w:r>
                </w:p>
              </w:tc>
            </w:tr>
            <w:tr w14:paraId="5E6DE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887" w:type="dxa"/>
                  <w:vAlign w:val="center"/>
                </w:tcPr>
                <w:p w14:paraId="37E6B869">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喷漆</w:t>
                  </w:r>
                </w:p>
              </w:tc>
              <w:tc>
                <w:tcPr>
                  <w:tcW w:w="1020" w:type="dxa"/>
                  <w:vAlign w:val="center"/>
                </w:tcPr>
                <w:p w14:paraId="0504371F">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颗粒物</w:t>
                  </w:r>
                </w:p>
              </w:tc>
              <w:tc>
                <w:tcPr>
                  <w:tcW w:w="900" w:type="dxa"/>
                  <w:vMerge w:val="restart"/>
                  <w:vAlign w:val="center"/>
                </w:tcPr>
                <w:p w14:paraId="0FAE827C">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DA001</w:t>
                  </w:r>
                </w:p>
              </w:tc>
              <w:tc>
                <w:tcPr>
                  <w:tcW w:w="899" w:type="dxa"/>
                  <w:vAlign w:val="center"/>
                </w:tcPr>
                <w:p w14:paraId="530E4C2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1.247</w:t>
                  </w:r>
                </w:p>
              </w:tc>
              <w:tc>
                <w:tcPr>
                  <w:tcW w:w="945" w:type="dxa"/>
                  <w:vAlign w:val="center"/>
                </w:tcPr>
                <w:p w14:paraId="1E52060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0.26</w:t>
                  </w:r>
                </w:p>
              </w:tc>
              <w:tc>
                <w:tcPr>
                  <w:tcW w:w="919" w:type="dxa"/>
                  <w:vAlign w:val="center"/>
                </w:tcPr>
                <w:p w14:paraId="0FC1213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15.7</w:t>
                  </w:r>
                </w:p>
              </w:tc>
              <w:tc>
                <w:tcPr>
                  <w:tcW w:w="1290" w:type="dxa"/>
                  <w:vMerge w:val="restart"/>
                  <w:vAlign w:val="center"/>
                </w:tcPr>
                <w:p w14:paraId="2D75E3E8">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lang w:val="en-US" w:eastAsia="zh-CN"/>
                    </w:rPr>
                    <w:t>水帘柜+</w:t>
                  </w:r>
                  <w:r>
                    <w:rPr>
                      <w:rFonts w:hint="default" w:ascii="Times New Roman" w:hAnsi="Times New Roman" w:cs="Times New Roman"/>
                      <w:bCs/>
                      <w:color w:val="auto"/>
                      <w:kern w:val="21"/>
                      <w:sz w:val="21"/>
                      <w:szCs w:val="21"/>
                    </w:rPr>
                    <w:t>水喷淋塔+干式过滤棉+</w:t>
                  </w:r>
                  <w:r>
                    <w:rPr>
                      <w:rFonts w:hint="default" w:ascii="Times New Roman" w:hAnsi="Times New Roman" w:cs="Times New Roman"/>
                      <w:bCs/>
                      <w:color w:val="auto"/>
                      <w:kern w:val="21"/>
                      <w:sz w:val="21"/>
                      <w:szCs w:val="21"/>
                      <w:lang w:eastAsia="zh-CN"/>
                    </w:rPr>
                    <w:t>二级活性炭</w:t>
                  </w:r>
                  <w:r>
                    <w:rPr>
                      <w:rFonts w:hint="default" w:ascii="Times New Roman" w:hAnsi="Times New Roman" w:cs="Times New Roman"/>
                      <w:bCs/>
                      <w:color w:val="auto"/>
                      <w:kern w:val="21"/>
                      <w:sz w:val="21"/>
                      <w:szCs w:val="21"/>
                    </w:rPr>
                    <w:t>吸附装置</w:t>
                  </w:r>
                </w:p>
              </w:tc>
              <w:tc>
                <w:tcPr>
                  <w:tcW w:w="780" w:type="dxa"/>
                  <w:vMerge w:val="restart"/>
                  <w:vAlign w:val="center"/>
                </w:tcPr>
                <w:p w14:paraId="19722D84">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16500</w:t>
                  </w:r>
                </w:p>
              </w:tc>
              <w:tc>
                <w:tcPr>
                  <w:tcW w:w="660" w:type="dxa"/>
                  <w:vAlign w:val="center"/>
                </w:tcPr>
                <w:p w14:paraId="6A36C93F">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90</w:t>
                  </w:r>
                </w:p>
              </w:tc>
              <w:tc>
                <w:tcPr>
                  <w:tcW w:w="675" w:type="dxa"/>
                  <w:vAlign w:val="center"/>
                </w:tcPr>
                <w:p w14:paraId="3060E2B7">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95</w:t>
                  </w:r>
                </w:p>
              </w:tc>
              <w:tc>
                <w:tcPr>
                  <w:tcW w:w="656" w:type="dxa"/>
                  <w:vMerge w:val="restart"/>
                  <w:vAlign w:val="center"/>
                </w:tcPr>
                <w:p w14:paraId="231F13F9">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是</w:t>
                  </w:r>
                </w:p>
              </w:tc>
              <w:tc>
                <w:tcPr>
                  <w:tcW w:w="930" w:type="dxa"/>
                  <w:vAlign w:val="center"/>
                </w:tcPr>
                <w:p w14:paraId="269FFD0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0.062</w:t>
                  </w:r>
                </w:p>
              </w:tc>
              <w:tc>
                <w:tcPr>
                  <w:tcW w:w="915" w:type="dxa"/>
                  <w:vAlign w:val="center"/>
                </w:tcPr>
                <w:p w14:paraId="52154F2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0.0129</w:t>
                  </w:r>
                </w:p>
              </w:tc>
              <w:tc>
                <w:tcPr>
                  <w:tcW w:w="901" w:type="dxa"/>
                  <w:vAlign w:val="center"/>
                </w:tcPr>
                <w:p w14:paraId="34A0B93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0.78</w:t>
                  </w:r>
                </w:p>
              </w:tc>
            </w:tr>
            <w:tr w14:paraId="28D6E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87" w:type="dxa"/>
                  <w:vAlign w:val="center"/>
                </w:tcPr>
                <w:p w14:paraId="363CC6A4">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调漆</w:t>
                  </w:r>
                </w:p>
              </w:tc>
              <w:tc>
                <w:tcPr>
                  <w:tcW w:w="1020" w:type="dxa"/>
                  <w:vMerge w:val="restart"/>
                  <w:vAlign w:val="center"/>
                </w:tcPr>
                <w:p w14:paraId="71D35986">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VOCs</w:t>
                  </w:r>
                </w:p>
              </w:tc>
              <w:tc>
                <w:tcPr>
                  <w:tcW w:w="900" w:type="dxa"/>
                  <w:vMerge w:val="continue"/>
                  <w:vAlign w:val="center"/>
                </w:tcPr>
                <w:p w14:paraId="236454D2">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899" w:type="dxa"/>
                  <w:vAlign w:val="center"/>
                </w:tcPr>
                <w:p w14:paraId="563C832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0.0315</w:t>
                  </w:r>
                </w:p>
              </w:tc>
              <w:tc>
                <w:tcPr>
                  <w:tcW w:w="945" w:type="dxa"/>
                  <w:vAlign w:val="center"/>
                </w:tcPr>
                <w:p w14:paraId="1ABBCAA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0.0066</w:t>
                  </w:r>
                </w:p>
              </w:tc>
              <w:tc>
                <w:tcPr>
                  <w:tcW w:w="919" w:type="dxa"/>
                  <w:vAlign w:val="center"/>
                </w:tcPr>
                <w:p w14:paraId="752F250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0.4</w:t>
                  </w:r>
                </w:p>
              </w:tc>
              <w:tc>
                <w:tcPr>
                  <w:tcW w:w="1290" w:type="dxa"/>
                  <w:vMerge w:val="continue"/>
                  <w:vAlign w:val="center"/>
                </w:tcPr>
                <w:p w14:paraId="6768AA84">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80" w:type="dxa"/>
                  <w:vMerge w:val="continue"/>
                  <w:vAlign w:val="center"/>
                </w:tcPr>
                <w:p w14:paraId="555B7493">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60" w:type="dxa"/>
                  <w:vAlign w:val="center"/>
                </w:tcPr>
                <w:p w14:paraId="18F1C806">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90</w:t>
                  </w:r>
                </w:p>
              </w:tc>
              <w:tc>
                <w:tcPr>
                  <w:tcW w:w="675" w:type="dxa"/>
                  <w:vAlign w:val="center"/>
                </w:tcPr>
                <w:p w14:paraId="61004BFE">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75</w:t>
                  </w:r>
                </w:p>
              </w:tc>
              <w:tc>
                <w:tcPr>
                  <w:tcW w:w="656" w:type="dxa"/>
                  <w:vMerge w:val="continue"/>
                  <w:vAlign w:val="center"/>
                </w:tcPr>
                <w:p w14:paraId="763E7179">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30" w:type="dxa"/>
                  <w:vAlign w:val="center"/>
                </w:tcPr>
                <w:p w14:paraId="432734E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0.0079</w:t>
                  </w:r>
                </w:p>
              </w:tc>
              <w:tc>
                <w:tcPr>
                  <w:tcW w:w="915" w:type="dxa"/>
                  <w:vAlign w:val="center"/>
                </w:tcPr>
                <w:p w14:paraId="7DA4DE7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0.0016</w:t>
                  </w:r>
                </w:p>
              </w:tc>
              <w:tc>
                <w:tcPr>
                  <w:tcW w:w="901" w:type="dxa"/>
                  <w:vAlign w:val="center"/>
                </w:tcPr>
                <w:p w14:paraId="4372B8D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0.097</w:t>
                  </w:r>
                </w:p>
              </w:tc>
            </w:tr>
            <w:tr w14:paraId="131E6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87" w:type="dxa"/>
                  <w:vAlign w:val="center"/>
                </w:tcPr>
                <w:p w14:paraId="7284BCAE">
                  <w:pPr>
                    <w:adjustRightInd w:val="0"/>
                    <w:snapToGrid w:val="0"/>
                    <w:spacing w:line="240" w:lineRule="auto"/>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喷漆</w:t>
                  </w:r>
                </w:p>
              </w:tc>
              <w:tc>
                <w:tcPr>
                  <w:tcW w:w="1020" w:type="dxa"/>
                  <w:vMerge w:val="continue"/>
                  <w:vAlign w:val="center"/>
                </w:tcPr>
                <w:p w14:paraId="0FF46DE2">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900" w:type="dxa"/>
                  <w:vMerge w:val="continue"/>
                  <w:vAlign w:val="center"/>
                </w:tcPr>
                <w:p w14:paraId="5111C04B">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899" w:type="dxa"/>
                  <w:vAlign w:val="center"/>
                </w:tcPr>
                <w:p w14:paraId="11F9E68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0.095</w:t>
                  </w:r>
                </w:p>
              </w:tc>
              <w:tc>
                <w:tcPr>
                  <w:tcW w:w="945" w:type="dxa"/>
                  <w:vAlign w:val="center"/>
                </w:tcPr>
                <w:p w14:paraId="6CD843B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0.0198</w:t>
                  </w:r>
                </w:p>
              </w:tc>
              <w:tc>
                <w:tcPr>
                  <w:tcW w:w="919" w:type="dxa"/>
                  <w:vAlign w:val="center"/>
                </w:tcPr>
                <w:p w14:paraId="318DA7D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1.2</w:t>
                  </w:r>
                </w:p>
              </w:tc>
              <w:tc>
                <w:tcPr>
                  <w:tcW w:w="1290" w:type="dxa"/>
                  <w:vMerge w:val="continue"/>
                  <w:vAlign w:val="center"/>
                </w:tcPr>
                <w:p w14:paraId="423A3795">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80" w:type="dxa"/>
                  <w:vMerge w:val="continue"/>
                  <w:vAlign w:val="center"/>
                </w:tcPr>
                <w:p w14:paraId="74EB4860">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60" w:type="dxa"/>
                  <w:vAlign w:val="center"/>
                </w:tcPr>
                <w:p w14:paraId="0C564464">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90</w:t>
                  </w:r>
                </w:p>
              </w:tc>
              <w:tc>
                <w:tcPr>
                  <w:tcW w:w="675" w:type="dxa"/>
                  <w:vAlign w:val="center"/>
                </w:tcPr>
                <w:p w14:paraId="27F7A863">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75</w:t>
                  </w:r>
                </w:p>
              </w:tc>
              <w:tc>
                <w:tcPr>
                  <w:tcW w:w="656" w:type="dxa"/>
                  <w:vMerge w:val="continue"/>
                  <w:vAlign w:val="center"/>
                </w:tcPr>
                <w:p w14:paraId="2FD87FCA">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30" w:type="dxa"/>
                  <w:vAlign w:val="center"/>
                </w:tcPr>
                <w:p w14:paraId="3B54DE4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0.024</w:t>
                  </w:r>
                </w:p>
              </w:tc>
              <w:tc>
                <w:tcPr>
                  <w:tcW w:w="915" w:type="dxa"/>
                  <w:vAlign w:val="center"/>
                </w:tcPr>
                <w:p w14:paraId="5001127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0.005</w:t>
                  </w:r>
                </w:p>
              </w:tc>
              <w:tc>
                <w:tcPr>
                  <w:tcW w:w="901" w:type="dxa"/>
                  <w:vAlign w:val="center"/>
                </w:tcPr>
                <w:p w14:paraId="608523D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0.303</w:t>
                  </w:r>
                </w:p>
              </w:tc>
            </w:tr>
            <w:tr w14:paraId="2C708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87" w:type="dxa"/>
                  <w:vAlign w:val="center"/>
                </w:tcPr>
                <w:p w14:paraId="3087E6A7">
                  <w:pPr>
                    <w:adjustRightInd w:val="0"/>
                    <w:snapToGrid w:val="0"/>
                    <w:spacing w:line="240" w:lineRule="auto"/>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烘烤</w:t>
                  </w:r>
                </w:p>
              </w:tc>
              <w:tc>
                <w:tcPr>
                  <w:tcW w:w="1020" w:type="dxa"/>
                  <w:vMerge w:val="continue"/>
                  <w:vAlign w:val="center"/>
                </w:tcPr>
                <w:p w14:paraId="1C039129">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00" w:type="dxa"/>
                  <w:vMerge w:val="continue"/>
                  <w:vAlign w:val="center"/>
                </w:tcPr>
                <w:p w14:paraId="5B7FE6FC">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5936E38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0.106</w:t>
                  </w:r>
                </w:p>
              </w:tc>
              <w:tc>
                <w:tcPr>
                  <w:tcW w:w="945" w:type="dxa"/>
                  <w:vAlign w:val="center"/>
                </w:tcPr>
                <w:p w14:paraId="1D8FD26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0.022</w:t>
                  </w:r>
                </w:p>
              </w:tc>
              <w:tc>
                <w:tcPr>
                  <w:tcW w:w="919" w:type="dxa"/>
                  <w:vAlign w:val="center"/>
                </w:tcPr>
                <w:p w14:paraId="379EB18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1.33</w:t>
                  </w:r>
                </w:p>
              </w:tc>
              <w:tc>
                <w:tcPr>
                  <w:tcW w:w="1290" w:type="dxa"/>
                  <w:vMerge w:val="continue"/>
                  <w:vAlign w:val="center"/>
                </w:tcPr>
                <w:p w14:paraId="0390B3BC">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80" w:type="dxa"/>
                  <w:vMerge w:val="continue"/>
                  <w:vAlign w:val="center"/>
                </w:tcPr>
                <w:p w14:paraId="414C53ED">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60" w:type="dxa"/>
                  <w:vAlign w:val="center"/>
                </w:tcPr>
                <w:p w14:paraId="1BE6B1FB">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50</w:t>
                  </w:r>
                </w:p>
              </w:tc>
              <w:tc>
                <w:tcPr>
                  <w:tcW w:w="675" w:type="dxa"/>
                  <w:vAlign w:val="center"/>
                </w:tcPr>
                <w:p w14:paraId="283044D5">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75</w:t>
                  </w:r>
                </w:p>
              </w:tc>
              <w:tc>
                <w:tcPr>
                  <w:tcW w:w="656" w:type="dxa"/>
                  <w:vMerge w:val="continue"/>
                  <w:vAlign w:val="center"/>
                </w:tcPr>
                <w:p w14:paraId="651ACC69">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30" w:type="dxa"/>
                  <w:vAlign w:val="center"/>
                </w:tcPr>
                <w:p w14:paraId="0829E3B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0.0265</w:t>
                  </w:r>
                </w:p>
              </w:tc>
              <w:tc>
                <w:tcPr>
                  <w:tcW w:w="915" w:type="dxa"/>
                  <w:vAlign w:val="center"/>
                </w:tcPr>
                <w:p w14:paraId="2CC7ECB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0.0055</w:t>
                  </w:r>
                </w:p>
              </w:tc>
              <w:tc>
                <w:tcPr>
                  <w:tcW w:w="901" w:type="dxa"/>
                  <w:vAlign w:val="center"/>
                </w:tcPr>
                <w:p w14:paraId="1A9762C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0.33</w:t>
                  </w:r>
                </w:p>
              </w:tc>
            </w:tr>
            <w:tr w14:paraId="094A1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87" w:type="dxa"/>
                  <w:vAlign w:val="center"/>
                </w:tcPr>
                <w:p w14:paraId="526A7979">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移印</w:t>
                  </w:r>
                </w:p>
              </w:tc>
              <w:tc>
                <w:tcPr>
                  <w:tcW w:w="1020" w:type="dxa"/>
                  <w:vMerge w:val="continue"/>
                  <w:vAlign w:val="center"/>
                </w:tcPr>
                <w:p w14:paraId="3DE85D08">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00" w:type="dxa"/>
                  <w:vMerge w:val="continue"/>
                  <w:vAlign w:val="center"/>
                </w:tcPr>
                <w:p w14:paraId="0A312139">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720DDF1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0.0115</w:t>
                  </w:r>
                </w:p>
              </w:tc>
              <w:tc>
                <w:tcPr>
                  <w:tcW w:w="945" w:type="dxa"/>
                  <w:vAlign w:val="center"/>
                </w:tcPr>
                <w:p w14:paraId="061DD63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0.0024</w:t>
                  </w:r>
                </w:p>
              </w:tc>
              <w:tc>
                <w:tcPr>
                  <w:tcW w:w="919" w:type="dxa"/>
                  <w:vAlign w:val="center"/>
                </w:tcPr>
                <w:p w14:paraId="631E709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0.084</w:t>
                  </w:r>
                </w:p>
              </w:tc>
              <w:tc>
                <w:tcPr>
                  <w:tcW w:w="1290" w:type="dxa"/>
                  <w:vMerge w:val="continue"/>
                  <w:vAlign w:val="center"/>
                </w:tcPr>
                <w:p w14:paraId="474DC261">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80" w:type="dxa"/>
                  <w:vMerge w:val="continue"/>
                  <w:vAlign w:val="center"/>
                </w:tcPr>
                <w:p w14:paraId="301BB392">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60" w:type="dxa"/>
                  <w:vAlign w:val="center"/>
                </w:tcPr>
                <w:p w14:paraId="617660DD">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50</w:t>
                  </w:r>
                </w:p>
              </w:tc>
              <w:tc>
                <w:tcPr>
                  <w:tcW w:w="675" w:type="dxa"/>
                  <w:vAlign w:val="center"/>
                </w:tcPr>
                <w:p w14:paraId="16348A21">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75</w:t>
                  </w:r>
                </w:p>
              </w:tc>
              <w:tc>
                <w:tcPr>
                  <w:tcW w:w="656" w:type="dxa"/>
                  <w:vMerge w:val="continue"/>
                  <w:vAlign w:val="center"/>
                </w:tcPr>
                <w:p w14:paraId="0F27F7EA">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30" w:type="dxa"/>
                  <w:vAlign w:val="center"/>
                </w:tcPr>
                <w:p w14:paraId="3DC8B68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0.0029</w:t>
                  </w:r>
                </w:p>
              </w:tc>
              <w:tc>
                <w:tcPr>
                  <w:tcW w:w="915" w:type="dxa"/>
                  <w:vAlign w:val="center"/>
                </w:tcPr>
                <w:p w14:paraId="170DAF1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0.0006</w:t>
                  </w:r>
                </w:p>
              </w:tc>
              <w:tc>
                <w:tcPr>
                  <w:tcW w:w="901" w:type="dxa"/>
                  <w:vAlign w:val="center"/>
                </w:tcPr>
                <w:p w14:paraId="179375C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0.21</w:t>
                  </w:r>
                </w:p>
              </w:tc>
            </w:tr>
            <w:tr w14:paraId="54242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87" w:type="dxa"/>
                  <w:vMerge w:val="restart"/>
                  <w:vAlign w:val="center"/>
                </w:tcPr>
                <w:p w14:paraId="38C28692">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密炼</w:t>
                  </w:r>
                </w:p>
              </w:tc>
              <w:tc>
                <w:tcPr>
                  <w:tcW w:w="1020" w:type="dxa"/>
                  <w:vAlign w:val="center"/>
                </w:tcPr>
                <w:p w14:paraId="3D2DFBD6">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非甲烷总烃</w:t>
                  </w:r>
                </w:p>
              </w:tc>
              <w:tc>
                <w:tcPr>
                  <w:tcW w:w="900" w:type="dxa"/>
                  <w:vMerge w:val="continue"/>
                  <w:vAlign w:val="center"/>
                </w:tcPr>
                <w:p w14:paraId="29B8FB66">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899" w:type="dxa"/>
                  <w:vAlign w:val="center"/>
                </w:tcPr>
                <w:p w14:paraId="17737D0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0.0425</w:t>
                  </w:r>
                </w:p>
              </w:tc>
              <w:tc>
                <w:tcPr>
                  <w:tcW w:w="945" w:type="dxa"/>
                  <w:vAlign w:val="center"/>
                </w:tcPr>
                <w:p w14:paraId="1EFD5F8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0.0089</w:t>
                  </w:r>
                </w:p>
              </w:tc>
              <w:tc>
                <w:tcPr>
                  <w:tcW w:w="919" w:type="dxa"/>
                  <w:vAlign w:val="center"/>
                </w:tcPr>
                <w:p w14:paraId="1332351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0.539</w:t>
                  </w:r>
                </w:p>
              </w:tc>
              <w:tc>
                <w:tcPr>
                  <w:tcW w:w="1290" w:type="dxa"/>
                  <w:vMerge w:val="continue"/>
                  <w:vAlign w:val="center"/>
                </w:tcPr>
                <w:p w14:paraId="3D6B3565">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780" w:type="dxa"/>
                  <w:vMerge w:val="continue"/>
                  <w:vAlign w:val="center"/>
                </w:tcPr>
                <w:p w14:paraId="33737AA5">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660" w:type="dxa"/>
                  <w:vAlign w:val="center"/>
                </w:tcPr>
                <w:p w14:paraId="65B0EE6C">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50</w:t>
                  </w:r>
                </w:p>
              </w:tc>
              <w:tc>
                <w:tcPr>
                  <w:tcW w:w="675" w:type="dxa"/>
                  <w:vAlign w:val="center"/>
                </w:tcPr>
                <w:p w14:paraId="71A0D0A0">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75</w:t>
                  </w:r>
                </w:p>
              </w:tc>
              <w:tc>
                <w:tcPr>
                  <w:tcW w:w="656" w:type="dxa"/>
                  <w:vMerge w:val="continue"/>
                  <w:vAlign w:val="center"/>
                </w:tcPr>
                <w:p w14:paraId="1DC83FBB">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930" w:type="dxa"/>
                  <w:vAlign w:val="center"/>
                </w:tcPr>
                <w:p w14:paraId="7EDF271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0.0106</w:t>
                  </w:r>
                </w:p>
              </w:tc>
              <w:tc>
                <w:tcPr>
                  <w:tcW w:w="915" w:type="dxa"/>
                  <w:vAlign w:val="center"/>
                </w:tcPr>
                <w:p w14:paraId="6742FBD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0.0022</w:t>
                  </w:r>
                </w:p>
              </w:tc>
              <w:tc>
                <w:tcPr>
                  <w:tcW w:w="901" w:type="dxa"/>
                  <w:vAlign w:val="center"/>
                </w:tcPr>
                <w:p w14:paraId="7968B19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0.133</w:t>
                  </w:r>
                </w:p>
              </w:tc>
            </w:tr>
            <w:tr w14:paraId="37C61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87" w:type="dxa"/>
                  <w:vMerge w:val="continue"/>
                  <w:vAlign w:val="center"/>
                </w:tcPr>
                <w:p w14:paraId="184C000E">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1020" w:type="dxa"/>
                  <w:vAlign w:val="center"/>
                </w:tcPr>
                <w:p w14:paraId="7C8A475B">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臭气浓度</w:t>
                  </w:r>
                </w:p>
              </w:tc>
              <w:tc>
                <w:tcPr>
                  <w:tcW w:w="900" w:type="dxa"/>
                  <w:vMerge w:val="continue"/>
                  <w:vAlign w:val="center"/>
                </w:tcPr>
                <w:p w14:paraId="0552C19C">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2763" w:type="dxa"/>
                  <w:gridSpan w:val="3"/>
                  <w:vAlign w:val="center"/>
                </w:tcPr>
                <w:p w14:paraId="5750427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1290" w:type="dxa"/>
                  <w:vMerge w:val="continue"/>
                  <w:vAlign w:val="center"/>
                </w:tcPr>
                <w:p w14:paraId="6CCC16CA">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780" w:type="dxa"/>
                  <w:vMerge w:val="continue"/>
                  <w:vAlign w:val="center"/>
                </w:tcPr>
                <w:p w14:paraId="6AD7C3CB">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4737" w:type="dxa"/>
                  <w:gridSpan w:val="6"/>
                  <w:vAlign w:val="center"/>
                </w:tcPr>
                <w:p w14:paraId="082E419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r>
            <w:tr w14:paraId="3D22F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87" w:type="dxa"/>
                  <w:vMerge w:val="restart"/>
                  <w:vAlign w:val="center"/>
                </w:tcPr>
                <w:p w14:paraId="381A7C11">
                  <w:pPr>
                    <w:adjustRightInd w:val="0"/>
                    <w:snapToGrid w:val="0"/>
                    <w:spacing w:line="240" w:lineRule="auto"/>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硫化</w:t>
                  </w:r>
                </w:p>
              </w:tc>
              <w:tc>
                <w:tcPr>
                  <w:tcW w:w="1020" w:type="dxa"/>
                  <w:vAlign w:val="center"/>
                </w:tcPr>
                <w:p w14:paraId="49DA7596">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非甲烷总烃</w:t>
                  </w:r>
                </w:p>
              </w:tc>
              <w:tc>
                <w:tcPr>
                  <w:tcW w:w="900" w:type="dxa"/>
                  <w:vMerge w:val="continue"/>
                  <w:vAlign w:val="center"/>
                </w:tcPr>
                <w:p w14:paraId="79FCA59A">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899" w:type="dxa"/>
                  <w:vAlign w:val="center"/>
                </w:tcPr>
                <w:p w14:paraId="36D1DD9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0.046</w:t>
                  </w:r>
                </w:p>
              </w:tc>
              <w:tc>
                <w:tcPr>
                  <w:tcW w:w="945" w:type="dxa"/>
                  <w:vAlign w:val="center"/>
                </w:tcPr>
                <w:p w14:paraId="18681BB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0.0096</w:t>
                  </w:r>
                </w:p>
              </w:tc>
              <w:tc>
                <w:tcPr>
                  <w:tcW w:w="919" w:type="dxa"/>
                  <w:vAlign w:val="center"/>
                </w:tcPr>
                <w:p w14:paraId="242E43A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0.582</w:t>
                  </w:r>
                </w:p>
              </w:tc>
              <w:tc>
                <w:tcPr>
                  <w:tcW w:w="1290" w:type="dxa"/>
                  <w:vMerge w:val="continue"/>
                  <w:vAlign w:val="center"/>
                </w:tcPr>
                <w:p w14:paraId="567CF1D9">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780" w:type="dxa"/>
                  <w:vMerge w:val="continue"/>
                  <w:vAlign w:val="center"/>
                </w:tcPr>
                <w:p w14:paraId="0C5180D0">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660" w:type="dxa"/>
                  <w:vAlign w:val="center"/>
                </w:tcPr>
                <w:p w14:paraId="19CFE738">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50</w:t>
                  </w:r>
                </w:p>
              </w:tc>
              <w:tc>
                <w:tcPr>
                  <w:tcW w:w="675" w:type="dxa"/>
                  <w:vAlign w:val="center"/>
                </w:tcPr>
                <w:p w14:paraId="0EE51B1D">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75</w:t>
                  </w:r>
                </w:p>
              </w:tc>
              <w:tc>
                <w:tcPr>
                  <w:tcW w:w="656" w:type="dxa"/>
                  <w:vAlign w:val="center"/>
                </w:tcPr>
                <w:p w14:paraId="364E8935">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sz w:val="21"/>
                      <w:szCs w:val="21"/>
                      <w:lang w:val="en-US" w:eastAsia="zh-CN" w:bidi="ar"/>
                    </w:rPr>
                    <w:t>是</w:t>
                  </w:r>
                </w:p>
              </w:tc>
              <w:tc>
                <w:tcPr>
                  <w:tcW w:w="930" w:type="dxa"/>
                  <w:vAlign w:val="center"/>
                </w:tcPr>
                <w:p w14:paraId="722DE27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0.0115</w:t>
                  </w:r>
                </w:p>
              </w:tc>
              <w:tc>
                <w:tcPr>
                  <w:tcW w:w="915" w:type="dxa"/>
                  <w:vAlign w:val="center"/>
                </w:tcPr>
                <w:p w14:paraId="7D5EAC4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0.0024</w:t>
                  </w:r>
                </w:p>
              </w:tc>
              <w:tc>
                <w:tcPr>
                  <w:tcW w:w="901" w:type="dxa"/>
                  <w:vAlign w:val="center"/>
                </w:tcPr>
                <w:p w14:paraId="553645F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0.145</w:t>
                  </w:r>
                </w:p>
              </w:tc>
            </w:tr>
            <w:tr w14:paraId="75C7E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887" w:type="dxa"/>
                  <w:vMerge w:val="continue"/>
                  <w:vAlign w:val="center"/>
                </w:tcPr>
                <w:p w14:paraId="7C1F1259">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1020" w:type="dxa"/>
                  <w:vAlign w:val="center"/>
                </w:tcPr>
                <w:p w14:paraId="16797FCC">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臭气浓度</w:t>
                  </w:r>
                </w:p>
              </w:tc>
              <w:tc>
                <w:tcPr>
                  <w:tcW w:w="900" w:type="dxa"/>
                  <w:vMerge w:val="continue"/>
                  <w:vAlign w:val="center"/>
                </w:tcPr>
                <w:p w14:paraId="517766A6">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2763" w:type="dxa"/>
                  <w:gridSpan w:val="3"/>
                  <w:vAlign w:val="center"/>
                </w:tcPr>
                <w:p w14:paraId="0B926446">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15C5ACAB">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Merge w:val="continue"/>
                  <w:vAlign w:val="center"/>
                </w:tcPr>
                <w:p w14:paraId="2C4CC59D">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4737" w:type="dxa"/>
                  <w:gridSpan w:val="6"/>
                  <w:vAlign w:val="center"/>
                </w:tcPr>
                <w:p w14:paraId="5587A544">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08655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87" w:type="dxa"/>
                  <w:vMerge w:val="restart"/>
                  <w:vAlign w:val="center"/>
                </w:tcPr>
                <w:p w14:paraId="22F4656E">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注塑</w:t>
                  </w:r>
                </w:p>
              </w:tc>
              <w:tc>
                <w:tcPr>
                  <w:tcW w:w="1020" w:type="dxa"/>
                  <w:vAlign w:val="center"/>
                </w:tcPr>
                <w:p w14:paraId="7CF91E53">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非甲烷总烃</w:t>
                  </w:r>
                </w:p>
              </w:tc>
              <w:tc>
                <w:tcPr>
                  <w:tcW w:w="900" w:type="dxa"/>
                  <w:vMerge w:val="restart"/>
                  <w:vAlign w:val="center"/>
                </w:tcPr>
                <w:p w14:paraId="4EF955A2">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DA002</w:t>
                  </w:r>
                </w:p>
              </w:tc>
              <w:tc>
                <w:tcPr>
                  <w:tcW w:w="899" w:type="dxa"/>
                  <w:vAlign w:val="center"/>
                </w:tcPr>
                <w:p w14:paraId="7C6E585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0.592</w:t>
                  </w:r>
                </w:p>
              </w:tc>
              <w:tc>
                <w:tcPr>
                  <w:tcW w:w="945" w:type="dxa"/>
                  <w:vAlign w:val="center"/>
                </w:tcPr>
                <w:p w14:paraId="18B1D39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0.123</w:t>
                  </w:r>
                </w:p>
              </w:tc>
              <w:tc>
                <w:tcPr>
                  <w:tcW w:w="919" w:type="dxa"/>
                  <w:vAlign w:val="center"/>
                </w:tcPr>
                <w:p w14:paraId="35EB3F1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3.8</w:t>
                  </w:r>
                </w:p>
              </w:tc>
              <w:tc>
                <w:tcPr>
                  <w:tcW w:w="1290" w:type="dxa"/>
                  <w:vMerge w:val="restart"/>
                  <w:vAlign w:val="center"/>
                </w:tcPr>
                <w:p w14:paraId="3DA116AE">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kern w:val="21"/>
                      <w:sz w:val="21"/>
                      <w:szCs w:val="21"/>
                    </w:rPr>
                    <w:t>水喷淋塔+干式过滤棉+</w:t>
                  </w:r>
                  <w:r>
                    <w:rPr>
                      <w:rFonts w:hint="default" w:ascii="Times New Roman" w:hAnsi="Times New Roman" w:cs="Times New Roman"/>
                      <w:bCs/>
                      <w:color w:val="auto"/>
                      <w:kern w:val="21"/>
                      <w:sz w:val="21"/>
                      <w:szCs w:val="21"/>
                      <w:lang w:eastAsia="zh-CN"/>
                    </w:rPr>
                    <w:t>二级活性炭</w:t>
                  </w:r>
                  <w:r>
                    <w:rPr>
                      <w:rFonts w:hint="default" w:ascii="Times New Roman" w:hAnsi="Times New Roman" w:cs="Times New Roman"/>
                      <w:bCs/>
                      <w:color w:val="auto"/>
                      <w:kern w:val="21"/>
                      <w:sz w:val="21"/>
                      <w:szCs w:val="21"/>
                    </w:rPr>
                    <w:t>吸附装置</w:t>
                  </w:r>
                </w:p>
              </w:tc>
              <w:tc>
                <w:tcPr>
                  <w:tcW w:w="780" w:type="dxa"/>
                  <w:vMerge w:val="restart"/>
                  <w:vAlign w:val="center"/>
                </w:tcPr>
                <w:p w14:paraId="31EC6FA9">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32400</w:t>
                  </w:r>
                </w:p>
              </w:tc>
              <w:tc>
                <w:tcPr>
                  <w:tcW w:w="660" w:type="dxa"/>
                  <w:vAlign w:val="center"/>
                </w:tcPr>
                <w:p w14:paraId="44E709EE">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50</w:t>
                  </w:r>
                </w:p>
              </w:tc>
              <w:tc>
                <w:tcPr>
                  <w:tcW w:w="675" w:type="dxa"/>
                  <w:vAlign w:val="center"/>
                </w:tcPr>
                <w:p w14:paraId="24A317D4">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75</w:t>
                  </w:r>
                </w:p>
              </w:tc>
              <w:tc>
                <w:tcPr>
                  <w:tcW w:w="656" w:type="dxa"/>
                  <w:vAlign w:val="center"/>
                </w:tcPr>
                <w:p w14:paraId="4832FDE1">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是</w:t>
                  </w:r>
                </w:p>
              </w:tc>
              <w:tc>
                <w:tcPr>
                  <w:tcW w:w="930" w:type="dxa"/>
                  <w:vAlign w:val="center"/>
                </w:tcPr>
                <w:p w14:paraId="13547F0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0.148</w:t>
                  </w:r>
                </w:p>
              </w:tc>
              <w:tc>
                <w:tcPr>
                  <w:tcW w:w="915" w:type="dxa"/>
                  <w:vAlign w:val="center"/>
                </w:tcPr>
                <w:p w14:paraId="0E5DD08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0.031</w:t>
                  </w:r>
                </w:p>
              </w:tc>
              <w:tc>
                <w:tcPr>
                  <w:tcW w:w="901" w:type="dxa"/>
                  <w:vAlign w:val="center"/>
                </w:tcPr>
                <w:p w14:paraId="31FC0EC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0.95</w:t>
                  </w:r>
                </w:p>
              </w:tc>
            </w:tr>
            <w:tr w14:paraId="3C017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87" w:type="dxa"/>
                  <w:vMerge w:val="continue"/>
                  <w:vAlign w:val="center"/>
                </w:tcPr>
                <w:p w14:paraId="73A7458E">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1020" w:type="dxa"/>
                  <w:vAlign w:val="center"/>
                </w:tcPr>
                <w:p w14:paraId="425DF0DE">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臭气浓度</w:t>
                  </w:r>
                </w:p>
              </w:tc>
              <w:tc>
                <w:tcPr>
                  <w:tcW w:w="900" w:type="dxa"/>
                  <w:vMerge w:val="continue"/>
                  <w:vAlign w:val="center"/>
                </w:tcPr>
                <w:p w14:paraId="4ADE8DBD">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2763" w:type="dxa"/>
                  <w:gridSpan w:val="3"/>
                  <w:vAlign w:val="center"/>
                </w:tcPr>
                <w:p w14:paraId="4629749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1290" w:type="dxa"/>
                  <w:vMerge w:val="continue"/>
                  <w:vAlign w:val="center"/>
                </w:tcPr>
                <w:p w14:paraId="2D468501">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80" w:type="dxa"/>
                  <w:vMerge w:val="continue"/>
                  <w:vAlign w:val="center"/>
                </w:tcPr>
                <w:p w14:paraId="30967A7D">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4737" w:type="dxa"/>
                  <w:gridSpan w:val="6"/>
                  <w:vAlign w:val="center"/>
                </w:tcPr>
                <w:p w14:paraId="6209D6E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bidi="ar"/>
                    </w:rPr>
                    <w:t>/</w:t>
                  </w:r>
                </w:p>
              </w:tc>
            </w:tr>
            <w:tr w14:paraId="152F9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87" w:type="dxa"/>
                  <w:vMerge w:val="restart"/>
                  <w:vAlign w:val="center"/>
                </w:tcPr>
                <w:p w14:paraId="14B29023">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液态成型</w:t>
                  </w:r>
                </w:p>
              </w:tc>
              <w:tc>
                <w:tcPr>
                  <w:tcW w:w="1020" w:type="dxa"/>
                  <w:vAlign w:val="center"/>
                </w:tcPr>
                <w:p w14:paraId="56F87E27">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非甲烷总烃</w:t>
                  </w:r>
                </w:p>
              </w:tc>
              <w:tc>
                <w:tcPr>
                  <w:tcW w:w="900" w:type="dxa"/>
                  <w:vMerge w:val="continue"/>
                  <w:vAlign w:val="center"/>
                </w:tcPr>
                <w:p w14:paraId="0BF95D58">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899" w:type="dxa"/>
                  <w:vAlign w:val="center"/>
                </w:tcPr>
                <w:p w14:paraId="28530F8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0.012</w:t>
                  </w:r>
                </w:p>
              </w:tc>
              <w:tc>
                <w:tcPr>
                  <w:tcW w:w="945" w:type="dxa"/>
                  <w:vAlign w:val="center"/>
                </w:tcPr>
                <w:p w14:paraId="7065096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0.0025</w:t>
                  </w:r>
                </w:p>
              </w:tc>
              <w:tc>
                <w:tcPr>
                  <w:tcW w:w="919" w:type="dxa"/>
                  <w:vAlign w:val="center"/>
                </w:tcPr>
                <w:p w14:paraId="65B6573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0.077</w:t>
                  </w:r>
                </w:p>
              </w:tc>
              <w:tc>
                <w:tcPr>
                  <w:tcW w:w="1290" w:type="dxa"/>
                  <w:vMerge w:val="continue"/>
                  <w:vAlign w:val="center"/>
                </w:tcPr>
                <w:p w14:paraId="01ADBF27">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Merge w:val="continue"/>
                  <w:vAlign w:val="center"/>
                </w:tcPr>
                <w:p w14:paraId="265BBC90">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660" w:type="dxa"/>
                  <w:vAlign w:val="center"/>
                </w:tcPr>
                <w:p w14:paraId="497FE478">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50</w:t>
                  </w:r>
                </w:p>
              </w:tc>
              <w:tc>
                <w:tcPr>
                  <w:tcW w:w="675" w:type="dxa"/>
                  <w:vAlign w:val="center"/>
                </w:tcPr>
                <w:p w14:paraId="7C66D79A">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75</w:t>
                  </w:r>
                </w:p>
              </w:tc>
              <w:tc>
                <w:tcPr>
                  <w:tcW w:w="656" w:type="dxa"/>
                  <w:vAlign w:val="center"/>
                </w:tcPr>
                <w:p w14:paraId="36E61FB8">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是</w:t>
                  </w:r>
                </w:p>
              </w:tc>
              <w:tc>
                <w:tcPr>
                  <w:tcW w:w="930" w:type="dxa"/>
                  <w:vAlign w:val="center"/>
                </w:tcPr>
                <w:p w14:paraId="15D1FA9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0.003</w:t>
                  </w:r>
                </w:p>
              </w:tc>
              <w:tc>
                <w:tcPr>
                  <w:tcW w:w="915" w:type="dxa"/>
                  <w:vAlign w:val="center"/>
                </w:tcPr>
                <w:p w14:paraId="2CD2025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0.0006</w:t>
                  </w:r>
                </w:p>
              </w:tc>
              <w:tc>
                <w:tcPr>
                  <w:tcW w:w="901" w:type="dxa"/>
                  <w:vAlign w:val="center"/>
                </w:tcPr>
                <w:p w14:paraId="6C3A6E0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0.019</w:t>
                  </w:r>
                </w:p>
              </w:tc>
            </w:tr>
            <w:tr w14:paraId="1D3F1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887" w:type="dxa"/>
                  <w:vMerge w:val="continue"/>
                  <w:vAlign w:val="center"/>
                </w:tcPr>
                <w:p w14:paraId="108284F3">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1020" w:type="dxa"/>
                  <w:vAlign w:val="center"/>
                </w:tcPr>
                <w:p w14:paraId="3EE43734">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臭气浓度</w:t>
                  </w:r>
                </w:p>
              </w:tc>
              <w:tc>
                <w:tcPr>
                  <w:tcW w:w="900" w:type="dxa"/>
                  <w:vMerge w:val="continue"/>
                  <w:vAlign w:val="center"/>
                </w:tcPr>
                <w:p w14:paraId="7F593928">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2763" w:type="dxa"/>
                  <w:gridSpan w:val="3"/>
                  <w:vAlign w:val="center"/>
                </w:tcPr>
                <w:p w14:paraId="0CFF53D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1290" w:type="dxa"/>
                  <w:vMerge w:val="continue"/>
                  <w:vAlign w:val="center"/>
                </w:tcPr>
                <w:p w14:paraId="39D4E456">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Merge w:val="continue"/>
                  <w:vAlign w:val="center"/>
                </w:tcPr>
                <w:p w14:paraId="4D50B017">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4737" w:type="dxa"/>
                  <w:gridSpan w:val="6"/>
                  <w:vAlign w:val="center"/>
                </w:tcPr>
                <w:p w14:paraId="740DF84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r>
            <w:tr w14:paraId="5AEE7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87" w:type="dxa"/>
                  <w:vAlign w:val="center"/>
                </w:tcPr>
                <w:p w14:paraId="6016857C">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bidi="ar"/>
                    </w:rPr>
                    <w:t>喷漆</w:t>
                  </w:r>
                </w:p>
              </w:tc>
              <w:tc>
                <w:tcPr>
                  <w:tcW w:w="1020" w:type="dxa"/>
                  <w:vMerge w:val="restart"/>
                  <w:vAlign w:val="center"/>
                </w:tcPr>
                <w:p w14:paraId="7C8A50C3">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颗粒物</w:t>
                  </w:r>
                </w:p>
              </w:tc>
              <w:tc>
                <w:tcPr>
                  <w:tcW w:w="900" w:type="dxa"/>
                  <w:vMerge w:val="restart"/>
                  <w:vAlign w:val="center"/>
                </w:tcPr>
                <w:p w14:paraId="2F152BBD">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无组织</w:t>
                  </w:r>
                </w:p>
              </w:tc>
              <w:tc>
                <w:tcPr>
                  <w:tcW w:w="899" w:type="dxa"/>
                  <w:vAlign w:val="center"/>
                </w:tcPr>
                <w:p w14:paraId="30D9662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0.139</w:t>
                  </w:r>
                </w:p>
              </w:tc>
              <w:tc>
                <w:tcPr>
                  <w:tcW w:w="945" w:type="dxa"/>
                  <w:vAlign w:val="center"/>
                </w:tcPr>
                <w:p w14:paraId="14784B3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0.029</w:t>
                  </w:r>
                </w:p>
              </w:tc>
              <w:tc>
                <w:tcPr>
                  <w:tcW w:w="919" w:type="dxa"/>
                  <w:vAlign w:val="center"/>
                </w:tcPr>
                <w:p w14:paraId="4C8E20DA">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restart"/>
                  <w:vAlign w:val="center"/>
                </w:tcPr>
                <w:p w14:paraId="1D741CE6">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加强密闭</w:t>
                  </w:r>
                </w:p>
              </w:tc>
              <w:tc>
                <w:tcPr>
                  <w:tcW w:w="780" w:type="dxa"/>
                  <w:vAlign w:val="center"/>
                </w:tcPr>
                <w:p w14:paraId="68E4E439">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60" w:type="dxa"/>
                  <w:vAlign w:val="center"/>
                </w:tcPr>
                <w:p w14:paraId="3C2AF36B">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75" w:type="dxa"/>
                  <w:vAlign w:val="center"/>
                </w:tcPr>
                <w:p w14:paraId="5931F9BE">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56" w:type="dxa"/>
                  <w:vAlign w:val="center"/>
                </w:tcPr>
                <w:p w14:paraId="78D9345D">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930" w:type="dxa"/>
                  <w:vAlign w:val="center"/>
                </w:tcPr>
                <w:p w14:paraId="65274B6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0.139</w:t>
                  </w:r>
                </w:p>
              </w:tc>
              <w:tc>
                <w:tcPr>
                  <w:tcW w:w="915" w:type="dxa"/>
                  <w:vAlign w:val="center"/>
                </w:tcPr>
                <w:p w14:paraId="32A3D22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0.029</w:t>
                  </w:r>
                </w:p>
              </w:tc>
              <w:tc>
                <w:tcPr>
                  <w:tcW w:w="901" w:type="dxa"/>
                  <w:vAlign w:val="center"/>
                </w:tcPr>
                <w:p w14:paraId="3633E2F5">
                  <w:pPr>
                    <w:adjustRightInd w:val="0"/>
                    <w:snapToGrid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bidi="ar"/>
                    </w:rPr>
                    <w:t>/</w:t>
                  </w:r>
                </w:p>
              </w:tc>
            </w:tr>
            <w:tr w14:paraId="126E3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87" w:type="dxa"/>
                  <w:vAlign w:val="center"/>
                </w:tcPr>
                <w:p w14:paraId="2547ACA1">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电火花</w:t>
                  </w:r>
                </w:p>
              </w:tc>
              <w:tc>
                <w:tcPr>
                  <w:tcW w:w="1020" w:type="dxa"/>
                  <w:vMerge w:val="continue"/>
                  <w:vAlign w:val="center"/>
                </w:tcPr>
                <w:p w14:paraId="6C296A5B">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239FC2A1">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899" w:type="dxa"/>
                  <w:vAlign w:val="center"/>
                </w:tcPr>
                <w:p w14:paraId="0552635A">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0.1</w:t>
                  </w:r>
                </w:p>
              </w:tc>
              <w:tc>
                <w:tcPr>
                  <w:tcW w:w="945" w:type="dxa"/>
                  <w:vAlign w:val="center"/>
                </w:tcPr>
                <w:p w14:paraId="1DE682EE">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0.021</w:t>
                  </w:r>
                </w:p>
              </w:tc>
              <w:tc>
                <w:tcPr>
                  <w:tcW w:w="919" w:type="dxa"/>
                  <w:vAlign w:val="center"/>
                </w:tcPr>
                <w:p w14:paraId="44E75012">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606D240C">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Align w:val="center"/>
                </w:tcPr>
                <w:p w14:paraId="5796D5F6">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60" w:type="dxa"/>
                  <w:vAlign w:val="center"/>
                </w:tcPr>
                <w:p w14:paraId="63304993">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75" w:type="dxa"/>
                  <w:vAlign w:val="center"/>
                </w:tcPr>
                <w:p w14:paraId="2060AFCA">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56" w:type="dxa"/>
                  <w:vAlign w:val="center"/>
                </w:tcPr>
                <w:p w14:paraId="125A420A">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930" w:type="dxa"/>
                  <w:vAlign w:val="center"/>
                </w:tcPr>
                <w:p w14:paraId="3A1A065E">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0.1</w:t>
                  </w:r>
                </w:p>
              </w:tc>
              <w:tc>
                <w:tcPr>
                  <w:tcW w:w="915" w:type="dxa"/>
                  <w:vAlign w:val="center"/>
                </w:tcPr>
                <w:p w14:paraId="4AA25345">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0.021</w:t>
                  </w:r>
                </w:p>
              </w:tc>
              <w:tc>
                <w:tcPr>
                  <w:tcW w:w="901" w:type="dxa"/>
                  <w:vAlign w:val="center"/>
                </w:tcPr>
                <w:p w14:paraId="0FBE34C4">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1C497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87" w:type="dxa"/>
                  <w:vAlign w:val="center"/>
                </w:tcPr>
                <w:p w14:paraId="09713BF1">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破碎</w:t>
                  </w:r>
                </w:p>
              </w:tc>
              <w:tc>
                <w:tcPr>
                  <w:tcW w:w="1020" w:type="dxa"/>
                  <w:vMerge w:val="continue"/>
                  <w:vAlign w:val="center"/>
                </w:tcPr>
                <w:p w14:paraId="6A4F2F12">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197EC4F1">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899" w:type="dxa"/>
                  <w:vAlign w:val="center"/>
                </w:tcPr>
                <w:p w14:paraId="78BB1D46">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0.002</w:t>
                  </w:r>
                </w:p>
              </w:tc>
              <w:tc>
                <w:tcPr>
                  <w:tcW w:w="945" w:type="dxa"/>
                  <w:vAlign w:val="center"/>
                </w:tcPr>
                <w:p w14:paraId="39DF3986">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0.0033</w:t>
                  </w:r>
                </w:p>
              </w:tc>
              <w:tc>
                <w:tcPr>
                  <w:tcW w:w="919" w:type="dxa"/>
                  <w:vAlign w:val="center"/>
                </w:tcPr>
                <w:p w14:paraId="37B60AEE">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1290" w:type="dxa"/>
                  <w:vMerge w:val="continue"/>
                  <w:vAlign w:val="center"/>
                </w:tcPr>
                <w:p w14:paraId="7218534F">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Align w:val="center"/>
                </w:tcPr>
                <w:p w14:paraId="7EB449A1">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60" w:type="dxa"/>
                  <w:vAlign w:val="center"/>
                </w:tcPr>
                <w:p w14:paraId="67DE36E0">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75" w:type="dxa"/>
                  <w:vAlign w:val="center"/>
                </w:tcPr>
                <w:p w14:paraId="2E6BD9C1">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56" w:type="dxa"/>
                  <w:vAlign w:val="center"/>
                </w:tcPr>
                <w:p w14:paraId="1E132AB1">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930" w:type="dxa"/>
                  <w:vAlign w:val="center"/>
                </w:tcPr>
                <w:p w14:paraId="2FA80561">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0.002</w:t>
                  </w:r>
                </w:p>
              </w:tc>
              <w:tc>
                <w:tcPr>
                  <w:tcW w:w="915" w:type="dxa"/>
                  <w:vAlign w:val="center"/>
                </w:tcPr>
                <w:p w14:paraId="39D81C70">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0.0033</w:t>
                  </w:r>
                </w:p>
              </w:tc>
              <w:tc>
                <w:tcPr>
                  <w:tcW w:w="901" w:type="dxa"/>
                  <w:vAlign w:val="center"/>
                </w:tcPr>
                <w:p w14:paraId="3B491CC6">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26900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87" w:type="dxa"/>
                  <w:vAlign w:val="center"/>
                </w:tcPr>
                <w:p w14:paraId="1A8D8F77">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调漆</w:t>
                  </w:r>
                </w:p>
              </w:tc>
              <w:tc>
                <w:tcPr>
                  <w:tcW w:w="1020" w:type="dxa"/>
                  <w:vMerge w:val="restart"/>
                  <w:vAlign w:val="center"/>
                </w:tcPr>
                <w:p w14:paraId="60877106">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bidi="ar-SA"/>
                    </w:rPr>
                  </w:pPr>
                  <w:r>
                    <w:rPr>
                      <w:rFonts w:hint="default" w:ascii="Times New Roman" w:hAnsi="Times New Roman" w:cs="Times New Roman"/>
                      <w:bCs/>
                      <w:color w:val="auto"/>
                      <w:kern w:val="21"/>
                      <w:sz w:val="21"/>
                      <w:szCs w:val="21"/>
                      <w:lang w:val="en-US" w:eastAsia="zh-CN"/>
                    </w:rPr>
                    <w:t>VOCs</w:t>
                  </w:r>
                </w:p>
              </w:tc>
              <w:tc>
                <w:tcPr>
                  <w:tcW w:w="900" w:type="dxa"/>
                  <w:vMerge w:val="continue"/>
                  <w:vAlign w:val="center"/>
                </w:tcPr>
                <w:p w14:paraId="120A1251">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0E9AE80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0.0035</w:t>
                  </w:r>
                </w:p>
              </w:tc>
              <w:tc>
                <w:tcPr>
                  <w:tcW w:w="945" w:type="dxa"/>
                  <w:vAlign w:val="center"/>
                </w:tcPr>
                <w:p w14:paraId="3F12925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0.0007</w:t>
                  </w:r>
                </w:p>
              </w:tc>
              <w:tc>
                <w:tcPr>
                  <w:tcW w:w="919" w:type="dxa"/>
                  <w:vAlign w:val="center"/>
                </w:tcPr>
                <w:p w14:paraId="3FFF27D7">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2032FB71">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Align w:val="center"/>
                </w:tcPr>
                <w:p w14:paraId="4DEE0BE4">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60" w:type="dxa"/>
                  <w:vAlign w:val="center"/>
                </w:tcPr>
                <w:p w14:paraId="4FC5DE31">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75" w:type="dxa"/>
                  <w:vAlign w:val="center"/>
                </w:tcPr>
                <w:p w14:paraId="3DCA27CF">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56" w:type="dxa"/>
                  <w:vAlign w:val="center"/>
                </w:tcPr>
                <w:p w14:paraId="7E003BE6">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930" w:type="dxa"/>
                  <w:vAlign w:val="center"/>
                </w:tcPr>
                <w:p w14:paraId="2B500A0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0.0035</w:t>
                  </w:r>
                </w:p>
              </w:tc>
              <w:tc>
                <w:tcPr>
                  <w:tcW w:w="915" w:type="dxa"/>
                  <w:vAlign w:val="center"/>
                </w:tcPr>
                <w:p w14:paraId="6E6FBB3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0.0007</w:t>
                  </w:r>
                </w:p>
              </w:tc>
              <w:tc>
                <w:tcPr>
                  <w:tcW w:w="901" w:type="dxa"/>
                  <w:vAlign w:val="center"/>
                </w:tcPr>
                <w:p w14:paraId="47325E96">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3B903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87" w:type="dxa"/>
                  <w:vAlign w:val="center"/>
                </w:tcPr>
                <w:p w14:paraId="6F70FA18">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bidi="ar"/>
                    </w:rPr>
                    <w:t>喷漆</w:t>
                  </w:r>
                </w:p>
              </w:tc>
              <w:tc>
                <w:tcPr>
                  <w:tcW w:w="1020" w:type="dxa"/>
                  <w:vMerge w:val="continue"/>
                  <w:vAlign w:val="center"/>
                </w:tcPr>
                <w:p w14:paraId="20E835DE">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bidi="ar-SA"/>
                    </w:rPr>
                  </w:pPr>
                </w:p>
              </w:tc>
              <w:tc>
                <w:tcPr>
                  <w:tcW w:w="900" w:type="dxa"/>
                  <w:vMerge w:val="continue"/>
                  <w:vAlign w:val="center"/>
                </w:tcPr>
                <w:p w14:paraId="40422680">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159E4FC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0.011</w:t>
                  </w:r>
                </w:p>
              </w:tc>
              <w:tc>
                <w:tcPr>
                  <w:tcW w:w="945" w:type="dxa"/>
                  <w:vAlign w:val="center"/>
                </w:tcPr>
                <w:p w14:paraId="6171A21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0.0023</w:t>
                  </w:r>
                </w:p>
              </w:tc>
              <w:tc>
                <w:tcPr>
                  <w:tcW w:w="919" w:type="dxa"/>
                  <w:vAlign w:val="center"/>
                </w:tcPr>
                <w:p w14:paraId="6C8A0B88">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24BBF589">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80" w:type="dxa"/>
                  <w:vAlign w:val="center"/>
                </w:tcPr>
                <w:p w14:paraId="39184FCC">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60" w:type="dxa"/>
                  <w:vAlign w:val="center"/>
                </w:tcPr>
                <w:p w14:paraId="148A83A0">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75" w:type="dxa"/>
                  <w:vAlign w:val="center"/>
                </w:tcPr>
                <w:p w14:paraId="2F782091">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56" w:type="dxa"/>
                  <w:vAlign w:val="center"/>
                </w:tcPr>
                <w:p w14:paraId="3731E730">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930" w:type="dxa"/>
                  <w:vAlign w:val="center"/>
                </w:tcPr>
                <w:p w14:paraId="736D58B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0.011</w:t>
                  </w:r>
                </w:p>
              </w:tc>
              <w:tc>
                <w:tcPr>
                  <w:tcW w:w="915" w:type="dxa"/>
                  <w:vAlign w:val="center"/>
                </w:tcPr>
                <w:p w14:paraId="573A3A1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0.0023</w:t>
                  </w:r>
                </w:p>
              </w:tc>
              <w:tc>
                <w:tcPr>
                  <w:tcW w:w="901" w:type="dxa"/>
                  <w:vAlign w:val="center"/>
                </w:tcPr>
                <w:p w14:paraId="584258E7">
                  <w:pPr>
                    <w:adjustRightInd w:val="0"/>
                    <w:snapToGrid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bidi="ar"/>
                    </w:rPr>
                    <w:t>/</w:t>
                  </w:r>
                </w:p>
              </w:tc>
            </w:tr>
            <w:tr w14:paraId="3038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87" w:type="dxa"/>
                  <w:vAlign w:val="center"/>
                </w:tcPr>
                <w:p w14:paraId="27589386">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bidi="ar"/>
                    </w:rPr>
                    <w:t>烘烤</w:t>
                  </w:r>
                </w:p>
              </w:tc>
              <w:tc>
                <w:tcPr>
                  <w:tcW w:w="1020" w:type="dxa"/>
                  <w:vMerge w:val="continue"/>
                  <w:vAlign w:val="center"/>
                </w:tcPr>
                <w:p w14:paraId="5CFA1813">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00" w:type="dxa"/>
                  <w:vMerge w:val="continue"/>
                  <w:vAlign w:val="center"/>
                </w:tcPr>
                <w:p w14:paraId="0FE89D8F">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10FC20F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0.106</w:t>
                  </w:r>
                </w:p>
              </w:tc>
              <w:tc>
                <w:tcPr>
                  <w:tcW w:w="945" w:type="dxa"/>
                  <w:vAlign w:val="center"/>
                </w:tcPr>
                <w:p w14:paraId="39E1627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0.022</w:t>
                  </w:r>
                </w:p>
              </w:tc>
              <w:tc>
                <w:tcPr>
                  <w:tcW w:w="919" w:type="dxa"/>
                  <w:vAlign w:val="center"/>
                </w:tcPr>
                <w:p w14:paraId="2466DEF8">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1BFBBABF">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80" w:type="dxa"/>
                  <w:vAlign w:val="center"/>
                </w:tcPr>
                <w:p w14:paraId="3B34A8D8">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60" w:type="dxa"/>
                  <w:vAlign w:val="center"/>
                </w:tcPr>
                <w:p w14:paraId="51ECA2B5">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75" w:type="dxa"/>
                  <w:vAlign w:val="center"/>
                </w:tcPr>
                <w:p w14:paraId="4D52F477">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56" w:type="dxa"/>
                  <w:vAlign w:val="center"/>
                </w:tcPr>
                <w:p w14:paraId="11BFE8B8">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930" w:type="dxa"/>
                  <w:vAlign w:val="center"/>
                </w:tcPr>
                <w:p w14:paraId="222CEB8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0.106</w:t>
                  </w:r>
                </w:p>
              </w:tc>
              <w:tc>
                <w:tcPr>
                  <w:tcW w:w="915" w:type="dxa"/>
                  <w:vAlign w:val="center"/>
                </w:tcPr>
                <w:p w14:paraId="62E9503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0.022</w:t>
                  </w:r>
                </w:p>
              </w:tc>
              <w:tc>
                <w:tcPr>
                  <w:tcW w:w="901" w:type="dxa"/>
                  <w:vAlign w:val="center"/>
                </w:tcPr>
                <w:p w14:paraId="2AEE467B">
                  <w:pPr>
                    <w:adjustRightInd w:val="0"/>
                    <w:snapToGrid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bidi="ar"/>
                    </w:rPr>
                    <w:t>/</w:t>
                  </w:r>
                </w:p>
              </w:tc>
            </w:tr>
            <w:tr w14:paraId="53E4F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87" w:type="dxa"/>
                  <w:vAlign w:val="center"/>
                </w:tcPr>
                <w:p w14:paraId="161E5C2C">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移印</w:t>
                  </w:r>
                </w:p>
              </w:tc>
              <w:tc>
                <w:tcPr>
                  <w:tcW w:w="1020" w:type="dxa"/>
                  <w:vMerge w:val="continue"/>
                  <w:vAlign w:val="center"/>
                </w:tcPr>
                <w:p w14:paraId="19358D3F">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00" w:type="dxa"/>
                  <w:vMerge w:val="continue"/>
                  <w:vAlign w:val="center"/>
                </w:tcPr>
                <w:p w14:paraId="062F1C6E">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0A22E34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0.0115</w:t>
                  </w:r>
                </w:p>
              </w:tc>
              <w:tc>
                <w:tcPr>
                  <w:tcW w:w="945" w:type="dxa"/>
                  <w:vAlign w:val="center"/>
                </w:tcPr>
                <w:p w14:paraId="0ACE379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0.0024</w:t>
                  </w:r>
                </w:p>
              </w:tc>
              <w:tc>
                <w:tcPr>
                  <w:tcW w:w="919" w:type="dxa"/>
                  <w:vAlign w:val="center"/>
                </w:tcPr>
                <w:p w14:paraId="250AF2A9">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3797AC08">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Align w:val="center"/>
                </w:tcPr>
                <w:p w14:paraId="6DEC3617">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60" w:type="dxa"/>
                  <w:vAlign w:val="center"/>
                </w:tcPr>
                <w:p w14:paraId="6FE5B899">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75" w:type="dxa"/>
                  <w:vAlign w:val="center"/>
                </w:tcPr>
                <w:p w14:paraId="0047EA8D">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56" w:type="dxa"/>
                  <w:vAlign w:val="center"/>
                </w:tcPr>
                <w:p w14:paraId="4E13F169">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930" w:type="dxa"/>
                  <w:vAlign w:val="center"/>
                </w:tcPr>
                <w:p w14:paraId="6ACC6A3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0.0115</w:t>
                  </w:r>
                </w:p>
              </w:tc>
              <w:tc>
                <w:tcPr>
                  <w:tcW w:w="915" w:type="dxa"/>
                  <w:vAlign w:val="center"/>
                </w:tcPr>
                <w:p w14:paraId="36FF4FF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0.0024</w:t>
                  </w:r>
                </w:p>
              </w:tc>
              <w:tc>
                <w:tcPr>
                  <w:tcW w:w="901" w:type="dxa"/>
                  <w:vAlign w:val="center"/>
                </w:tcPr>
                <w:p w14:paraId="5F2F13BC">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348F9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87" w:type="dxa"/>
                  <w:vAlign w:val="center"/>
                </w:tcPr>
                <w:p w14:paraId="564DC3D6">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bidi="ar"/>
                    </w:rPr>
                    <w:t>密炼</w:t>
                  </w:r>
                </w:p>
              </w:tc>
              <w:tc>
                <w:tcPr>
                  <w:tcW w:w="1020" w:type="dxa"/>
                  <w:vMerge w:val="restart"/>
                  <w:vAlign w:val="center"/>
                </w:tcPr>
                <w:p w14:paraId="5A80D239">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bidi="ar-SA"/>
                    </w:rPr>
                  </w:pPr>
                  <w:r>
                    <w:rPr>
                      <w:rFonts w:hint="default" w:ascii="Times New Roman" w:hAnsi="Times New Roman" w:cs="Times New Roman"/>
                      <w:bCs/>
                      <w:color w:val="auto"/>
                      <w:kern w:val="21"/>
                      <w:sz w:val="21"/>
                      <w:szCs w:val="21"/>
                      <w:lang w:val="en-US" w:eastAsia="zh-CN"/>
                    </w:rPr>
                    <w:t>非甲烷总烃</w:t>
                  </w:r>
                </w:p>
              </w:tc>
              <w:tc>
                <w:tcPr>
                  <w:tcW w:w="900" w:type="dxa"/>
                  <w:vMerge w:val="continue"/>
                  <w:vAlign w:val="center"/>
                </w:tcPr>
                <w:p w14:paraId="2F072673">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5B39AC4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0.0425</w:t>
                  </w:r>
                </w:p>
              </w:tc>
              <w:tc>
                <w:tcPr>
                  <w:tcW w:w="945" w:type="dxa"/>
                  <w:vAlign w:val="center"/>
                </w:tcPr>
                <w:p w14:paraId="1DD6ACE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rPr>
                    <w:t>0.0089</w:t>
                  </w:r>
                </w:p>
              </w:tc>
              <w:tc>
                <w:tcPr>
                  <w:tcW w:w="919" w:type="dxa"/>
                  <w:vAlign w:val="center"/>
                </w:tcPr>
                <w:p w14:paraId="4FCB9FD1">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5A497353">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80" w:type="dxa"/>
                  <w:vAlign w:val="center"/>
                </w:tcPr>
                <w:p w14:paraId="190A4ED9">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60" w:type="dxa"/>
                  <w:vAlign w:val="center"/>
                </w:tcPr>
                <w:p w14:paraId="29A8B1F8">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75" w:type="dxa"/>
                  <w:vAlign w:val="center"/>
                </w:tcPr>
                <w:p w14:paraId="2762BE51">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656" w:type="dxa"/>
                  <w:vAlign w:val="center"/>
                </w:tcPr>
                <w:p w14:paraId="50024F73">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sz w:val="21"/>
                      <w:szCs w:val="21"/>
                      <w:lang w:val="en-US" w:eastAsia="zh-CN" w:bidi="ar"/>
                    </w:rPr>
                    <w:t>/</w:t>
                  </w:r>
                </w:p>
              </w:tc>
              <w:tc>
                <w:tcPr>
                  <w:tcW w:w="930" w:type="dxa"/>
                  <w:vAlign w:val="center"/>
                </w:tcPr>
                <w:p w14:paraId="7EEA47A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0.0425</w:t>
                  </w:r>
                </w:p>
              </w:tc>
              <w:tc>
                <w:tcPr>
                  <w:tcW w:w="915" w:type="dxa"/>
                  <w:vAlign w:val="center"/>
                </w:tcPr>
                <w:p w14:paraId="258A353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0.0089</w:t>
                  </w:r>
                </w:p>
              </w:tc>
              <w:tc>
                <w:tcPr>
                  <w:tcW w:w="901" w:type="dxa"/>
                  <w:vAlign w:val="center"/>
                </w:tcPr>
                <w:p w14:paraId="5B6D6AD7">
                  <w:pPr>
                    <w:adjustRightInd w:val="0"/>
                    <w:snapToGrid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bidi="ar"/>
                    </w:rPr>
                    <w:t>/</w:t>
                  </w:r>
                </w:p>
              </w:tc>
            </w:tr>
            <w:tr w14:paraId="15DD4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87" w:type="dxa"/>
                  <w:vAlign w:val="center"/>
                </w:tcPr>
                <w:p w14:paraId="5A1EAB8D">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硫化</w:t>
                  </w:r>
                </w:p>
              </w:tc>
              <w:tc>
                <w:tcPr>
                  <w:tcW w:w="1020" w:type="dxa"/>
                  <w:vMerge w:val="continue"/>
                  <w:vAlign w:val="center"/>
                </w:tcPr>
                <w:p w14:paraId="5E938550">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00798324">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16684A3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0.046</w:t>
                  </w:r>
                </w:p>
              </w:tc>
              <w:tc>
                <w:tcPr>
                  <w:tcW w:w="945" w:type="dxa"/>
                  <w:vAlign w:val="center"/>
                </w:tcPr>
                <w:p w14:paraId="5244B46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0.0096</w:t>
                  </w:r>
                </w:p>
              </w:tc>
              <w:tc>
                <w:tcPr>
                  <w:tcW w:w="919" w:type="dxa"/>
                  <w:vAlign w:val="center"/>
                </w:tcPr>
                <w:p w14:paraId="5BB1A37F">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1290" w:type="dxa"/>
                  <w:vMerge w:val="continue"/>
                  <w:vAlign w:val="center"/>
                </w:tcPr>
                <w:p w14:paraId="49076757">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80" w:type="dxa"/>
                  <w:vAlign w:val="center"/>
                </w:tcPr>
                <w:p w14:paraId="4B7B69DE">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60" w:type="dxa"/>
                  <w:vAlign w:val="center"/>
                </w:tcPr>
                <w:p w14:paraId="2C018228">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75" w:type="dxa"/>
                  <w:vAlign w:val="center"/>
                </w:tcPr>
                <w:p w14:paraId="3327A9D9">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56" w:type="dxa"/>
                  <w:vAlign w:val="center"/>
                </w:tcPr>
                <w:p w14:paraId="08C5E71D">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930" w:type="dxa"/>
                  <w:vAlign w:val="center"/>
                </w:tcPr>
                <w:p w14:paraId="5FB7843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0.046</w:t>
                  </w:r>
                </w:p>
              </w:tc>
              <w:tc>
                <w:tcPr>
                  <w:tcW w:w="915" w:type="dxa"/>
                  <w:vAlign w:val="center"/>
                </w:tcPr>
                <w:p w14:paraId="60B8BB2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0.0096</w:t>
                  </w:r>
                </w:p>
              </w:tc>
              <w:tc>
                <w:tcPr>
                  <w:tcW w:w="901" w:type="dxa"/>
                  <w:vAlign w:val="center"/>
                </w:tcPr>
                <w:p w14:paraId="02A6E085">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1DBEC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87" w:type="dxa"/>
                  <w:vAlign w:val="center"/>
                </w:tcPr>
                <w:p w14:paraId="39068989">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注塑</w:t>
                  </w:r>
                </w:p>
              </w:tc>
              <w:tc>
                <w:tcPr>
                  <w:tcW w:w="1020" w:type="dxa"/>
                  <w:vMerge w:val="continue"/>
                  <w:vAlign w:val="center"/>
                </w:tcPr>
                <w:p w14:paraId="291D870E">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7B6EBC2F">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4EF029A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0.592</w:t>
                  </w:r>
                </w:p>
              </w:tc>
              <w:tc>
                <w:tcPr>
                  <w:tcW w:w="945" w:type="dxa"/>
                  <w:vAlign w:val="center"/>
                </w:tcPr>
                <w:p w14:paraId="41B30B6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0.123</w:t>
                  </w:r>
                </w:p>
              </w:tc>
              <w:tc>
                <w:tcPr>
                  <w:tcW w:w="919" w:type="dxa"/>
                  <w:vAlign w:val="center"/>
                </w:tcPr>
                <w:p w14:paraId="04EBDAA1">
                  <w:pPr>
                    <w:adjustRightInd w:val="0"/>
                    <w:snapToGrid w:val="0"/>
                    <w:spacing w:line="240" w:lineRule="auto"/>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262BF24C">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Align w:val="center"/>
                </w:tcPr>
                <w:p w14:paraId="73FF0FCB">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60" w:type="dxa"/>
                  <w:vAlign w:val="center"/>
                </w:tcPr>
                <w:p w14:paraId="61BBE48F">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75" w:type="dxa"/>
                  <w:vAlign w:val="center"/>
                </w:tcPr>
                <w:p w14:paraId="4432361B">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56" w:type="dxa"/>
                  <w:vAlign w:val="center"/>
                </w:tcPr>
                <w:p w14:paraId="6109EDEC">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930" w:type="dxa"/>
                  <w:vAlign w:val="center"/>
                </w:tcPr>
                <w:p w14:paraId="38E15A5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0.592</w:t>
                  </w:r>
                </w:p>
              </w:tc>
              <w:tc>
                <w:tcPr>
                  <w:tcW w:w="915" w:type="dxa"/>
                  <w:vAlign w:val="center"/>
                </w:tcPr>
                <w:p w14:paraId="25B30F7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0.123</w:t>
                  </w:r>
                </w:p>
              </w:tc>
              <w:tc>
                <w:tcPr>
                  <w:tcW w:w="901" w:type="dxa"/>
                  <w:vAlign w:val="center"/>
                </w:tcPr>
                <w:p w14:paraId="0B158757">
                  <w:pPr>
                    <w:adjustRightInd w:val="0"/>
                    <w:snapToGrid w:val="0"/>
                    <w:spacing w:line="240" w:lineRule="auto"/>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7E03D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87" w:type="dxa"/>
                  <w:vAlign w:val="center"/>
                </w:tcPr>
                <w:p w14:paraId="5F5180EA">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液态成型</w:t>
                  </w:r>
                </w:p>
              </w:tc>
              <w:tc>
                <w:tcPr>
                  <w:tcW w:w="1020" w:type="dxa"/>
                  <w:vMerge w:val="continue"/>
                  <w:vAlign w:val="center"/>
                </w:tcPr>
                <w:p w14:paraId="4FA229E6">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3600499F">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277525A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0.012</w:t>
                  </w:r>
                </w:p>
              </w:tc>
              <w:tc>
                <w:tcPr>
                  <w:tcW w:w="945" w:type="dxa"/>
                  <w:vAlign w:val="center"/>
                </w:tcPr>
                <w:p w14:paraId="51B9FDD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0.0025</w:t>
                  </w:r>
                </w:p>
              </w:tc>
              <w:tc>
                <w:tcPr>
                  <w:tcW w:w="919" w:type="dxa"/>
                  <w:vAlign w:val="center"/>
                </w:tcPr>
                <w:p w14:paraId="785036FA">
                  <w:pPr>
                    <w:adjustRightInd w:val="0"/>
                    <w:snapToGrid w:val="0"/>
                    <w:spacing w:line="240" w:lineRule="auto"/>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45D68D09">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Align w:val="center"/>
                </w:tcPr>
                <w:p w14:paraId="759B5024">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60" w:type="dxa"/>
                  <w:vAlign w:val="center"/>
                </w:tcPr>
                <w:p w14:paraId="7A6CD2A9">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75" w:type="dxa"/>
                  <w:vAlign w:val="center"/>
                </w:tcPr>
                <w:p w14:paraId="1CF0E106">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56" w:type="dxa"/>
                  <w:vAlign w:val="center"/>
                </w:tcPr>
                <w:p w14:paraId="7F5E9CFD">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930" w:type="dxa"/>
                  <w:vAlign w:val="center"/>
                </w:tcPr>
                <w:p w14:paraId="0EE8AE9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0.012</w:t>
                  </w:r>
                </w:p>
              </w:tc>
              <w:tc>
                <w:tcPr>
                  <w:tcW w:w="915" w:type="dxa"/>
                  <w:vAlign w:val="center"/>
                </w:tcPr>
                <w:p w14:paraId="6E61F00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0.0025</w:t>
                  </w:r>
                </w:p>
              </w:tc>
              <w:tc>
                <w:tcPr>
                  <w:tcW w:w="901" w:type="dxa"/>
                  <w:vAlign w:val="center"/>
                </w:tcPr>
                <w:p w14:paraId="20A5F78D">
                  <w:pPr>
                    <w:adjustRightInd w:val="0"/>
                    <w:snapToGrid w:val="0"/>
                    <w:spacing w:line="240" w:lineRule="auto"/>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75530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87" w:type="dxa"/>
                  <w:vAlign w:val="center"/>
                </w:tcPr>
                <w:p w14:paraId="7769B797">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机加工</w:t>
                  </w:r>
                </w:p>
              </w:tc>
              <w:tc>
                <w:tcPr>
                  <w:tcW w:w="1020" w:type="dxa"/>
                  <w:vMerge w:val="continue"/>
                  <w:vAlign w:val="center"/>
                </w:tcPr>
                <w:p w14:paraId="5116427A">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55633338">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7EB67A60">
                  <w:pPr>
                    <w:keepNext w:val="0"/>
                    <w:keepLines w:val="0"/>
                    <w:widowControl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0"/>
                      <w:highlight w:val="none"/>
                      <w:lang w:val="en-US" w:eastAsia="zh-CN"/>
                    </w:rPr>
                  </w:pPr>
                  <w:r>
                    <w:rPr>
                      <w:rFonts w:hint="default" w:ascii="Times New Roman" w:hAnsi="Times New Roman" w:cs="Times New Roman"/>
                      <w:color w:val="auto"/>
                      <w:sz w:val="21"/>
                      <w:szCs w:val="20"/>
                      <w:highlight w:val="none"/>
                      <w:lang w:val="en-US" w:eastAsia="zh-CN"/>
                    </w:rPr>
                    <w:t>0.00282</w:t>
                  </w:r>
                </w:p>
              </w:tc>
              <w:tc>
                <w:tcPr>
                  <w:tcW w:w="945" w:type="dxa"/>
                  <w:vAlign w:val="center"/>
                </w:tcPr>
                <w:p w14:paraId="6EC3CF8E">
                  <w:pPr>
                    <w:keepNext w:val="0"/>
                    <w:keepLines w:val="0"/>
                    <w:widowControl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0.0059</w:t>
                  </w:r>
                </w:p>
              </w:tc>
              <w:tc>
                <w:tcPr>
                  <w:tcW w:w="919" w:type="dxa"/>
                  <w:vAlign w:val="center"/>
                </w:tcPr>
                <w:p w14:paraId="24EA3A67">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47F329EE">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Align w:val="center"/>
                </w:tcPr>
                <w:p w14:paraId="53D722F3">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60" w:type="dxa"/>
                  <w:vAlign w:val="center"/>
                </w:tcPr>
                <w:p w14:paraId="7310B6E2">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75" w:type="dxa"/>
                  <w:vAlign w:val="center"/>
                </w:tcPr>
                <w:p w14:paraId="6798F0C5">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56" w:type="dxa"/>
                  <w:vAlign w:val="center"/>
                </w:tcPr>
                <w:p w14:paraId="5C669104">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930" w:type="dxa"/>
                  <w:vAlign w:val="center"/>
                </w:tcPr>
                <w:p w14:paraId="5DC69D74">
                  <w:pPr>
                    <w:keepNext w:val="0"/>
                    <w:keepLines w:val="0"/>
                    <w:widowControl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0"/>
                      <w:highlight w:val="none"/>
                      <w:lang w:val="en-US" w:eastAsia="zh-CN"/>
                    </w:rPr>
                  </w:pPr>
                  <w:r>
                    <w:rPr>
                      <w:rFonts w:hint="default" w:ascii="Times New Roman" w:hAnsi="Times New Roman" w:cs="Times New Roman"/>
                      <w:color w:val="auto"/>
                      <w:sz w:val="21"/>
                      <w:szCs w:val="20"/>
                      <w:highlight w:val="none"/>
                      <w:lang w:val="en-US" w:eastAsia="zh-CN"/>
                    </w:rPr>
                    <w:t>0.00282</w:t>
                  </w:r>
                </w:p>
              </w:tc>
              <w:tc>
                <w:tcPr>
                  <w:tcW w:w="915" w:type="dxa"/>
                  <w:vAlign w:val="center"/>
                </w:tcPr>
                <w:p w14:paraId="699B9019">
                  <w:pPr>
                    <w:keepNext w:val="0"/>
                    <w:keepLines w:val="0"/>
                    <w:widowControl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0.0059</w:t>
                  </w:r>
                </w:p>
              </w:tc>
              <w:tc>
                <w:tcPr>
                  <w:tcW w:w="901" w:type="dxa"/>
                  <w:vAlign w:val="center"/>
                </w:tcPr>
                <w:p w14:paraId="3673495F">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0DA24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87" w:type="dxa"/>
                  <w:vAlign w:val="center"/>
                </w:tcPr>
                <w:p w14:paraId="40220C3C">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电火花</w:t>
                  </w:r>
                </w:p>
              </w:tc>
              <w:tc>
                <w:tcPr>
                  <w:tcW w:w="1020" w:type="dxa"/>
                  <w:vMerge w:val="continue"/>
                  <w:vAlign w:val="center"/>
                </w:tcPr>
                <w:p w14:paraId="3292FFA2">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345DFA6B">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99" w:type="dxa"/>
                  <w:vAlign w:val="center"/>
                </w:tcPr>
                <w:p w14:paraId="0903104B">
                  <w:pPr>
                    <w:keepNext w:val="0"/>
                    <w:keepLines w:val="0"/>
                    <w:widowControl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color w:val="auto"/>
                      <w:sz w:val="21"/>
                      <w:szCs w:val="20"/>
                      <w:highlight w:val="none"/>
                      <w:lang w:val="en-US" w:eastAsia="zh-CN"/>
                    </w:rPr>
                    <w:t>0.000005</w:t>
                  </w:r>
                </w:p>
              </w:tc>
              <w:tc>
                <w:tcPr>
                  <w:tcW w:w="945" w:type="dxa"/>
                  <w:vAlign w:val="center"/>
                </w:tcPr>
                <w:p w14:paraId="01883521">
                  <w:pPr>
                    <w:keepNext w:val="0"/>
                    <w:keepLines w:val="0"/>
                    <w:widowControl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0.000001</w:t>
                  </w:r>
                </w:p>
              </w:tc>
              <w:tc>
                <w:tcPr>
                  <w:tcW w:w="919" w:type="dxa"/>
                  <w:vAlign w:val="center"/>
                </w:tcPr>
                <w:p w14:paraId="55F34F91">
                  <w:pPr>
                    <w:adjustRightInd w:val="0"/>
                    <w:snapToGrid w:val="0"/>
                    <w:spacing w:line="240" w:lineRule="auto"/>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1290" w:type="dxa"/>
                  <w:vMerge w:val="continue"/>
                  <w:vAlign w:val="center"/>
                </w:tcPr>
                <w:p w14:paraId="3C378C32">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780" w:type="dxa"/>
                  <w:vAlign w:val="center"/>
                </w:tcPr>
                <w:p w14:paraId="1F9DF1C6">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60" w:type="dxa"/>
                  <w:vAlign w:val="center"/>
                </w:tcPr>
                <w:p w14:paraId="3EF31A5E">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75" w:type="dxa"/>
                  <w:vAlign w:val="center"/>
                </w:tcPr>
                <w:p w14:paraId="4E2057A1">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56" w:type="dxa"/>
                  <w:vAlign w:val="center"/>
                </w:tcPr>
                <w:p w14:paraId="2089968F">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930" w:type="dxa"/>
                  <w:vAlign w:val="center"/>
                </w:tcPr>
                <w:p w14:paraId="048DA6AE">
                  <w:pPr>
                    <w:keepNext w:val="0"/>
                    <w:keepLines w:val="0"/>
                    <w:widowControl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color w:val="auto"/>
                      <w:sz w:val="21"/>
                      <w:szCs w:val="20"/>
                      <w:highlight w:val="none"/>
                      <w:lang w:val="en-US" w:eastAsia="zh-CN"/>
                    </w:rPr>
                    <w:t>0.000005</w:t>
                  </w:r>
                </w:p>
              </w:tc>
              <w:tc>
                <w:tcPr>
                  <w:tcW w:w="915" w:type="dxa"/>
                  <w:vAlign w:val="center"/>
                </w:tcPr>
                <w:p w14:paraId="6565B6F6">
                  <w:pPr>
                    <w:keepNext w:val="0"/>
                    <w:keepLines w:val="0"/>
                    <w:widowControl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0.000001</w:t>
                  </w:r>
                </w:p>
              </w:tc>
              <w:tc>
                <w:tcPr>
                  <w:tcW w:w="901" w:type="dxa"/>
                  <w:vAlign w:val="center"/>
                </w:tcPr>
                <w:p w14:paraId="3E407C1C">
                  <w:pPr>
                    <w:adjustRightInd w:val="0"/>
                    <w:snapToGrid w:val="0"/>
                    <w:spacing w:line="240" w:lineRule="auto"/>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6F1F2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87" w:type="dxa"/>
                  <w:vAlign w:val="center"/>
                </w:tcPr>
                <w:p w14:paraId="4AA3B4AA">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密炼及硫化</w:t>
                  </w:r>
                </w:p>
              </w:tc>
              <w:tc>
                <w:tcPr>
                  <w:tcW w:w="1020" w:type="dxa"/>
                  <w:vMerge w:val="restart"/>
                  <w:vAlign w:val="center"/>
                </w:tcPr>
                <w:p w14:paraId="0974C1BA">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臭气浓度</w:t>
                  </w:r>
                </w:p>
              </w:tc>
              <w:tc>
                <w:tcPr>
                  <w:tcW w:w="900" w:type="dxa"/>
                  <w:vMerge w:val="continue"/>
                  <w:vAlign w:val="center"/>
                </w:tcPr>
                <w:p w14:paraId="3939C698">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570" w:type="dxa"/>
                  <w:gridSpan w:val="11"/>
                  <w:vMerge w:val="restart"/>
                  <w:vAlign w:val="center"/>
                </w:tcPr>
                <w:p w14:paraId="7EF0A135">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7D26D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87" w:type="dxa"/>
                  <w:vAlign w:val="center"/>
                </w:tcPr>
                <w:p w14:paraId="0917F7F1">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注塑</w:t>
                  </w:r>
                </w:p>
              </w:tc>
              <w:tc>
                <w:tcPr>
                  <w:tcW w:w="1020" w:type="dxa"/>
                  <w:vMerge w:val="continue"/>
                  <w:vAlign w:val="center"/>
                </w:tcPr>
                <w:p w14:paraId="157C6D51">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4D4A8CB2">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570" w:type="dxa"/>
                  <w:gridSpan w:val="11"/>
                  <w:vMerge w:val="continue"/>
                  <w:vAlign w:val="center"/>
                </w:tcPr>
                <w:p w14:paraId="7BE606E2">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r>
            <w:tr w14:paraId="28CCA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1" w:hRule="atLeast"/>
                <w:jc w:val="center"/>
              </w:trPr>
              <w:tc>
                <w:tcPr>
                  <w:tcW w:w="887" w:type="dxa"/>
                  <w:vAlign w:val="center"/>
                </w:tcPr>
                <w:p w14:paraId="66736398">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液态成型</w:t>
                  </w:r>
                </w:p>
              </w:tc>
              <w:tc>
                <w:tcPr>
                  <w:tcW w:w="1020" w:type="dxa"/>
                  <w:vMerge w:val="continue"/>
                  <w:vAlign w:val="center"/>
                </w:tcPr>
                <w:p w14:paraId="0E233340">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0CE1E034">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570" w:type="dxa"/>
                  <w:gridSpan w:val="11"/>
                  <w:vMerge w:val="continue"/>
                  <w:vAlign w:val="center"/>
                </w:tcPr>
                <w:p w14:paraId="1DC66DE1">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r>
          </w:tbl>
          <w:p w14:paraId="09E8A9EE">
            <w:pPr>
              <w:adjustRightInd w:val="0"/>
              <w:snapToGrid w:val="0"/>
              <w:ind w:firstLine="480" w:firstLineChars="200"/>
              <w:rPr>
                <w:rFonts w:hint="default" w:ascii="Times New Roman" w:hAnsi="Times New Roman" w:cs="Times New Roman"/>
                <w:color w:val="auto"/>
              </w:rPr>
            </w:pPr>
          </w:p>
        </w:tc>
      </w:tr>
    </w:tbl>
    <w:p w14:paraId="58BEFD36">
      <w:pPr>
        <w:adjustRightInd w:val="0"/>
        <w:snapToGrid w:val="0"/>
        <w:jc w:val="center"/>
        <w:rPr>
          <w:rFonts w:hint="default" w:ascii="Times New Roman" w:hAnsi="Times New Roman" w:cs="Times New Roman"/>
          <w:bCs/>
          <w:color w:val="auto"/>
          <w:szCs w:val="21"/>
        </w:rPr>
        <w:sectPr>
          <w:pgSz w:w="16840" w:h="11907" w:orient="landscape"/>
          <w:pgMar w:top="1531" w:right="1701" w:bottom="1531" w:left="2127" w:header="851" w:footer="850" w:gutter="0"/>
          <w:cols w:space="720" w:num="1"/>
          <w:docGrid w:linePitch="312" w:charSpace="0"/>
        </w:sectPr>
      </w:pPr>
    </w:p>
    <w:tbl>
      <w:tblPr>
        <w:tblStyle w:val="22"/>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93"/>
        <w:gridCol w:w="8688"/>
      </w:tblGrid>
      <w:tr w14:paraId="56189C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52" w:hRule="atLeast"/>
          <w:jc w:val="center"/>
        </w:trPr>
        <w:tc>
          <w:tcPr>
            <w:tcW w:w="293" w:type="dxa"/>
            <w:tcMar>
              <w:left w:w="28" w:type="dxa"/>
              <w:right w:w="28" w:type="dxa"/>
            </w:tcMar>
            <w:vAlign w:val="center"/>
          </w:tcPr>
          <w:p w14:paraId="1C79521B">
            <w:pPr>
              <w:pStyle w:val="30"/>
              <w:rPr>
                <w:rFonts w:hint="default" w:ascii="Times New Roman" w:hAnsi="Times New Roman" w:cs="Times New Roman"/>
                <w:color w:val="auto"/>
              </w:rPr>
            </w:pPr>
          </w:p>
        </w:tc>
        <w:tc>
          <w:tcPr>
            <w:tcW w:w="8688" w:type="dxa"/>
          </w:tcPr>
          <w:p w14:paraId="56188935">
            <w:pPr>
              <w:ind w:firstLine="480" w:firstLineChars="200"/>
              <w:rPr>
                <w:rFonts w:hint="default" w:ascii="Times New Roman" w:hAnsi="Times New Roman" w:cs="Times New Roman"/>
                <w:bCs/>
                <w:color w:val="auto"/>
              </w:rPr>
            </w:pPr>
            <w:r>
              <w:rPr>
                <w:rFonts w:hint="default" w:ascii="Times New Roman" w:hAnsi="Times New Roman" w:cs="Times New Roman"/>
                <w:bCs/>
                <w:color w:val="auto"/>
              </w:rPr>
              <w:t>项目废气产排情况核算过程如下：</w:t>
            </w:r>
          </w:p>
          <w:p w14:paraId="7CD9BCB5">
            <w:pPr>
              <w:widowControl/>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（1）产排情况</w:t>
            </w:r>
          </w:p>
          <w:p w14:paraId="1768315C">
            <w:pPr>
              <w:wordWrap/>
              <w:ind w:firstLine="482" w:firstLineChars="200"/>
              <w:rPr>
                <w:rFonts w:hint="default" w:ascii="Times New Roman" w:hAnsi="Times New Roman" w:eastAsia="宋体" w:cs="Times New Roman"/>
                <w:b/>
                <w:bCs/>
                <w:color w:val="auto"/>
                <w:szCs w:val="22"/>
                <w:lang w:val="en-US" w:eastAsia="zh-CN"/>
              </w:rPr>
            </w:pPr>
            <w:r>
              <w:rPr>
                <w:rFonts w:hint="default" w:ascii="Times New Roman" w:hAnsi="Times New Roman" w:cs="Times New Roman"/>
                <w:b/>
                <w:bCs/>
                <w:color w:val="auto"/>
                <w:szCs w:val="22"/>
                <w:lang w:val="en-US" w:eastAsia="zh-CN"/>
              </w:rPr>
              <w:t>1）喷漆及烘烤废气</w:t>
            </w:r>
          </w:p>
          <w:p w14:paraId="1569C3F2">
            <w:pPr>
              <w:wordWrap/>
              <w:ind w:firstLine="480" w:firstLineChars="200"/>
              <w:rPr>
                <w:rFonts w:hint="default" w:ascii="Times New Roman" w:hAnsi="Times New Roman" w:eastAsia="宋体" w:cs="Times New Roman"/>
                <w:b w:val="0"/>
                <w:bCs w:val="0"/>
                <w:color w:val="auto"/>
                <w:szCs w:val="22"/>
                <w:lang w:val="en-US" w:eastAsia="zh-CN"/>
              </w:rPr>
            </w:pPr>
            <w:r>
              <w:rPr>
                <w:rFonts w:hint="default" w:ascii="Times New Roman" w:hAnsi="Times New Roman" w:cs="Times New Roman"/>
                <w:b w:val="0"/>
                <w:bCs w:val="0"/>
                <w:color w:val="auto"/>
                <w:szCs w:val="22"/>
                <w:lang w:val="en-US" w:eastAsia="zh-CN"/>
              </w:rPr>
              <w:t>项目喷漆工序使用水性漆，喷漆后经输送带输送至烘烤炉中烘烤干燥，喷漆及烘烤过程会产生颗粒物和有机废气。</w:t>
            </w:r>
          </w:p>
          <w:p w14:paraId="370FCD98">
            <w:pPr>
              <w:wordWrap/>
              <w:ind w:firstLine="482" w:firstLineChars="200"/>
              <w:rPr>
                <w:rFonts w:hint="default" w:ascii="Times New Roman" w:hAnsi="Times New Roman" w:eastAsia="宋体" w:cs="Times New Roman"/>
                <w:b/>
                <w:bCs/>
                <w:color w:val="auto"/>
                <w:szCs w:val="22"/>
                <w:lang w:val="en-US" w:eastAsia="zh-CN"/>
              </w:rPr>
            </w:pPr>
            <w:r>
              <w:rPr>
                <w:rFonts w:hint="default" w:ascii="Times New Roman" w:hAnsi="Times New Roman" w:eastAsia="宋体" w:cs="Times New Roman"/>
                <w:b/>
                <w:bCs/>
                <w:color w:val="auto"/>
                <w:szCs w:val="22"/>
              </w:rPr>
              <w:t>①</w:t>
            </w:r>
            <w:r>
              <w:rPr>
                <w:rFonts w:hint="default" w:ascii="Times New Roman" w:hAnsi="Times New Roman" w:cs="Times New Roman"/>
                <w:b/>
                <w:bCs/>
                <w:color w:val="auto"/>
                <w:szCs w:val="22"/>
                <w:lang w:val="en-US" w:eastAsia="zh-CN"/>
              </w:rPr>
              <w:t>颗粒物</w:t>
            </w:r>
          </w:p>
          <w:p w14:paraId="79536868">
            <w:pPr>
              <w:wordWrap/>
              <w:ind w:firstLine="480" w:firstLineChars="200"/>
              <w:rPr>
                <w:rFonts w:hint="default" w:ascii="Times New Roman" w:hAnsi="Times New Roman" w:eastAsia="宋体" w:cs="Times New Roman"/>
                <w:b w:val="0"/>
                <w:bCs w:val="0"/>
                <w:color w:val="auto"/>
                <w:szCs w:val="22"/>
                <w:lang w:val="en-US" w:eastAsia="zh-CN"/>
              </w:rPr>
            </w:pPr>
            <w:r>
              <w:rPr>
                <w:rFonts w:hint="default" w:ascii="Times New Roman" w:hAnsi="Times New Roman" w:cs="Times New Roman"/>
                <w:b w:val="0"/>
                <w:bCs w:val="0"/>
                <w:color w:val="auto"/>
                <w:szCs w:val="22"/>
                <w:lang w:val="en-US" w:eastAsia="zh-CN"/>
              </w:rPr>
              <w:t>项目喷漆工序会产生油雾颗粒，以颗粒物为表征。油雾颗粒产生量=涂料使用量*（1-附着率）*固含量，参考《谈喷涂涂着效率》（现代涂料与涂装2006.10），低压空气附着率为50-65%，项目按60%计，项目水性漆使用量为7.4t/a，附着率为60%。根据水性漆的VOC检测报告，VOC含量为62g/L，按密度</w:t>
            </w:r>
            <w:r>
              <w:rPr>
                <w:rFonts w:hint="default" w:ascii="Times New Roman" w:hAnsi="Times New Roman" w:cs="Times New Roman"/>
                <w:color w:val="auto"/>
                <w:sz w:val="24"/>
                <w:szCs w:val="24"/>
                <w:lang w:val="en-US" w:eastAsia="zh-CN"/>
              </w:rPr>
              <w:t>1.3g/cm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b w:val="0"/>
                <w:bCs w:val="0"/>
                <w:color w:val="auto"/>
                <w:szCs w:val="22"/>
                <w:lang w:val="en-US" w:eastAsia="zh-CN"/>
              </w:rPr>
              <w:t>换算为4.77%，因此固含量=1-水含量-VOC含量=1-48.4%-4.77%=46.83%，计算得出喷漆工序颗粒物产生量为1.386t/a。</w:t>
            </w:r>
          </w:p>
          <w:p w14:paraId="491B1D6A">
            <w:pPr>
              <w:wordWrap/>
              <w:ind w:firstLine="482" w:firstLineChars="200"/>
              <w:rPr>
                <w:rFonts w:hint="default" w:ascii="Times New Roman" w:hAnsi="Times New Roman" w:eastAsia="宋体" w:cs="Times New Roman"/>
                <w:b/>
                <w:bCs/>
                <w:color w:val="auto"/>
                <w:szCs w:val="22"/>
                <w:lang w:val="en-US" w:eastAsia="zh-CN"/>
              </w:rPr>
            </w:pPr>
            <w:r>
              <w:rPr>
                <w:rFonts w:hint="default" w:ascii="Times New Roman" w:hAnsi="Times New Roman" w:eastAsia="宋体" w:cs="Times New Roman"/>
                <w:b/>
                <w:bCs/>
                <w:color w:val="auto"/>
                <w:szCs w:val="22"/>
              </w:rPr>
              <w:t>②</w:t>
            </w:r>
            <w:r>
              <w:rPr>
                <w:rFonts w:hint="default" w:ascii="Times New Roman" w:hAnsi="Times New Roman" w:eastAsia="宋体" w:cs="Times New Roman"/>
                <w:b/>
                <w:bCs/>
                <w:color w:val="auto"/>
                <w:szCs w:val="22"/>
                <w:lang w:val="en-US" w:eastAsia="zh-CN"/>
              </w:rPr>
              <w:t>有机废气（VOCs）</w:t>
            </w:r>
          </w:p>
          <w:p w14:paraId="4C34B21A">
            <w:pPr>
              <w:wordWrap/>
              <w:ind w:firstLine="480" w:firstLineChars="200"/>
              <w:rPr>
                <w:rFonts w:hint="default" w:ascii="Times New Roman" w:hAnsi="Times New Roman" w:cs="Times New Roman"/>
                <w:color w:val="auto"/>
                <w:sz w:val="24"/>
                <w:szCs w:val="24"/>
                <w:u w:val="none"/>
                <w:lang w:val="en-US" w:eastAsia="zh-CN"/>
              </w:rPr>
            </w:pPr>
            <w:r>
              <w:rPr>
                <w:rFonts w:hint="default" w:ascii="Times New Roman" w:hAnsi="Times New Roman" w:cs="Times New Roman"/>
                <w:b w:val="0"/>
                <w:bCs w:val="0"/>
                <w:color w:val="auto"/>
                <w:sz w:val="24"/>
                <w:szCs w:val="24"/>
                <w:lang w:val="en-US" w:eastAsia="zh-CN"/>
              </w:rPr>
              <w:t>项目喷漆前调漆过程和喷漆过程及烘烤过程均会挥发少量有机废气以VOCs为表征。</w:t>
            </w:r>
            <w:r>
              <w:rPr>
                <w:rFonts w:hint="default" w:ascii="Times New Roman" w:hAnsi="Times New Roman" w:cs="Times New Roman"/>
                <w:color w:val="auto"/>
                <w:sz w:val="24"/>
                <w:szCs w:val="24"/>
                <w:lang w:val="en-US" w:eastAsia="zh-CN"/>
              </w:rPr>
              <w:t>根据水性漆的VOC检测报告可知，未调配的水性漆的挥发性有机化合物含量为62g/L，按密度1.3g/cm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换算VOC占比为4.77%，根据前文计算得出未调配的水性漆使用量为7.4t/a，计算得出VOCs产生量为0.353t/a。调漆在单独的调漆房中进行，喷漆过程在车间内进行，烘烤过程在烤箱内进行，根据实际生产经验，调漆、喷漆、烘烤过程VOCs产生量按1：3：6的比例分别计算得出，调漆过程VOCs产生量为0.035t/a，喷漆过程VOCs产生量为0.106t/a，烘烤过程VOCs产生量为0.212t/a。</w:t>
            </w:r>
          </w:p>
          <w:p w14:paraId="353141CF">
            <w:pPr>
              <w:wordWrap/>
              <w:ind w:firstLine="482" w:firstLineChars="200"/>
              <w:rPr>
                <w:rFonts w:hint="default" w:ascii="Times New Roman" w:hAnsi="Times New Roman" w:eastAsia="宋体" w:cs="Times New Roman"/>
                <w:b/>
                <w:bCs/>
                <w:color w:val="auto"/>
                <w:szCs w:val="22"/>
                <w:lang w:val="en-US" w:eastAsia="zh-CN"/>
              </w:rPr>
            </w:pPr>
            <w:r>
              <w:rPr>
                <w:rFonts w:hint="default" w:ascii="Times New Roman" w:hAnsi="Times New Roman" w:cs="Times New Roman"/>
                <w:b/>
                <w:bCs/>
                <w:color w:val="auto"/>
                <w:szCs w:val="22"/>
                <w:lang w:val="en-US" w:eastAsia="zh-CN"/>
              </w:rPr>
              <w:t>2）</w:t>
            </w:r>
            <w:bookmarkStart w:id="17" w:name="开炼及硫化废气"/>
            <w:r>
              <w:rPr>
                <w:rFonts w:hint="default" w:ascii="Times New Roman" w:hAnsi="Times New Roman" w:cs="Times New Roman"/>
                <w:b/>
                <w:bCs/>
                <w:color w:val="auto"/>
                <w:szCs w:val="22"/>
                <w:lang w:val="en-US" w:eastAsia="zh-CN"/>
              </w:rPr>
              <w:t>密炼、硫化成型及液态成型废气</w:t>
            </w:r>
            <w:bookmarkEnd w:id="17"/>
          </w:p>
          <w:p w14:paraId="22DCB94B">
            <w:pPr>
              <w:wordWrap/>
              <w:ind w:firstLine="482" w:firstLineChars="200"/>
              <w:rPr>
                <w:rFonts w:hint="default" w:ascii="Times New Roman" w:hAnsi="Times New Roman" w:cs="Times New Roman"/>
                <w:b/>
                <w:bCs/>
                <w:color w:val="auto"/>
                <w:szCs w:val="22"/>
                <w:lang w:val="en-US" w:eastAsia="zh-CN"/>
              </w:rPr>
            </w:pPr>
            <w:r>
              <w:rPr>
                <w:rFonts w:hint="default" w:ascii="Times New Roman" w:hAnsi="Times New Roman" w:eastAsia="宋体" w:cs="Times New Roman"/>
                <w:b/>
                <w:bCs/>
                <w:color w:val="auto"/>
                <w:szCs w:val="22"/>
                <w:lang w:val="en-US" w:eastAsia="zh-CN"/>
              </w:rPr>
              <w:t>①</w:t>
            </w:r>
            <w:r>
              <w:rPr>
                <w:rFonts w:hint="default" w:ascii="Times New Roman" w:hAnsi="Times New Roman" w:cs="Times New Roman"/>
                <w:b/>
                <w:bCs/>
                <w:color w:val="auto"/>
                <w:szCs w:val="22"/>
                <w:lang w:val="en-US" w:eastAsia="zh-CN"/>
              </w:rPr>
              <w:t>非甲烷总烃</w:t>
            </w:r>
          </w:p>
          <w:p w14:paraId="211C79F1">
            <w:pPr>
              <w:keepNext w:val="0"/>
              <w:keepLines w:val="0"/>
              <w:widowControl/>
              <w:suppressLineNumbers w:val="0"/>
              <w:ind w:firstLine="480" w:firstLineChars="200"/>
              <w:jc w:val="left"/>
              <w:rPr>
                <w:rFonts w:hint="default" w:ascii="Times New Roman" w:hAnsi="Times New Roman" w:cs="Times New Roman"/>
                <w:b w:val="0"/>
                <w:bCs w:val="0"/>
                <w:color w:val="auto"/>
                <w:szCs w:val="22"/>
                <w:lang w:val="en-US" w:eastAsia="zh-CN"/>
              </w:rPr>
            </w:pPr>
            <w:r>
              <w:rPr>
                <w:rFonts w:hint="default" w:ascii="Times New Roman" w:hAnsi="Times New Roman" w:cs="Times New Roman"/>
                <w:b w:val="0"/>
                <w:bCs w:val="0"/>
                <w:color w:val="auto"/>
                <w:szCs w:val="22"/>
                <w:lang w:val="en-US" w:eastAsia="zh-CN"/>
              </w:rPr>
              <w:t>项目硅胶耳机套生产过程中的密炼和硫化工序、耳挂线生产过程中的硫化工序和硅胶音箱套生产过程中的液态成型工序均会产生有机废气，以非甲烷总烃为表征。</w:t>
            </w:r>
          </w:p>
          <w:p w14:paraId="1DAFC07C">
            <w:pPr>
              <w:keepNext w:val="0"/>
              <w:keepLines w:val="0"/>
              <w:widowControl/>
              <w:suppressLineNumbers w:val="0"/>
              <w:ind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b w:val="0"/>
                <w:bCs w:val="0"/>
                <w:color w:val="auto"/>
                <w:szCs w:val="22"/>
                <w:lang w:val="en-US" w:eastAsia="zh-CN"/>
              </w:rPr>
              <w:t>密炼工序参考《橡胶制品生产过程中有机废气的排放系数》（张芝兰.橡胶工业2006 年第53卷）中美国橡胶制造者协会对橡胶制品在生产过程中有机废气排放系数的测试过程和测试结果-表223类橡胶制品生产过程中污染物的最大排放系数-有机类HAP-混炼废气中非甲烷总烃按140mg/kg胶计，</w:t>
            </w:r>
            <w:r>
              <w:rPr>
                <w:rFonts w:hint="default" w:ascii="Times New Roman" w:hAnsi="Times New Roman" w:eastAsia="宋体" w:cs="Times New Roman"/>
                <w:color w:val="auto"/>
                <w:kern w:val="0"/>
                <w:sz w:val="24"/>
                <w:szCs w:val="24"/>
                <w:lang w:val="en-US" w:eastAsia="zh-CN" w:bidi="ar"/>
              </w:rPr>
              <w:t>项目炼胶共使用胶量为610t/a（硅胶600t/a、色胶10t/a），因此</w:t>
            </w:r>
            <w:r>
              <w:rPr>
                <w:rFonts w:hint="default" w:ascii="Times New Roman" w:hAnsi="Times New Roman" w:cs="Times New Roman"/>
                <w:color w:val="auto"/>
                <w:kern w:val="0"/>
                <w:sz w:val="24"/>
                <w:szCs w:val="24"/>
                <w:lang w:val="en-US" w:eastAsia="zh-CN" w:bidi="ar"/>
              </w:rPr>
              <w:t>密炼工序</w:t>
            </w:r>
            <w:r>
              <w:rPr>
                <w:rFonts w:hint="default" w:ascii="Times New Roman" w:hAnsi="Times New Roman" w:eastAsia="宋体" w:cs="Times New Roman"/>
                <w:color w:val="auto"/>
                <w:kern w:val="0"/>
                <w:sz w:val="24"/>
                <w:szCs w:val="24"/>
                <w:lang w:val="en-US" w:eastAsia="zh-CN" w:bidi="ar"/>
              </w:rPr>
              <w:t>生的非甲烷总烃为0.085t/a。</w:t>
            </w:r>
          </w:p>
          <w:p w14:paraId="0301ABAB">
            <w:pPr>
              <w:keepNext w:val="0"/>
              <w:keepLines w:val="0"/>
              <w:widowControl/>
              <w:suppressLineNumbers w:val="0"/>
              <w:ind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硫化工序</w:t>
            </w:r>
            <w:r>
              <w:rPr>
                <w:rFonts w:hint="default" w:ascii="Times New Roman" w:hAnsi="Times New Roman" w:cs="Times New Roman"/>
                <w:b w:val="0"/>
                <w:bCs w:val="0"/>
                <w:color w:val="auto"/>
                <w:szCs w:val="22"/>
                <w:lang w:val="en-US" w:eastAsia="zh-CN"/>
              </w:rPr>
              <w:t>参考《橡胶制品生产过程中有机废气的排放系数》（张芝兰.橡胶工业2006年第53卷）中美国橡胶制造者协会对橡胶制品在生产过程中有机废气排放系数的测试过程和测试结果-表223类橡胶制品生产过程中污染物的最大排放系数-有机类HAP-硫化废气中非甲烷总烃按149mg/kg胶计，</w:t>
            </w:r>
            <w:r>
              <w:rPr>
                <w:rFonts w:hint="default" w:ascii="Times New Roman" w:hAnsi="Times New Roman" w:eastAsia="宋体" w:cs="Times New Roman"/>
                <w:color w:val="auto"/>
                <w:kern w:val="0"/>
                <w:sz w:val="24"/>
                <w:szCs w:val="24"/>
                <w:lang w:val="en-US" w:eastAsia="zh-CN" w:bidi="ar"/>
              </w:rPr>
              <w:t>项目硫化共使用原料量为620t/a（硅橡胶600t/a、色胶10t/a、尼龙10t/a），因此</w:t>
            </w:r>
            <w:r>
              <w:rPr>
                <w:rFonts w:hint="default" w:ascii="Times New Roman" w:hAnsi="Times New Roman" w:cs="Times New Roman"/>
                <w:color w:val="auto"/>
                <w:kern w:val="0"/>
                <w:sz w:val="24"/>
                <w:szCs w:val="24"/>
                <w:lang w:val="en-US" w:eastAsia="zh-CN" w:bidi="ar"/>
              </w:rPr>
              <w:t>硫化工序</w:t>
            </w:r>
            <w:r>
              <w:rPr>
                <w:rFonts w:hint="default" w:ascii="Times New Roman" w:hAnsi="Times New Roman" w:eastAsia="宋体" w:cs="Times New Roman"/>
                <w:color w:val="auto"/>
                <w:kern w:val="0"/>
                <w:sz w:val="24"/>
                <w:szCs w:val="24"/>
                <w:lang w:val="en-US" w:eastAsia="zh-CN" w:bidi="ar"/>
              </w:rPr>
              <w:t>产生的非甲烷总烃为0.092t/a。</w:t>
            </w:r>
          </w:p>
          <w:p w14:paraId="5AF3A491">
            <w:pPr>
              <w:keepNext w:val="0"/>
              <w:keepLines w:val="0"/>
              <w:widowControl/>
              <w:suppressLineNumbers w:val="0"/>
              <w:ind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液态成型工序</w:t>
            </w:r>
            <w:r>
              <w:rPr>
                <w:rFonts w:hint="default" w:ascii="Times New Roman" w:hAnsi="Times New Roman" w:cs="Times New Roman"/>
                <w:b w:val="0"/>
                <w:bCs w:val="0"/>
                <w:color w:val="auto"/>
                <w:szCs w:val="22"/>
                <w:lang w:val="en-US" w:eastAsia="zh-CN"/>
              </w:rPr>
              <w:t>参考《橡胶制品生产过程中有机废气的排放系数》（张芝兰.橡胶工业2006年第53卷）中美国橡胶制造者协会对橡胶制品在生产过程中有机废气排放系数的测试过程和测试结果-表223类橡胶制品生产过程中污染物的最大排放系数-有机类HAP-压延废气中非甲烷总烃按102mg/kg胶计，</w:t>
            </w:r>
            <w:r>
              <w:rPr>
                <w:rFonts w:hint="default" w:ascii="Times New Roman" w:hAnsi="Times New Roman" w:eastAsia="宋体" w:cs="Times New Roman"/>
                <w:color w:val="auto"/>
                <w:kern w:val="0"/>
                <w:sz w:val="24"/>
                <w:szCs w:val="24"/>
                <w:lang w:val="en-US" w:eastAsia="zh-CN" w:bidi="ar"/>
              </w:rPr>
              <w:t>项目液态成型共使用原料量为240t/a（液态胶240t/a），因此</w:t>
            </w:r>
            <w:r>
              <w:rPr>
                <w:rFonts w:hint="default" w:ascii="Times New Roman" w:hAnsi="Times New Roman" w:cs="Times New Roman"/>
                <w:color w:val="auto"/>
                <w:kern w:val="0"/>
                <w:sz w:val="24"/>
                <w:szCs w:val="24"/>
                <w:lang w:val="en-US" w:eastAsia="zh-CN" w:bidi="ar"/>
              </w:rPr>
              <w:t>液态成型工序</w:t>
            </w:r>
            <w:r>
              <w:rPr>
                <w:rFonts w:hint="default" w:ascii="Times New Roman" w:hAnsi="Times New Roman" w:eastAsia="宋体" w:cs="Times New Roman"/>
                <w:color w:val="auto"/>
                <w:kern w:val="0"/>
                <w:sz w:val="24"/>
                <w:szCs w:val="24"/>
                <w:lang w:val="en-US" w:eastAsia="zh-CN" w:bidi="ar"/>
              </w:rPr>
              <w:t>产生的非甲烷总烃为0.024t/a。</w:t>
            </w:r>
          </w:p>
          <w:p w14:paraId="62D36A47">
            <w:pPr>
              <w:wordWrap/>
              <w:ind w:firstLine="482" w:firstLineChars="200"/>
              <w:rPr>
                <w:rFonts w:hint="default" w:ascii="Times New Roman" w:hAnsi="Times New Roman" w:eastAsia="宋体" w:cs="Times New Roman"/>
                <w:b/>
                <w:bCs/>
                <w:color w:val="auto"/>
                <w:szCs w:val="22"/>
                <w:lang w:val="en-US" w:eastAsia="zh-CN"/>
              </w:rPr>
            </w:pPr>
            <w:r>
              <w:rPr>
                <w:rFonts w:hint="default" w:ascii="Times New Roman" w:hAnsi="Times New Roman" w:eastAsia="宋体" w:cs="Times New Roman"/>
                <w:b/>
                <w:bCs/>
                <w:color w:val="auto"/>
                <w:szCs w:val="22"/>
              </w:rPr>
              <w:t>②</w:t>
            </w:r>
            <w:r>
              <w:rPr>
                <w:rFonts w:hint="default" w:ascii="Times New Roman" w:hAnsi="Times New Roman" w:cs="Times New Roman"/>
                <w:b/>
                <w:bCs/>
                <w:color w:val="auto"/>
                <w:szCs w:val="22"/>
                <w:lang w:val="en-US" w:eastAsia="zh-CN"/>
              </w:rPr>
              <w:t>臭气</w:t>
            </w:r>
          </w:p>
          <w:p w14:paraId="3948435D">
            <w:pPr>
              <w:wordWrap/>
              <w:ind w:firstLine="480" w:firstLineChars="200"/>
              <w:rPr>
                <w:rFonts w:hint="default" w:ascii="Times New Roman" w:hAnsi="Times New Roman" w:cs="Times New Roman"/>
                <w:b w:val="0"/>
                <w:bCs w:val="0"/>
                <w:color w:val="auto"/>
                <w:szCs w:val="22"/>
              </w:rPr>
            </w:pPr>
            <w:r>
              <w:rPr>
                <w:rFonts w:hint="default" w:ascii="Times New Roman" w:hAnsi="Times New Roman" w:cs="Times New Roman"/>
                <w:b w:val="0"/>
                <w:bCs w:val="0"/>
                <w:color w:val="auto"/>
                <w:szCs w:val="22"/>
                <w:lang w:val="en-US" w:eastAsia="zh-CN"/>
              </w:rPr>
              <w:t>项目密炼、硫化和液态成型过程会有少量异味，</w:t>
            </w:r>
            <w:r>
              <w:rPr>
                <w:rFonts w:hint="default" w:ascii="Times New Roman" w:hAnsi="Times New Roman" w:cs="Times New Roman"/>
                <w:color w:val="auto"/>
                <w:kern w:val="0"/>
                <w:sz w:val="24"/>
                <w:highlight w:val="none"/>
                <w:lang w:val="en-US" w:eastAsia="zh-CN"/>
              </w:rPr>
              <w:t>根据《橡胶制品生产过程中废气污染物的排放系数》（橡胶工业 2016 年第63卷）美国橡胶制造者协会（RMA）对各类橡胶原料生产过程中所排放废气的测试结果显示，MVQ（硅胶）混炼及硫化工序不排放二硫化碳，</w:t>
            </w:r>
            <w:r>
              <w:rPr>
                <w:rFonts w:hint="default" w:ascii="Times New Roman" w:hAnsi="Times New Roman" w:cs="Times New Roman"/>
                <w:color w:val="auto"/>
                <w:sz w:val="24"/>
                <w:lang w:val="en-US" w:eastAsia="zh-CN"/>
              </w:rPr>
              <w:t>项目为无硫铂金硫化剂，不会产生含硫废气</w:t>
            </w:r>
            <w:r>
              <w:rPr>
                <w:rFonts w:hint="default" w:ascii="Times New Roman" w:hAnsi="Times New Roman" w:cs="Times New Roman"/>
                <w:color w:val="auto"/>
                <w:sz w:val="24"/>
              </w:rPr>
              <w:t>。</w:t>
            </w:r>
            <w:r>
              <w:rPr>
                <w:rFonts w:hint="default" w:ascii="Times New Roman" w:hAnsi="Times New Roman" w:cs="Times New Roman"/>
                <w:color w:val="auto"/>
                <w:kern w:val="0"/>
                <w:sz w:val="24"/>
                <w:highlight w:val="none"/>
                <w:lang w:val="en-US" w:eastAsia="zh-CN"/>
              </w:rPr>
              <w:t>因此生产过程中产生的异味以臭气浓度</w:t>
            </w:r>
            <w:r>
              <w:rPr>
                <w:rFonts w:hint="default" w:ascii="Times New Roman" w:hAnsi="Times New Roman" w:cs="Times New Roman"/>
                <w:b w:val="0"/>
                <w:bCs w:val="0"/>
                <w:color w:val="auto"/>
                <w:szCs w:val="22"/>
                <w:lang w:val="en-US" w:eastAsia="zh-CN"/>
              </w:rPr>
              <w:t>为表征，</w:t>
            </w:r>
            <w:r>
              <w:rPr>
                <w:rFonts w:hint="default" w:ascii="Times New Roman" w:hAnsi="Times New Roman" w:cs="Times New Roman"/>
                <w:color w:val="auto"/>
              </w:rPr>
              <w:t>影响的范围集中在污染源产生的位置至厂房边界，因臭气浓度较小，项目只对其进行定性分析，注塑工序产生的臭气随非甲烷总烃被收集处理后经排气筒排放，未被收集的臭气在保持车间通风的情况下无组织排放，不会对周边大气环境造成不利影响。</w:t>
            </w:r>
          </w:p>
          <w:p w14:paraId="29F42868">
            <w:pPr>
              <w:numPr>
                <w:ilvl w:val="0"/>
                <w:numId w:val="3"/>
              </w:numPr>
              <w:wordWrap/>
              <w:adjustRightInd w:val="0"/>
              <w:snapToGrid w:val="0"/>
              <w:ind w:firstLine="482" w:firstLineChars="200"/>
              <w:rPr>
                <w:rFonts w:hint="default" w:ascii="Times New Roman" w:hAnsi="Times New Roman" w:cs="Times New Roman"/>
                <w:b/>
                <w:bCs/>
                <w:color w:val="auto"/>
                <w:szCs w:val="22"/>
                <w:lang w:val="en-US" w:eastAsia="zh-CN"/>
              </w:rPr>
            </w:pPr>
            <w:r>
              <w:rPr>
                <w:rFonts w:hint="default" w:ascii="Times New Roman" w:hAnsi="Times New Roman" w:cs="Times New Roman"/>
                <w:b/>
                <w:bCs/>
                <w:color w:val="auto"/>
                <w:szCs w:val="22"/>
                <w:lang w:val="en-US" w:eastAsia="zh-CN"/>
              </w:rPr>
              <w:t>注塑废气</w:t>
            </w:r>
          </w:p>
          <w:p w14:paraId="735D7964">
            <w:pPr>
              <w:numPr>
                <w:ilvl w:val="0"/>
                <w:numId w:val="0"/>
              </w:numPr>
              <w:wordWrap/>
              <w:adjustRightInd w:val="0"/>
              <w:snapToGrid w:val="0"/>
              <w:ind w:left="482" w:hanging="482" w:hangingChars="200"/>
              <w:rPr>
                <w:rFonts w:hint="default" w:ascii="Times New Roman" w:hAnsi="Times New Roman" w:cs="Times New Roman"/>
                <w:b/>
                <w:bCs/>
                <w:color w:val="auto"/>
                <w:szCs w:val="22"/>
                <w:lang w:val="en-US" w:eastAsia="zh-CN"/>
              </w:rPr>
            </w:pPr>
            <w:r>
              <w:rPr>
                <w:rFonts w:hint="default" w:ascii="Times New Roman" w:hAnsi="Times New Roman" w:cs="Times New Roman"/>
                <w:b/>
                <w:bCs/>
                <w:color w:val="auto"/>
                <w:szCs w:val="22"/>
                <w:lang w:val="en-US" w:eastAsia="zh-CN"/>
              </w:rPr>
              <w:t xml:space="preserve">    ①非甲烷总烃</w:t>
            </w:r>
          </w:p>
          <w:p w14:paraId="77C5EEFB">
            <w:pPr>
              <w:numPr>
                <w:ilvl w:val="0"/>
                <w:numId w:val="0"/>
              </w:numPr>
              <w:wordWrap/>
              <w:adjustRightInd w:val="0"/>
              <w:snapToGrid w:val="0"/>
              <w:ind w:firstLine="480" w:firstLineChars="200"/>
              <w:rPr>
                <w:rFonts w:hint="default" w:ascii="Times New Roman" w:hAnsi="Times New Roman" w:cs="Times New Roman"/>
                <w:color w:val="auto"/>
                <w:highlight w:val="none"/>
                <w:lang w:eastAsia="zh-CN"/>
              </w:rPr>
            </w:pPr>
            <w:r>
              <w:rPr>
                <w:rFonts w:hint="default" w:ascii="Times New Roman" w:hAnsi="Times New Roman" w:cs="Times New Roman"/>
                <w:color w:val="auto"/>
                <w:szCs w:val="22"/>
              </w:rPr>
              <w:t>项目将外购的</w:t>
            </w:r>
            <w:r>
              <w:rPr>
                <w:rFonts w:hint="default" w:ascii="Times New Roman" w:hAnsi="Times New Roman" w:cs="Times New Roman"/>
                <w:color w:val="auto"/>
                <w:szCs w:val="22"/>
                <w:lang w:val="en-US" w:eastAsia="zh-CN"/>
              </w:rPr>
              <w:t>PP、ABS、PE</w:t>
            </w:r>
            <w:r>
              <w:rPr>
                <w:rFonts w:hint="default" w:ascii="Times New Roman" w:hAnsi="Times New Roman" w:cs="Times New Roman"/>
                <w:color w:val="auto"/>
                <w:szCs w:val="22"/>
              </w:rPr>
              <w:t>塑料粒放入注塑机中注塑成型，注塑过程产生的废塑料及不合格品经破碎机破碎后回用到注塑原料再一次注塑，</w:t>
            </w:r>
            <w:r>
              <w:rPr>
                <w:rFonts w:hint="default" w:ascii="Times New Roman" w:hAnsi="Times New Roman" w:cs="Times New Roman"/>
                <w:color w:val="auto"/>
              </w:rPr>
              <w:t>项目使用的</w:t>
            </w:r>
            <w:r>
              <w:rPr>
                <w:rFonts w:hint="default" w:ascii="Times New Roman" w:hAnsi="Times New Roman" w:cs="Times New Roman"/>
                <w:color w:val="auto"/>
                <w:highlight w:val="none"/>
                <w:lang w:val="en-US" w:eastAsia="zh-CN"/>
              </w:rPr>
              <w:t>PP分解温度为300-350°C，成型温度为160-220℃</w:t>
            </w:r>
            <w:r>
              <w:rPr>
                <w:rFonts w:hint="default" w:ascii="Times New Roman" w:hAnsi="Times New Roman" w:cs="Times New Roman"/>
                <w:color w:val="auto"/>
                <w:lang w:eastAsia="zh-CN"/>
              </w:rPr>
              <w:t>；</w:t>
            </w:r>
            <w:r>
              <w:rPr>
                <w:rFonts w:hint="default" w:ascii="Times New Roman" w:hAnsi="Times New Roman" w:cs="Times New Roman"/>
                <w:color w:val="auto"/>
                <w:highlight w:val="none"/>
                <w:lang w:val="en-US" w:eastAsia="zh-CN"/>
              </w:rPr>
              <w:t>ABS分解温度为250°C以上，成型温度为180-240℃</w:t>
            </w:r>
            <w:r>
              <w:rPr>
                <w:rFonts w:hint="default" w:ascii="Times New Roman" w:hAnsi="Times New Roman" w:cs="Times New Roman"/>
                <w:color w:val="auto"/>
                <w:lang w:eastAsia="zh-CN"/>
              </w:rPr>
              <w:t>；</w:t>
            </w:r>
            <w:r>
              <w:rPr>
                <w:rFonts w:hint="default" w:ascii="Times New Roman" w:hAnsi="Times New Roman" w:cs="Times New Roman"/>
                <w:color w:val="auto"/>
                <w:highlight w:val="none"/>
                <w:lang w:val="en-US" w:eastAsia="zh-CN"/>
              </w:rPr>
              <w:t>PE分解温度为300°C以上，成型温度为140-220℃</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项目</w:t>
            </w:r>
            <w:r>
              <w:rPr>
                <w:rFonts w:hint="default" w:ascii="Times New Roman" w:hAnsi="Times New Roman" w:cs="Times New Roman"/>
                <w:color w:val="auto"/>
                <w:highlight w:val="none"/>
                <w:lang w:val="en-US" w:eastAsia="zh-CN"/>
              </w:rPr>
              <w:t>成型温度为180-220℃。</w:t>
            </w:r>
            <w:r>
              <w:rPr>
                <w:rFonts w:hint="default" w:ascii="Times New Roman" w:hAnsi="Times New Roman" w:cs="Times New Roman"/>
                <w:color w:val="auto"/>
              </w:rPr>
              <w:t>因此注塑过程塑料粒不会发生热分解，但在加热熔融过程中，会有部分未聚合的游离单体挥发，其中P</w:t>
            </w:r>
            <w:r>
              <w:rPr>
                <w:rFonts w:hint="default" w:ascii="Times New Roman" w:hAnsi="Times New Roman" w:cs="Times New Roman"/>
                <w:color w:val="auto"/>
                <w:lang w:val="en-US" w:eastAsia="zh-CN"/>
              </w:rPr>
              <w:t>P</w:t>
            </w:r>
            <w:r>
              <w:rPr>
                <w:rFonts w:hint="default" w:ascii="Times New Roman" w:hAnsi="Times New Roman" w:cs="Times New Roman"/>
                <w:color w:val="auto"/>
              </w:rPr>
              <w:t>树脂游离单体为</w:t>
            </w:r>
            <w:r>
              <w:rPr>
                <w:rFonts w:hint="default" w:ascii="Times New Roman" w:hAnsi="Times New Roman" w:cs="Times New Roman"/>
                <w:color w:val="auto"/>
                <w:lang w:val="en-US" w:eastAsia="zh-CN"/>
              </w:rPr>
              <w:t>丙烯，</w:t>
            </w:r>
            <w:r>
              <w:rPr>
                <w:rFonts w:hint="default" w:ascii="Times New Roman" w:hAnsi="Times New Roman" w:cs="Times New Roman"/>
                <w:color w:val="auto"/>
              </w:rPr>
              <w:t>ABS树脂游离单体为苯乙烯、丙烯腈、1,3-丁二烯、甲苯、乙苯等</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PE树脂游离单体乙烯</w:t>
            </w:r>
            <w:r>
              <w:rPr>
                <w:rFonts w:hint="default" w:ascii="Times New Roman" w:hAnsi="Times New Roman" w:cs="Times New Roman"/>
                <w:color w:val="auto"/>
              </w:rPr>
              <w:t>。项目采购的塑料原料均为厂商质检合格的产品，因此塑料原料中残留的单体类物质很少，加热熔融过程的挥发量极少，基本可以忽略不计，项目只对其进行定性分析，加热熔融过程挥发的有机废气以非甲烷总烃为表征。参考</w:t>
            </w:r>
            <w:r>
              <w:rPr>
                <w:rFonts w:hint="default" w:ascii="Times New Roman" w:hAnsi="Times New Roman" w:cs="Times New Roman"/>
                <w:color w:val="auto"/>
                <w:sz w:val="24"/>
                <w:szCs w:val="24"/>
                <w:lang w:val="en-US" w:eastAsia="zh-CN"/>
              </w:rPr>
              <w:t>《广东省塑料制品与制造业、人造石制造业、电子元件制造业挥发性有机化合物排放系数使用指南》</w:t>
            </w:r>
            <w:r>
              <w:rPr>
                <w:rFonts w:hint="default" w:ascii="Times New Roman" w:hAnsi="Times New Roman" w:cs="Times New Roman"/>
                <w:color w:val="auto"/>
                <w:lang w:eastAsia="zh-CN"/>
              </w:rPr>
              <w:t>，排放系数为2.368kg/t塑胶原料用量</w:t>
            </w:r>
            <w:r>
              <w:rPr>
                <w:rFonts w:hint="default" w:ascii="Times New Roman" w:hAnsi="Times New Roman" w:cs="Times New Roman"/>
                <w:color w:val="auto"/>
              </w:rPr>
              <w:t>，项目塑料产品总重量为</w:t>
            </w:r>
            <w:r>
              <w:rPr>
                <w:rFonts w:hint="default" w:ascii="Times New Roman" w:hAnsi="Times New Roman" w:cs="Times New Roman"/>
                <w:color w:val="auto"/>
                <w:lang w:val="en-US" w:eastAsia="zh-CN"/>
              </w:rPr>
              <w:t>500</w:t>
            </w:r>
            <w:r>
              <w:rPr>
                <w:rFonts w:hint="default" w:ascii="Times New Roman" w:hAnsi="Times New Roman" w:cs="Times New Roman"/>
                <w:color w:val="auto"/>
              </w:rPr>
              <w:t>t/a，计算得出注塑过程非甲烷总烃产生量</w:t>
            </w:r>
            <w:r>
              <w:rPr>
                <w:rFonts w:hint="default" w:ascii="Times New Roman" w:hAnsi="Times New Roman" w:cs="Times New Roman"/>
                <w:color w:val="auto"/>
                <w:highlight w:val="none"/>
              </w:rPr>
              <w:t>为</w:t>
            </w:r>
            <w:r>
              <w:rPr>
                <w:rFonts w:hint="default" w:ascii="Times New Roman" w:hAnsi="Times New Roman" w:cs="Times New Roman"/>
                <w:color w:val="auto"/>
                <w:highlight w:val="none"/>
                <w:lang w:val="en-US" w:eastAsia="zh-CN"/>
              </w:rPr>
              <w:t>1.184</w:t>
            </w:r>
            <w:r>
              <w:rPr>
                <w:rFonts w:hint="default" w:ascii="Times New Roman" w:hAnsi="Times New Roman" w:cs="Times New Roman"/>
                <w:color w:val="auto"/>
                <w:highlight w:val="none"/>
              </w:rPr>
              <w:t>t/a</w:t>
            </w:r>
            <w:r>
              <w:rPr>
                <w:rFonts w:hint="default" w:ascii="Times New Roman" w:hAnsi="Times New Roman" w:cs="Times New Roman"/>
                <w:color w:val="auto"/>
                <w:highlight w:val="none"/>
                <w:lang w:eastAsia="zh-CN"/>
              </w:rPr>
              <w:t>。</w:t>
            </w:r>
          </w:p>
          <w:p w14:paraId="3CC442EC">
            <w:pPr>
              <w:numPr>
                <w:ilvl w:val="0"/>
                <w:numId w:val="0"/>
              </w:numPr>
              <w:wordWrap/>
              <w:adjustRightInd w:val="0"/>
              <w:snapToGrid w:val="0"/>
              <w:ind w:firstLine="482" w:firstLineChars="200"/>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②臭气</w:t>
            </w:r>
          </w:p>
          <w:p w14:paraId="1EA1B9EF">
            <w:pPr>
              <w:numPr>
                <w:ilvl w:val="0"/>
                <w:numId w:val="0"/>
              </w:numPr>
              <w:wordWrap/>
              <w:adjustRightInd w:val="0"/>
              <w:snapToGrid w:val="0"/>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rPr>
              <w:t>项目注塑过程中，除产生有机废气外会伴有明显的异味，项目以臭气浓度进行表征，影响的范围集中在污染源产生的位置至厂房边界，因臭气浓度较小，项目只对其进行定性分析，注塑工序产生的臭气随非甲烷总烃被收集处理后经排气筒排放，未被收集的臭气在保持车间通风的情况下无组织排放，不会对周边大气环境造成不利影响。</w:t>
            </w:r>
          </w:p>
          <w:p w14:paraId="2F68429A">
            <w:pPr>
              <w:numPr>
                <w:ilvl w:val="0"/>
                <w:numId w:val="3"/>
              </w:numPr>
              <w:wordWrap/>
              <w:adjustRightInd w:val="0"/>
              <w:snapToGrid w:val="0"/>
              <w:ind w:firstLine="482" w:firstLineChars="200"/>
              <w:rPr>
                <w:rFonts w:hint="default" w:ascii="Times New Roman" w:hAnsi="Times New Roman" w:cs="Times New Roman"/>
                <w:b/>
                <w:bCs/>
                <w:color w:val="auto"/>
                <w:szCs w:val="22"/>
                <w:lang w:val="en-US" w:eastAsia="zh-CN"/>
              </w:rPr>
            </w:pPr>
            <w:r>
              <w:rPr>
                <w:rFonts w:hint="default" w:ascii="Times New Roman" w:hAnsi="Times New Roman" w:cs="Times New Roman"/>
                <w:b/>
                <w:bCs/>
                <w:color w:val="auto"/>
                <w:szCs w:val="22"/>
                <w:lang w:val="en-US" w:eastAsia="zh-CN"/>
              </w:rPr>
              <w:t>破碎粉尘</w:t>
            </w:r>
          </w:p>
          <w:p w14:paraId="13FF8049">
            <w:pPr>
              <w:ind w:firstLine="480" w:firstLineChars="200"/>
              <w:rPr>
                <w:rFonts w:hint="default" w:ascii="Times New Roman" w:hAnsi="Times New Roman" w:cs="Times New Roman"/>
                <w:b/>
                <w:color w:val="auto"/>
                <w:kern w:val="21"/>
                <w:lang w:val="en-US" w:eastAsia="zh-CN"/>
              </w:rPr>
            </w:pPr>
            <w:r>
              <w:rPr>
                <w:rFonts w:hint="default" w:ascii="Times New Roman" w:hAnsi="Times New Roman" w:cs="Times New Roman"/>
                <w:color w:val="auto"/>
              </w:rPr>
              <w:t>项目注塑过程会产生废料，检验过程会产生不合格品，成品仅为塑料制品，不与其他零配件进行组装，使用碎料机进行破碎后可回用于生产，碎料过程会产生一定量的粉尘，项目以颗粒物进行表征。参考《排放源统计调查产排污核算方法和系数手册》42废弃资源综合利用行业系数手册中4220非金属废料和碎屑加工处理行业系数表，</w:t>
            </w:r>
            <w:r>
              <w:rPr>
                <w:rFonts w:hint="default" w:ascii="Times New Roman" w:hAnsi="Times New Roman" w:cs="Times New Roman"/>
                <w:color w:val="auto"/>
                <w:lang w:val="en-US" w:eastAsia="zh-CN"/>
              </w:rPr>
              <w:t>取</w:t>
            </w:r>
            <w:r>
              <w:rPr>
                <w:rFonts w:hint="default" w:ascii="Times New Roman" w:hAnsi="Times New Roman" w:cs="Times New Roman"/>
                <w:color w:val="auto"/>
              </w:rPr>
              <w:t>废</w:t>
            </w:r>
            <w:r>
              <w:rPr>
                <w:rFonts w:hint="default" w:ascii="Times New Roman" w:hAnsi="Times New Roman" w:cs="Times New Roman"/>
                <w:color w:val="auto"/>
                <w:lang w:val="en-US" w:eastAsia="zh-CN"/>
              </w:rPr>
              <w:t>ABS</w:t>
            </w:r>
            <w:r>
              <w:rPr>
                <w:rFonts w:hint="default" w:ascii="Times New Roman" w:hAnsi="Times New Roman" w:cs="Times New Roman"/>
                <w:color w:val="auto"/>
              </w:rPr>
              <w:t>干法破碎工序颗粒物产污系数为</w:t>
            </w:r>
            <w:r>
              <w:rPr>
                <w:rFonts w:hint="default" w:ascii="Times New Roman" w:hAnsi="Times New Roman" w:cs="Times New Roman"/>
                <w:color w:val="auto"/>
                <w:lang w:val="en-US" w:eastAsia="zh-CN"/>
              </w:rPr>
              <w:t>425</w:t>
            </w:r>
            <w:r>
              <w:rPr>
                <w:rFonts w:hint="default" w:ascii="Times New Roman" w:hAnsi="Times New Roman" w:cs="Times New Roman"/>
                <w:color w:val="auto"/>
              </w:rPr>
              <w:t>g/t原料。项目塑料粒使用量为</w:t>
            </w:r>
            <w:r>
              <w:rPr>
                <w:rFonts w:hint="default" w:ascii="Times New Roman" w:hAnsi="Times New Roman" w:cs="Times New Roman"/>
                <w:color w:val="auto"/>
                <w:lang w:val="en-US" w:eastAsia="zh-CN"/>
              </w:rPr>
              <w:t>500</w:t>
            </w:r>
            <w:r>
              <w:rPr>
                <w:rFonts w:hint="default" w:ascii="Times New Roman" w:hAnsi="Times New Roman" w:cs="Times New Roman"/>
                <w:color w:val="auto"/>
              </w:rPr>
              <w:t>t/a，根据企业提供资料，废料及不合格品约占原料量的1%，则废料及不合格品产生量为</w:t>
            </w:r>
            <w:r>
              <w:rPr>
                <w:rFonts w:hint="default" w:ascii="Times New Roman" w:hAnsi="Times New Roman" w:cs="Times New Roman"/>
                <w:color w:val="auto"/>
                <w:lang w:val="en-US" w:eastAsia="zh-CN"/>
              </w:rPr>
              <w:t>5</w:t>
            </w:r>
            <w:r>
              <w:rPr>
                <w:rFonts w:hint="default" w:ascii="Times New Roman" w:hAnsi="Times New Roman" w:cs="Times New Roman"/>
                <w:color w:val="auto"/>
              </w:rPr>
              <w:t>t/a，计算得出废料及不合格品碎料过程颗粒物产生量为</w:t>
            </w:r>
            <w:r>
              <w:rPr>
                <w:rFonts w:hint="default" w:ascii="Times New Roman" w:hAnsi="Times New Roman" w:cs="Times New Roman"/>
                <w:color w:val="auto"/>
                <w:lang w:val="en-US" w:eastAsia="zh-CN"/>
              </w:rPr>
              <w:t>0.002</w:t>
            </w:r>
            <w:r>
              <w:rPr>
                <w:rFonts w:hint="default" w:ascii="Times New Roman" w:hAnsi="Times New Roman" w:cs="Times New Roman"/>
                <w:color w:val="auto"/>
              </w:rPr>
              <w:t>t/a，产生速率为</w:t>
            </w:r>
            <w:r>
              <w:rPr>
                <w:rFonts w:hint="default" w:ascii="Times New Roman" w:hAnsi="Times New Roman" w:cs="Times New Roman"/>
                <w:color w:val="auto"/>
                <w:lang w:val="en-US" w:eastAsia="zh-CN"/>
              </w:rPr>
              <w:t>0.0033</w:t>
            </w:r>
            <w:r>
              <w:rPr>
                <w:rFonts w:hint="default" w:ascii="Times New Roman" w:hAnsi="Times New Roman" w:cs="Times New Roman"/>
                <w:color w:val="auto"/>
              </w:rPr>
              <w:t>kg/h（按年300天，每天2小时计算）。</w:t>
            </w:r>
            <w:r>
              <w:rPr>
                <w:rFonts w:hint="default" w:ascii="Times New Roman" w:hAnsi="Times New Roman" w:cs="Times New Roman"/>
                <w:color w:val="auto"/>
                <w:szCs w:val="22"/>
              </w:rPr>
              <w:t>因产生量极小，在加强通风的条件下在车间无组织排放，对周边大气环境影响较小。</w:t>
            </w:r>
          </w:p>
          <w:p w14:paraId="539D225B">
            <w:pPr>
              <w:wordWrap/>
              <w:adjustRightInd w:val="0"/>
              <w:snapToGrid w:val="0"/>
              <w:ind w:firstLine="482" w:firstLineChars="200"/>
              <w:rPr>
                <w:rFonts w:hint="default" w:ascii="Times New Roman" w:hAnsi="Times New Roman" w:cs="Times New Roman"/>
                <w:b/>
                <w:color w:val="auto"/>
                <w:kern w:val="21"/>
                <w:lang w:val="en-US" w:eastAsia="zh-CN"/>
              </w:rPr>
            </w:pPr>
            <w:r>
              <w:rPr>
                <w:rFonts w:hint="eastAsia" w:cs="Times New Roman"/>
                <w:b/>
                <w:color w:val="auto"/>
                <w:kern w:val="21"/>
                <w:lang w:val="en-US" w:eastAsia="zh-CN"/>
              </w:rPr>
              <w:t>5</w:t>
            </w:r>
            <w:r>
              <w:rPr>
                <w:rFonts w:hint="default" w:ascii="Times New Roman" w:hAnsi="Times New Roman" w:cs="Times New Roman"/>
                <w:b/>
                <w:color w:val="auto"/>
                <w:kern w:val="21"/>
                <w:lang w:val="en-US" w:eastAsia="zh-CN"/>
              </w:rPr>
              <w:t>）移印废气</w:t>
            </w:r>
          </w:p>
          <w:p w14:paraId="384D5781">
            <w:pPr>
              <w:wordWrap/>
              <w:adjustRightInd w:val="0"/>
              <w:snapToGrid w:val="0"/>
              <w:ind w:firstLine="480" w:firstLineChars="200"/>
              <w:rPr>
                <w:rFonts w:hint="default" w:ascii="Times New Roman" w:hAnsi="Times New Roman" w:cs="Times New Roman"/>
                <w:b w:val="0"/>
                <w:bCs/>
                <w:color w:val="auto"/>
                <w:kern w:val="21"/>
                <w:lang w:val="en-US" w:eastAsia="zh-CN"/>
              </w:rPr>
            </w:pPr>
            <w:r>
              <w:rPr>
                <w:rFonts w:hint="default" w:ascii="Times New Roman" w:hAnsi="Times New Roman" w:cs="Times New Roman"/>
                <w:b w:val="0"/>
                <w:bCs/>
                <w:color w:val="auto"/>
                <w:kern w:val="21"/>
                <w:lang w:val="en-US" w:eastAsia="zh-CN"/>
              </w:rPr>
              <w:t>项目使用移印机在工件表面印刷logo等标志，移印使用水性油墨，移印过程会挥发一定量的有机废气，以非甲烷总烃表征。根据水性油墨的VOC检测报告可知，水性油墨的挥发性有机化合物含量为4.5%，水性油墨使用量为0.5t/a，计算得出移印过程非甲烷总烃产生量为0.023t/a。</w:t>
            </w:r>
          </w:p>
          <w:p w14:paraId="1B64F93A">
            <w:pPr>
              <w:wordWrap/>
              <w:adjustRightInd w:val="0"/>
              <w:snapToGrid w:val="0"/>
              <w:ind w:firstLine="482" w:firstLineChars="200"/>
              <w:rPr>
                <w:rFonts w:hint="default" w:ascii="Times New Roman" w:hAnsi="Times New Roman" w:eastAsia="宋体" w:cs="Times New Roman"/>
                <w:b/>
                <w:color w:val="auto"/>
                <w:kern w:val="21"/>
                <w:lang w:eastAsia="zh-CN"/>
              </w:rPr>
            </w:pPr>
            <w:r>
              <w:rPr>
                <w:rFonts w:hint="eastAsia" w:cs="Times New Roman"/>
                <w:b/>
                <w:color w:val="auto"/>
                <w:kern w:val="21"/>
                <w:lang w:val="en-US" w:eastAsia="zh-CN"/>
              </w:rPr>
              <w:t>6</w:t>
            </w:r>
            <w:r>
              <w:rPr>
                <w:rFonts w:hint="default" w:ascii="Times New Roman" w:hAnsi="Times New Roman" w:cs="Times New Roman"/>
                <w:b/>
                <w:color w:val="auto"/>
                <w:kern w:val="21"/>
              </w:rPr>
              <w:t>）机加工</w:t>
            </w:r>
            <w:r>
              <w:rPr>
                <w:rFonts w:hint="default" w:ascii="Times New Roman" w:hAnsi="Times New Roman" w:cs="Times New Roman"/>
                <w:b/>
                <w:color w:val="auto"/>
                <w:kern w:val="21"/>
                <w:lang w:val="en-US" w:eastAsia="zh-CN"/>
              </w:rPr>
              <w:t>油雾</w:t>
            </w:r>
          </w:p>
          <w:p w14:paraId="7052BA08">
            <w:pPr>
              <w:wordWrap/>
              <w:adjustRightInd w:val="0"/>
              <w:snapToGrid w:val="0"/>
              <w:spacing w:line="360" w:lineRule="auto"/>
              <w:ind w:firstLine="480" w:firstLineChars="200"/>
              <w:rPr>
                <w:rFonts w:hint="default" w:ascii="Times New Roman" w:hAnsi="Times New Roman" w:cs="Times New Roman"/>
                <w:color w:val="auto"/>
                <w:szCs w:val="22"/>
                <w:highlight w:val="none"/>
              </w:rPr>
            </w:pPr>
            <w:r>
              <w:rPr>
                <w:rFonts w:hint="default" w:ascii="Times New Roman" w:hAnsi="Times New Roman" w:cs="Times New Roman"/>
                <w:color w:val="auto"/>
                <w:szCs w:val="22"/>
                <w:highlight w:val="none"/>
              </w:rPr>
              <w:t>项目</w:t>
            </w:r>
            <w:r>
              <w:rPr>
                <w:rFonts w:hint="default" w:ascii="Times New Roman" w:hAnsi="Times New Roman" w:cs="Times New Roman"/>
                <w:color w:val="auto"/>
                <w:szCs w:val="22"/>
                <w:highlight w:val="none"/>
                <w:lang w:val="en-US" w:eastAsia="zh-CN"/>
              </w:rPr>
              <w:t>对工件进行机加工的过程中</w:t>
            </w:r>
            <w:r>
              <w:rPr>
                <w:rFonts w:hint="default" w:ascii="Times New Roman" w:hAnsi="Times New Roman" w:cs="Times New Roman"/>
                <w:color w:val="auto"/>
                <w:szCs w:val="22"/>
                <w:highlight w:val="none"/>
              </w:rPr>
              <w:t>，</w:t>
            </w:r>
            <w:r>
              <w:rPr>
                <w:rFonts w:hint="default" w:ascii="Times New Roman" w:hAnsi="Times New Roman" w:cs="Times New Roman"/>
                <w:color w:val="auto"/>
                <w:szCs w:val="22"/>
                <w:highlight w:val="none"/>
                <w:lang w:val="en-US" w:eastAsia="zh-CN"/>
              </w:rPr>
              <w:t>需使用切削液对切削面进行润滑和冷却，</w:t>
            </w:r>
            <w:r>
              <w:rPr>
                <w:rFonts w:hint="default" w:ascii="Times New Roman" w:hAnsi="Times New Roman" w:cs="Times New Roman"/>
                <w:color w:val="auto"/>
                <w:szCs w:val="22"/>
                <w:highlight w:val="none"/>
              </w:rPr>
              <w:t>附着在工件表面的</w:t>
            </w:r>
            <w:r>
              <w:rPr>
                <w:rFonts w:hint="default" w:ascii="Times New Roman" w:hAnsi="Times New Roman" w:cs="Times New Roman"/>
                <w:color w:val="auto"/>
                <w:szCs w:val="22"/>
                <w:highlight w:val="none"/>
                <w:lang w:val="en-US" w:eastAsia="zh-CN"/>
              </w:rPr>
              <w:t>切削液</w:t>
            </w:r>
            <w:r>
              <w:rPr>
                <w:rFonts w:hint="default" w:ascii="Times New Roman" w:hAnsi="Times New Roman" w:cs="Times New Roman"/>
                <w:color w:val="auto"/>
                <w:szCs w:val="22"/>
                <w:highlight w:val="none"/>
              </w:rPr>
              <w:t>在高温下气化，会分解出</w:t>
            </w:r>
            <w:r>
              <w:rPr>
                <w:rFonts w:hint="default" w:ascii="Times New Roman" w:hAnsi="Times New Roman" w:cs="Times New Roman"/>
                <w:color w:val="auto"/>
                <w:szCs w:val="22"/>
                <w:highlight w:val="none"/>
                <w:lang w:val="en-US" w:eastAsia="zh-CN"/>
              </w:rPr>
              <w:t>少量</w:t>
            </w:r>
            <w:r>
              <w:rPr>
                <w:rFonts w:hint="default" w:ascii="Times New Roman" w:hAnsi="Times New Roman" w:cs="Times New Roman"/>
                <w:color w:val="auto"/>
                <w:szCs w:val="22"/>
                <w:highlight w:val="none"/>
              </w:rPr>
              <w:t>烃类物质，主要污染物为非甲烷总烃。根据生态环境保护部《排放源统计调查产排污核算方法和系数手册》中“33-37，431-434机械行业系数手册”-“湿式机加工件”-“车床加工、铣床加工、刨床加工、磨床加工、镗床加工、钳床加工、钻床加工、加工中心加工、数控中心加工”挥发性有机物产污系数为5.64kg/t原料，项目</w:t>
            </w:r>
            <w:r>
              <w:rPr>
                <w:rFonts w:hint="default" w:ascii="Times New Roman" w:hAnsi="Times New Roman" w:cs="Times New Roman"/>
                <w:color w:val="auto"/>
                <w:szCs w:val="22"/>
                <w:highlight w:val="none"/>
                <w:lang w:val="en-US" w:eastAsia="zh-CN"/>
              </w:rPr>
              <w:t>切削液</w:t>
            </w:r>
            <w:r>
              <w:rPr>
                <w:rFonts w:hint="default" w:ascii="Times New Roman" w:hAnsi="Times New Roman" w:cs="Times New Roman"/>
                <w:color w:val="auto"/>
                <w:szCs w:val="22"/>
                <w:highlight w:val="none"/>
              </w:rPr>
              <w:t>使用量为</w:t>
            </w:r>
            <w:r>
              <w:rPr>
                <w:rFonts w:hint="default" w:ascii="Times New Roman" w:hAnsi="Times New Roman" w:cs="Times New Roman"/>
                <w:color w:val="auto"/>
                <w:szCs w:val="22"/>
                <w:highlight w:val="none"/>
                <w:lang w:val="en-US" w:eastAsia="zh-CN"/>
              </w:rPr>
              <w:t>0.5</w:t>
            </w:r>
            <w:r>
              <w:rPr>
                <w:rFonts w:hint="default" w:ascii="Times New Roman" w:hAnsi="Times New Roman" w:cs="Times New Roman"/>
                <w:color w:val="auto"/>
                <w:szCs w:val="22"/>
                <w:highlight w:val="none"/>
              </w:rPr>
              <w:t>t/a，计算得出非甲烷总烃产生量为</w:t>
            </w:r>
            <w:r>
              <w:rPr>
                <w:rFonts w:hint="default" w:ascii="Times New Roman" w:hAnsi="Times New Roman" w:cs="Times New Roman"/>
                <w:color w:val="auto"/>
                <w:szCs w:val="22"/>
                <w:highlight w:val="none"/>
                <w:lang w:val="en-US" w:eastAsia="zh-CN"/>
              </w:rPr>
              <w:t>0.00282</w:t>
            </w:r>
            <w:r>
              <w:rPr>
                <w:rFonts w:hint="default" w:ascii="Times New Roman" w:hAnsi="Times New Roman" w:cs="Times New Roman"/>
                <w:color w:val="auto"/>
                <w:szCs w:val="22"/>
                <w:highlight w:val="none"/>
              </w:rPr>
              <w:t>t/a。</w:t>
            </w:r>
          </w:p>
          <w:p w14:paraId="720CA7C1">
            <w:pPr>
              <w:wordWrap/>
              <w:ind w:firstLine="482" w:firstLineChars="200"/>
              <w:rPr>
                <w:rFonts w:hint="default" w:ascii="Times New Roman" w:hAnsi="Times New Roman" w:eastAsia="宋体" w:cs="Times New Roman"/>
                <w:b/>
                <w:bCs/>
                <w:color w:val="auto"/>
                <w:szCs w:val="22"/>
                <w:lang w:val="en-US" w:eastAsia="zh-CN"/>
              </w:rPr>
            </w:pPr>
            <w:r>
              <w:rPr>
                <w:rFonts w:hint="eastAsia" w:cs="Times New Roman"/>
                <w:b/>
                <w:bCs/>
                <w:color w:val="auto"/>
                <w:szCs w:val="22"/>
                <w:lang w:val="en-US" w:eastAsia="zh-CN"/>
              </w:rPr>
              <w:t>7</w:t>
            </w:r>
            <w:r>
              <w:rPr>
                <w:rFonts w:hint="default" w:ascii="Times New Roman" w:hAnsi="Times New Roman" w:cs="Times New Roman"/>
                <w:b/>
                <w:bCs/>
                <w:color w:val="auto"/>
                <w:szCs w:val="22"/>
                <w:lang w:val="en-US" w:eastAsia="zh-CN"/>
              </w:rPr>
              <w:t>）</w:t>
            </w:r>
            <w:bookmarkStart w:id="18" w:name="电火花加工"/>
            <w:r>
              <w:rPr>
                <w:rFonts w:hint="default" w:ascii="Times New Roman" w:hAnsi="Times New Roman" w:cs="Times New Roman"/>
                <w:b/>
                <w:bCs/>
                <w:color w:val="auto"/>
                <w:szCs w:val="22"/>
                <w:lang w:val="en-US" w:eastAsia="zh-CN"/>
              </w:rPr>
              <w:t>电火花加工</w:t>
            </w:r>
            <w:bookmarkEnd w:id="18"/>
          </w:p>
          <w:p w14:paraId="035E8125">
            <w:pPr>
              <w:wordWrap/>
              <w:adjustRightInd w:val="0"/>
              <w:snapToGrid w:val="0"/>
              <w:ind w:firstLine="480" w:firstLineChars="200"/>
              <w:jc w:val="both"/>
              <w:rPr>
                <w:rFonts w:hint="default" w:ascii="Times New Roman" w:hAnsi="Times New Roman" w:cs="Times New Roman"/>
                <w:color w:val="auto"/>
                <w:sz w:val="24"/>
                <w:szCs w:val="22"/>
                <w:highlight w:val="none"/>
                <w:lang w:val="en-US" w:eastAsia="zh-CN"/>
              </w:rPr>
            </w:pPr>
            <w:r>
              <w:rPr>
                <w:rFonts w:hint="default" w:ascii="Times New Roman" w:hAnsi="Times New Roman" w:cs="Times New Roman"/>
                <w:color w:val="auto"/>
                <w:sz w:val="24"/>
                <w:szCs w:val="22"/>
                <w:highlight w:val="none"/>
                <w:lang w:val="en-US" w:eastAsia="zh-CN"/>
              </w:rPr>
              <w:t>项目使用火花机对工件进行加工过程，附着在工件表面的火花油在高温下气化，少量火花油会分解出烃类物质，主要污染物为颗粒物和非甲烷总烃。</w:t>
            </w:r>
          </w:p>
          <w:p w14:paraId="2D49E9F6">
            <w:pPr>
              <w:wordWrap/>
              <w:adjustRightInd w:val="0"/>
              <w:snapToGrid w:val="0"/>
              <w:ind w:firstLine="480" w:firstLineChars="200"/>
              <w:jc w:val="both"/>
              <w:rPr>
                <w:rFonts w:hint="default" w:ascii="Times New Roman" w:hAnsi="Times New Roman" w:cs="Times New Roman"/>
                <w:color w:val="auto"/>
                <w:sz w:val="24"/>
                <w:szCs w:val="22"/>
                <w:highlight w:val="none"/>
                <w:lang w:val="en-US" w:eastAsia="zh-CN"/>
              </w:rPr>
            </w:pPr>
            <w:r>
              <w:rPr>
                <w:rFonts w:hint="default" w:ascii="Times New Roman" w:hAnsi="Times New Roman" w:cs="Times New Roman"/>
                <w:color w:val="auto"/>
                <w:sz w:val="24"/>
                <w:szCs w:val="22"/>
                <w:highlight w:val="none"/>
                <w:lang w:val="en-US" w:eastAsia="zh-CN"/>
              </w:rPr>
              <w:t>根据生态环境保护部《排放源统计调查产排污核算方法和系数手册》中“33-37，431-434机械行业系数手册”-“热处理”-“热处理件”-“淬火油”-“整体热处理（淬火/回火）”中挥发性有机物产生系数为0.01kg/t原料，颗粒物产生系数为200kg/t原料，项目火花油使用量为0.5t/a，计算得出颗粒物产生量为0.1t/a，非甲烷总烃产生量为0.000005t/a。</w:t>
            </w:r>
          </w:p>
          <w:p w14:paraId="59447A3C">
            <w:pPr>
              <w:widowControl w:val="0"/>
              <w:spacing w:before="15" w:beforeAutospacing="0" w:after="0" w:afterAutospacing="0" w:line="360" w:lineRule="auto"/>
              <w:ind w:firstLine="482" w:firstLineChars="200"/>
              <w:jc w:val="both"/>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b/>
                <w:bCs/>
                <w:color w:val="auto"/>
                <w:spacing w:val="0"/>
                <w:kern w:val="0"/>
                <w:sz w:val="24"/>
                <w:szCs w:val="24"/>
                <w:highlight w:val="none"/>
                <w:lang w:val="en-US" w:eastAsia="zh-CN" w:bidi="ar-SA"/>
              </w:rPr>
              <w:t>废气收集排放说明</w:t>
            </w:r>
            <w:r>
              <w:rPr>
                <w:rFonts w:hint="default" w:ascii="Times New Roman" w:hAnsi="Times New Roman" w:eastAsia="宋体" w:cs="Times New Roman"/>
                <w:b/>
                <w:bCs/>
                <w:color w:val="auto"/>
                <w:kern w:val="0"/>
                <w:sz w:val="24"/>
                <w:szCs w:val="24"/>
                <w:lang w:val="en-US" w:eastAsia="zh-CN" w:bidi="ar-SA"/>
              </w:rPr>
              <w:t>：</w:t>
            </w:r>
          </w:p>
          <w:p w14:paraId="5A6E6832">
            <w:pPr>
              <w:widowControl w:val="0"/>
              <w:spacing w:before="15" w:beforeAutospacing="0" w:after="0" w:afterAutospacing="0" w:line="360" w:lineRule="auto"/>
              <w:ind w:firstLine="482" w:firstLineChars="200"/>
              <w:jc w:val="both"/>
              <w:rPr>
                <w:rFonts w:hint="default" w:ascii="Times New Roman" w:hAnsi="Times New Roman" w:eastAsia="宋体" w:cs="Times New Roman"/>
                <w:b/>
                <w:bCs/>
                <w:color w:val="auto"/>
                <w:kern w:val="0"/>
                <w:sz w:val="24"/>
                <w:szCs w:val="24"/>
                <w:lang w:val="en-US" w:eastAsia="zh-CN" w:bidi="ar-SA"/>
              </w:rPr>
            </w:pPr>
            <w:r>
              <w:rPr>
                <w:rFonts w:hint="default" w:ascii="Times New Roman" w:hAnsi="Times New Roman" w:eastAsia="宋体" w:cs="Times New Roman"/>
                <w:b/>
                <w:bCs w:val="0"/>
                <w:color w:val="auto"/>
                <w:spacing w:val="0"/>
                <w:kern w:val="21"/>
                <w:sz w:val="24"/>
                <w:szCs w:val="24"/>
                <w:lang w:val="en-US" w:eastAsia="zh-CN"/>
              </w:rPr>
              <w:t>1）</w:t>
            </w:r>
            <w:r>
              <w:rPr>
                <w:rFonts w:hint="default" w:ascii="Times New Roman" w:hAnsi="Times New Roman" w:eastAsia="宋体" w:cs="Times New Roman"/>
                <w:b/>
                <w:bCs/>
                <w:color w:val="auto"/>
                <w:kern w:val="0"/>
                <w:sz w:val="24"/>
                <w:szCs w:val="24"/>
                <w:lang w:val="en-US" w:eastAsia="zh-CN" w:bidi="ar-SA"/>
              </w:rPr>
              <w:t>排气筒DA001（</w:t>
            </w:r>
            <w:r>
              <w:rPr>
                <w:rFonts w:hint="default" w:ascii="Times New Roman" w:hAnsi="Times New Roman" w:cs="Times New Roman"/>
                <w:b/>
                <w:bCs/>
                <w:color w:val="auto"/>
                <w:kern w:val="0"/>
                <w:sz w:val="24"/>
                <w:szCs w:val="24"/>
                <w:lang w:val="en-US" w:eastAsia="zh-CN" w:bidi="ar-SA"/>
              </w:rPr>
              <w:t>6F废气收集：调漆、</w:t>
            </w:r>
            <w:r>
              <w:rPr>
                <w:rFonts w:hint="default" w:ascii="Times New Roman" w:hAnsi="Times New Roman" w:eastAsia="宋体" w:cs="Times New Roman"/>
                <w:b/>
                <w:bCs/>
                <w:color w:val="auto"/>
                <w:kern w:val="0"/>
                <w:sz w:val="24"/>
                <w:szCs w:val="24"/>
                <w:lang w:val="en-US" w:eastAsia="zh-CN" w:bidi="ar-SA"/>
              </w:rPr>
              <w:t>喷漆废气、烘烤废气、</w:t>
            </w:r>
            <w:r>
              <w:rPr>
                <w:rFonts w:hint="default" w:ascii="Times New Roman" w:hAnsi="Times New Roman" w:cs="Times New Roman"/>
                <w:b/>
                <w:bCs/>
                <w:color w:val="auto"/>
                <w:kern w:val="0"/>
                <w:sz w:val="24"/>
                <w:szCs w:val="24"/>
                <w:lang w:val="en-US" w:eastAsia="zh-CN" w:bidi="ar-SA"/>
              </w:rPr>
              <w:t>密炼、硫化、</w:t>
            </w:r>
            <w:r>
              <w:rPr>
                <w:rFonts w:hint="default" w:ascii="Times New Roman" w:hAnsi="Times New Roman" w:eastAsia="宋体" w:cs="Times New Roman"/>
                <w:b/>
                <w:bCs/>
                <w:color w:val="auto"/>
                <w:kern w:val="0"/>
                <w:sz w:val="24"/>
                <w:szCs w:val="24"/>
                <w:lang w:val="en-US" w:eastAsia="zh-CN" w:bidi="ar-SA"/>
              </w:rPr>
              <w:t>移印废气）</w:t>
            </w:r>
          </w:p>
          <w:p w14:paraId="16CBE2B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项目喷漆设备、烘烤设备均一同在一个独立的喷漆车间内，利用彩钢板进行区域间隔。喷漆车间日常为密闭状态，工作时关闭房门，限制人员物料随意进出，车间设有换风系统，车间废气由离心抽风机收集，控制进风风量略小于排风风量，使车间形成微负压状态。喷漆工位与水帘柜相连，预处理喷漆过程产生的漆雾，每个水帘柜连接一条集气管道，然后汇合到总管收集喷漆废气。每个烘烤设备、移印设备设置一个集气罩收集废气，然后汇合到总管收集烘烤废气和移印废气。</w:t>
            </w:r>
          </w:p>
          <w:p w14:paraId="5522445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spacing w:val="0"/>
                <w:sz w:val="24"/>
                <w:szCs w:val="24"/>
                <w:lang w:val="en-US" w:eastAsia="zh-CN"/>
              </w:rPr>
            </w:pPr>
            <w:r>
              <w:rPr>
                <w:rFonts w:hint="default" w:ascii="Times New Roman" w:hAnsi="Times New Roman" w:eastAsia="宋体" w:cs="Times New Roman"/>
                <w:b/>
                <w:bCs/>
                <w:color w:val="auto"/>
                <w:spacing w:val="0"/>
                <w:sz w:val="24"/>
                <w:szCs w:val="24"/>
                <w:lang w:val="en-US" w:eastAsia="zh-CN"/>
              </w:rPr>
              <w:t>收集风量核算：</w:t>
            </w:r>
          </w:p>
          <w:p w14:paraId="125A620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bCs/>
                <w:color w:val="auto"/>
                <w:spacing w:val="0"/>
                <w:sz w:val="24"/>
                <w:szCs w:val="24"/>
                <w:lang w:val="en-US" w:eastAsia="zh-CN"/>
              </w:rPr>
              <w:t>①</w:t>
            </w:r>
            <w:r>
              <w:rPr>
                <w:rFonts w:hint="default" w:ascii="Times New Roman" w:hAnsi="Times New Roman" w:cs="Times New Roman"/>
                <w:b/>
                <w:bCs/>
                <w:color w:val="auto"/>
                <w:spacing w:val="0"/>
                <w:sz w:val="24"/>
                <w:szCs w:val="24"/>
                <w:lang w:val="en-US" w:eastAsia="zh-CN"/>
              </w:rPr>
              <w:t>调漆、</w:t>
            </w:r>
            <w:r>
              <w:rPr>
                <w:rFonts w:hint="default" w:ascii="Times New Roman" w:hAnsi="Times New Roman" w:eastAsia="宋体" w:cs="Times New Roman"/>
                <w:b/>
                <w:bCs/>
                <w:color w:val="auto"/>
                <w:spacing w:val="0"/>
                <w:sz w:val="24"/>
                <w:szCs w:val="24"/>
                <w:lang w:val="en-US" w:eastAsia="zh-CN"/>
              </w:rPr>
              <w:t>喷漆废气：</w:t>
            </w:r>
            <w:r>
              <w:rPr>
                <w:rFonts w:hint="default" w:ascii="Times New Roman" w:hAnsi="Times New Roman" w:eastAsia="宋体" w:cs="Times New Roman"/>
                <w:b w:val="0"/>
                <w:bCs w:val="0"/>
                <w:color w:val="auto"/>
                <w:spacing w:val="0"/>
                <w:sz w:val="24"/>
                <w:szCs w:val="24"/>
                <w:lang w:val="en-US" w:eastAsia="zh-CN"/>
              </w:rPr>
              <w:t>喷漆工位配套水帘柜，共设</w:t>
            </w:r>
            <w:r>
              <w:rPr>
                <w:rFonts w:hint="default" w:ascii="Times New Roman" w:hAnsi="Times New Roman" w:cs="Times New Roman"/>
                <w:b w:val="0"/>
                <w:bCs w:val="0"/>
                <w:color w:val="auto"/>
                <w:spacing w:val="0"/>
                <w:sz w:val="24"/>
                <w:szCs w:val="24"/>
                <w:lang w:val="en-US" w:eastAsia="zh-CN"/>
              </w:rPr>
              <w:t>2</w:t>
            </w:r>
            <w:r>
              <w:rPr>
                <w:rFonts w:hint="default" w:ascii="Times New Roman" w:hAnsi="Times New Roman" w:eastAsia="宋体" w:cs="Times New Roman"/>
                <w:b w:val="0"/>
                <w:bCs w:val="0"/>
                <w:color w:val="auto"/>
                <w:spacing w:val="0"/>
                <w:sz w:val="24"/>
                <w:szCs w:val="24"/>
                <w:lang w:val="en-US" w:eastAsia="zh-CN"/>
              </w:rPr>
              <w:t>个喷漆工位，配套2个水帘柜，喷漆工位仅留一个操作面敞开，其余三面均被围挡，因此喷漆废气集气罩按半密闭性集气设备计算集气风量，</w:t>
            </w:r>
            <w:r>
              <w:rPr>
                <w:rFonts w:hint="default" w:ascii="Times New Roman" w:hAnsi="Times New Roman" w:eastAsia="宋体" w:cs="Times New Roman"/>
                <w:color w:val="auto"/>
                <w:sz w:val="24"/>
                <w:szCs w:val="24"/>
              </w:rPr>
              <w:t>根据《环境工程技术手册：废气处理工程技术手册》（王纯、张殿印主编，化学工业出版社，2013年</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月第</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版），</w:t>
            </w:r>
            <w:r>
              <w:rPr>
                <w:rFonts w:hint="default" w:ascii="Times New Roman" w:hAnsi="Times New Roman" w:eastAsia="宋体" w:cs="Times New Roman"/>
                <w:b w:val="0"/>
                <w:bCs w:val="0"/>
                <w:color w:val="auto"/>
                <w:spacing w:val="0"/>
                <w:sz w:val="24"/>
                <w:szCs w:val="24"/>
                <w:lang w:val="en-US" w:eastAsia="zh-CN"/>
              </w:rPr>
              <w:t>计算公式为：Q=3600Fvβ</w:t>
            </w:r>
          </w:p>
          <w:p w14:paraId="3F70E11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其中：Q—集气风量，m</w:t>
            </w:r>
            <w:r>
              <w:rPr>
                <w:rFonts w:hint="default" w:ascii="Times New Roman" w:hAnsi="Times New Roman" w:eastAsia="宋体" w:cs="Times New Roman"/>
                <w:b w:val="0"/>
                <w:bCs w:val="0"/>
                <w:color w:val="auto"/>
                <w:spacing w:val="0"/>
                <w:sz w:val="24"/>
                <w:szCs w:val="24"/>
                <w:vertAlign w:val="superscript"/>
                <w:lang w:val="en-US" w:eastAsia="zh-CN"/>
              </w:rPr>
              <w:t>3</w:t>
            </w:r>
            <w:r>
              <w:rPr>
                <w:rFonts w:hint="default" w:ascii="Times New Roman" w:hAnsi="Times New Roman" w:eastAsia="宋体" w:cs="Times New Roman"/>
                <w:b w:val="0"/>
                <w:bCs w:val="0"/>
                <w:color w:val="auto"/>
                <w:spacing w:val="0"/>
                <w:sz w:val="24"/>
                <w:szCs w:val="24"/>
                <w:lang w:val="en-US" w:eastAsia="zh-CN"/>
              </w:rPr>
              <w:t>/h；</w:t>
            </w:r>
          </w:p>
          <w:p w14:paraId="2FFFC2F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1200" w:firstLineChars="500"/>
              <w:jc w:val="both"/>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F—操作口开启面积，m</w:t>
            </w:r>
            <w:r>
              <w:rPr>
                <w:rFonts w:hint="default" w:ascii="Times New Roman" w:hAnsi="Times New Roman" w:eastAsia="宋体" w:cs="Times New Roman"/>
                <w:b w:val="0"/>
                <w:bCs w:val="0"/>
                <w:color w:val="auto"/>
                <w:spacing w:val="0"/>
                <w:sz w:val="24"/>
                <w:szCs w:val="24"/>
                <w:vertAlign w:val="superscript"/>
                <w:lang w:val="en-US" w:eastAsia="zh-CN"/>
              </w:rPr>
              <w:t>2</w:t>
            </w:r>
            <w:r>
              <w:rPr>
                <w:rFonts w:hint="default" w:ascii="Times New Roman" w:hAnsi="Times New Roman" w:eastAsia="宋体" w:cs="Times New Roman"/>
                <w:b w:val="0"/>
                <w:bCs w:val="0"/>
                <w:color w:val="auto"/>
                <w:spacing w:val="0"/>
                <w:sz w:val="24"/>
                <w:szCs w:val="24"/>
                <w:lang w:val="en-US" w:eastAsia="zh-CN"/>
              </w:rPr>
              <w:t>，项目水帘柜开启面面积为0.49m</w:t>
            </w:r>
            <w:r>
              <w:rPr>
                <w:rFonts w:hint="default" w:ascii="Times New Roman" w:hAnsi="Times New Roman" w:eastAsia="宋体" w:cs="Times New Roman"/>
                <w:b w:val="0"/>
                <w:bCs w:val="0"/>
                <w:color w:val="auto"/>
                <w:spacing w:val="0"/>
                <w:sz w:val="24"/>
                <w:szCs w:val="24"/>
                <w:vertAlign w:val="superscript"/>
                <w:lang w:val="en-US" w:eastAsia="zh-CN"/>
              </w:rPr>
              <w:t>2</w:t>
            </w:r>
            <w:r>
              <w:rPr>
                <w:rFonts w:hint="default" w:ascii="Times New Roman" w:hAnsi="Times New Roman" w:eastAsia="宋体" w:cs="Times New Roman"/>
                <w:b w:val="0"/>
                <w:bCs w:val="0"/>
                <w:color w:val="auto"/>
                <w:spacing w:val="0"/>
                <w:sz w:val="24"/>
                <w:szCs w:val="24"/>
                <w:lang w:val="en-US" w:eastAsia="zh-CN"/>
              </w:rPr>
              <w:t>；</w:t>
            </w:r>
          </w:p>
          <w:p w14:paraId="770ED4C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1200" w:firstLineChars="500"/>
              <w:jc w:val="both"/>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v—操作口处空气吸入速度，m/s，项目取0.8m/s；</w:t>
            </w:r>
          </w:p>
          <w:p w14:paraId="408F07B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1200" w:firstLineChars="500"/>
              <w:jc w:val="both"/>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β—安全系数，一般取1.05-1.1，项目取1.1。</w:t>
            </w:r>
          </w:p>
          <w:p w14:paraId="57CBB28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计算得出，单个水帘柜收集风量为1552.32m</w:t>
            </w:r>
            <w:r>
              <w:rPr>
                <w:rFonts w:hint="default" w:ascii="Times New Roman" w:hAnsi="Times New Roman" w:eastAsia="宋体" w:cs="Times New Roman"/>
                <w:b w:val="0"/>
                <w:bCs w:val="0"/>
                <w:color w:val="auto"/>
                <w:spacing w:val="0"/>
                <w:sz w:val="24"/>
                <w:szCs w:val="24"/>
                <w:vertAlign w:val="superscript"/>
                <w:lang w:val="en-US" w:eastAsia="zh-CN"/>
              </w:rPr>
              <w:t>3</w:t>
            </w:r>
            <w:r>
              <w:rPr>
                <w:rFonts w:hint="default" w:ascii="Times New Roman" w:hAnsi="Times New Roman" w:eastAsia="宋体" w:cs="Times New Roman"/>
                <w:b w:val="0"/>
                <w:bCs w:val="0"/>
                <w:color w:val="auto"/>
                <w:spacing w:val="0"/>
                <w:sz w:val="24"/>
                <w:szCs w:val="24"/>
                <w:lang w:val="en-US" w:eastAsia="zh-CN"/>
              </w:rPr>
              <w:t>/h，共有</w:t>
            </w:r>
            <w:r>
              <w:rPr>
                <w:rFonts w:hint="default" w:ascii="Times New Roman" w:hAnsi="Times New Roman" w:cs="Times New Roman"/>
                <w:b w:val="0"/>
                <w:bCs w:val="0"/>
                <w:color w:val="auto"/>
                <w:spacing w:val="0"/>
                <w:sz w:val="24"/>
                <w:szCs w:val="24"/>
                <w:lang w:val="en-US" w:eastAsia="zh-CN"/>
              </w:rPr>
              <w:t>2</w:t>
            </w:r>
            <w:r>
              <w:rPr>
                <w:rFonts w:hint="default" w:ascii="Times New Roman" w:hAnsi="Times New Roman" w:eastAsia="宋体" w:cs="Times New Roman"/>
                <w:b w:val="0"/>
                <w:bCs w:val="0"/>
                <w:color w:val="auto"/>
                <w:spacing w:val="0"/>
                <w:sz w:val="24"/>
                <w:szCs w:val="24"/>
                <w:lang w:val="en-US" w:eastAsia="zh-CN"/>
              </w:rPr>
              <w:t>个水帘柜，即收集风量为</w:t>
            </w:r>
            <w:r>
              <w:rPr>
                <w:rFonts w:hint="default" w:ascii="Times New Roman" w:hAnsi="Times New Roman" w:cs="Times New Roman"/>
                <w:b w:val="0"/>
                <w:bCs w:val="0"/>
                <w:color w:val="auto"/>
                <w:spacing w:val="0"/>
                <w:sz w:val="24"/>
                <w:szCs w:val="24"/>
                <w:lang w:val="en-US" w:eastAsia="zh-CN"/>
              </w:rPr>
              <w:t>3104.64</w:t>
            </w:r>
            <w:r>
              <w:rPr>
                <w:rFonts w:hint="default" w:ascii="Times New Roman" w:hAnsi="Times New Roman" w:eastAsia="宋体" w:cs="Times New Roman"/>
                <w:b w:val="0"/>
                <w:bCs w:val="0"/>
                <w:color w:val="auto"/>
                <w:spacing w:val="0"/>
                <w:sz w:val="24"/>
                <w:szCs w:val="24"/>
                <w:lang w:val="en-US" w:eastAsia="zh-CN"/>
              </w:rPr>
              <w:t>m</w:t>
            </w:r>
            <w:r>
              <w:rPr>
                <w:rFonts w:hint="default" w:ascii="Times New Roman" w:hAnsi="Times New Roman" w:eastAsia="宋体" w:cs="Times New Roman"/>
                <w:b w:val="0"/>
                <w:bCs w:val="0"/>
                <w:color w:val="auto"/>
                <w:spacing w:val="0"/>
                <w:sz w:val="24"/>
                <w:szCs w:val="24"/>
                <w:vertAlign w:val="superscript"/>
                <w:lang w:val="en-US" w:eastAsia="zh-CN"/>
              </w:rPr>
              <w:t>3</w:t>
            </w:r>
            <w:r>
              <w:rPr>
                <w:rFonts w:hint="default" w:ascii="Times New Roman" w:hAnsi="Times New Roman" w:eastAsia="宋体" w:cs="Times New Roman"/>
                <w:b w:val="0"/>
                <w:bCs w:val="0"/>
                <w:color w:val="auto"/>
                <w:spacing w:val="0"/>
                <w:sz w:val="24"/>
                <w:szCs w:val="24"/>
                <w:lang w:val="en-US" w:eastAsia="zh-CN"/>
              </w:rPr>
              <w:t>/h。</w:t>
            </w:r>
          </w:p>
          <w:p w14:paraId="40D4527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cs="Times New Roman"/>
                <w:b w:val="0"/>
                <w:bCs w:val="0"/>
                <w:color w:val="auto"/>
                <w:spacing w:val="0"/>
                <w:sz w:val="24"/>
                <w:szCs w:val="24"/>
                <w:lang w:val="en-US" w:eastAsia="zh-CN"/>
              </w:rPr>
            </w:pPr>
            <w:r>
              <w:rPr>
                <w:rFonts w:hint="default" w:ascii="Times New Roman" w:hAnsi="Times New Roman" w:eastAsia="宋体" w:cs="Times New Roman"/>
                <w:b/>
                <w:bCs/>
                <w:color w:val="auto"/>
                <w:spacing w:val="0"/>
                <w:sz w:val="24"/>
                <w:szCs w:val="24"/>
                <w:lang w:val="en-US" w:eastAsia="zh-CN"/>
              </w:rPr>
              <w:t>②烘烤废气、移印废气、密炼废气、硫化废气：</w:t>
            </w:r>
            <w:r>
              <w:rPr>
                <w:rFonts w:hint="default" w:ascii="Times New Roman" w:hAnsi="Times New Roman" w:eastAsia="宋体" w:cs="Times New Roman"/>
                <w:b w:val="0"/>
                <w:bCs w:val="0"/>
                <w:color w:val="auto"/>
                <w:spacing w:val="0"/>
                <w:sz w:val="24"/>
                <w:szCs w:val="24"/>
                <w:lang w:val="en-US" w:eastAsia="zh-CN"/>
              </w:rPr>
              <w:t>每个烘烤设备、移印设备设置一个上吸式集气罩收集废气，并通过软质垂帘四周围挡，四周及上下有围挡设施，仅保留1个操作工位面且通道敞开面小于1个操作工位面，敞开面控制风速不小于0.3m/s，参考《广东省生态环境厅关于印发工业源挥发性有机物和氮氧化物减排量核算方法的通知》（粤环函【2023】538号），废气收集率为65%，根据《环境工程技术手册：废气处理工程技术手册》（废气卷）中P972，可知集气罩排气量计算公式为：当三侧有围挡时，上部伞形罩计算公式为：Q=WHVX，其中：H----集气罩距污染源距离（m）；W----集气罩口长度（m）；Vx----控制风速（m/s）</w:t>
            </w:r>
            <w:r>
              <w:rPr>
                <w:rFonts w:hint="default" w:ascii="Times New Roman" w:hAnsi="Times New Roman" w:cs="Times New Roman"/>
                <w:b w:val="0"/>
                <w:bCs w:val="0"/>
                <w:color w:val="auto"/>
                <w:spacing w:val="0"/>
                <w:sz w:val="24"/>
                <w:szCs w:val="24"/>
                <w:lang w:val="en-US" w:eastAsia="zh-CN"/>
              </w:rPr>
              <w:t>。</w:t>
            </w:r>
          </w:p>
          <w:p w14:paraId="5E14829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b w:val="0"/>
                <w:bCs w:val="0"/>
                <w:color w:val="auto"/>
                <w:spacing w:val="0"/>
                <w:sz w:val="24"/>
                <w:szCs w:val="24"/>
                <w:lang w:val="en-US" w:eastAsia="zh-CN"/>
              </w:rPr>
            </w:pPr>
          </w:p>
          <w:p w14:paraId="64022160">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firstLine="420" w:firstLineChars="0"/>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kern w:val="2"/>
                <w:sz w:val="21"/>
                <w:szCs w:val="21"/>
                <w:lang w:val="en-US" w:eastAsia="zh-CN" w:bidi="ar-SA"/>
              </w:rPr>
              <w:t>表4-</w:t>
            </w:r>
            <w:r>
              <w:rPr>
                <w:rFonts w:hint="default" w:ascii="Times New Roman" w:hAnsi="Times New Roman" w:cs="Times New Roman"/>
                <w:b/>
                <w:bCs/>
                <w:color w:val="auto"/>
                <w:kern w:val="2"/>
                <w:sz w:val="21"/>
                <w:szCs w:val="21"/>
                <w:lang w:val="en-US" w:eastAsia="zh-CN" w:bidi="ar-SA"/>
              </w:rPr>
              <w:t>2</w:t>
            </w:r>
            <w:r>
              <w:rPr>
                <w:rFonts w:hint="default" w:ascii="Times New Roman" w:hAnsi="Times New Roman" w:eastAsia="宋体" w:cs="Times New Roman"/>
                <w:b/>
                <w:bCs/>
                <w:color w:val="auto"/>
                <w:kern w:val="2"/>
                <w:sz w:val="18"/>
                <w:szCs w:val="18"/>
                <w:lang w:val="en-US" w:eastAsia="zh-CN" w:bidi="ar-SA"/>
              </w:rPr>
              <w:t xml:space="preserve"> </w:t>
            </w:r>
            <w:r>
              <w:rPr>
                <w:rFonts w:hint="default" w:ascii="Times New Roman" w:hAnsi="Times New Roman" w:eastAsia="宋体" w:cs="Times New Roman"/>
                <w:b/>
                <w:bCs/>
                <w:color w:val="auto"/>
                <w:sz w:val="24"/>
                <w:szCs w:val="24"/>
                <w:lang w:val="en-US" w:eastAsia="zh-CN"/>
              </w:rPr>
              <w:t>管道风量一览表</w:t>
            </w:r>
          </w:p>
          <w:tbl>
            <w:tblPr>
              <w:tblStyle w:val="22"/>
              <w:tblW w:w="84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6"/>
              <w:gridCol w:w="860"/>
              <w:gridCol w:w="1193"/>
              <w:gridCol w:w="1269"/>
              <w:gridCol w:w="1269"/>
              <w:gridCol w:w="1272"/>
              <w:gridCol w:w="1158"/>
            </w:tblGrid>
            <w:tr w14:paraId="1AA6A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jc w:val="center"/>
              </w:trPr>
              <w:tc>
                <w:tcPr>
                  <w:tcW w:w="1416" w:type="dxa"/>
                  <w:tcBorders>
                    <w:top w:val="single" w:color="000000" w:sz="4" w:space="0"/>
                    <w:left w:val="single" w:color="000000" w:sz="4" w:space="0"/>
                    <w:right w:val="single" w:color="000000" w:sz="4" w:space="0"/>
                  </w:tcBorders>
                  <w:noWrap w:val="0"/>
                  <w:vAlign w:val="center"/>
                </w:tcPr>
                <w:p w14:paraId="77A0C4C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val="en-US" w:eastAsia="zh-CN"/>
                    </w:rPr>
                    <w:t>区域</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14:paraId="4A57998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集气罩数量</w:t>
                  </w:r>
                </w:p>
              </w:tc>
              <w:tc>
                <w:tcPr>
                  <w:tcW w:w="1193" w:type="dxa"/>
                  <w:tcBorders>
                    <w:top w:val="single" w:color="000000" w:sz="4" w:space="0"/>
                    <w:left w:val="single" w:color="000000" w:sz="4" w:space="0"/>
                    <w:bottom w:val="single" w:color="000000" w:sz="4" w:space="0"/>
                    <w:right w:val="single" w:color="000000" w:sz="4" w:space="0"/>
                  </w:tcBorders>
                  <w:noWrap w:val="0"/>
                  <w:vAlign w:val="center"/>
                </w:tcPr>
                <w:p w14:paraId="02907B2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集气罩罩口周长</w:t>
                  </w:r>
                  <w:r>
                    <w:rPr>
                      <w:rFonts w:hint="default" w:ascii="Times New Roman" w:hAnsi="Times New Roman" w:eastAsia="宋体" w:cs="Times New Roman"/>
                      <w:b/>
                      <w:bCs/>
                      <w:color w:val="auto"/>
                      <w:sz w:val="21"/>
                      <w:szCs w:val="21"/>
                      <w:lang w:val="en-US" w:eastAsia="zh-CN"/>
                    </w:rPr>
                    <w:t>（m）</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7E62145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产生点至罩口距离h（m）</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28DE6CB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敞开面控制风速Vx(m/s)</w:t>
                  </w:r>
                </w:p>
              </w:tc>
              <w:tc>
                <w:tcPr>
                  <w:tcW w:w="1272" w:type="dxa"/>
                  <w:tcBorders>
                    <w:top w:val="single" w:color="000000" w:sz="4" w:space="0"/>
                    <w:left w:val="single" w:color="000000" w:sz="4" w:space="0"/>
                    <w:right w:val="single" w:color="000000" w:sz="4" w:space="0"/>
                  </w:tcBorders>
                  <w:noWrap w:val="0"/>
                  <w:vAlign w:val="center"/>
                </w:tcPr>
                <w:p w14:paraId="3A6F702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单个集气罩风量</w:t>
                  </w: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rPr>
                    <w:t>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/h</w:t>
                  </w:r>
                  <w:r>
                    <w:rPr>
                      <w:rFonts w:hint="default" w:ascii="Times New Roman" w:hAnsi="Times New Roman" w:eastAsia="宋体" w:cs="Times New Roman"/>
                      <w:b/>
                      <w:bCs/>
                      <w:color w:val="auto"/>
                      <w:sz w:val="21"/>
                      <w:szCs w:val="21"/>
                      <w:lang w:eastAsia="zh-CN"/>
                    </w:rPr>
                    <w:t>）</w:t>
                  </w:r>
                </w:p>
              </w:tc>
              <w:tc>
                <w:tcPr>
                  <w:tcW w:w="1158" w:type="dxa"/>
                  <w:tcBorders>
                    <w:top w:val="single" w:color="000000" w:sz="4" w:space="0"/>
                    <w:left w:val="single" w:color="000000" w:sz="4" w:space="0"/>
                    <w:right w:val="single" w:color="000000" w:sz="4" w:space="0"/>
                  </w:tcBorders>
                  <w:noWrap w:val="0"/>
                  <w:vAlign w:val="center"/>
                </w:tcPr>
                <w:p w14:paraId="12953AA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val="en-US" w:eastAsia="zh-CN"/>
                    </w:rPr>
                    <w:t>总排气</w:t>
                  </w:r>
                  <w:r>
                    <w:rPr>
                      <w:rFonts w:hint="default" w:ascii="Times New Roman" w:hAnsi="Times New Roman" w:eastAsia="宋体" w:cs="Times New Roman"/>
                      <w:b/>
                      <w:bCs/>
                      <w:color w:val="auto"/>
                      <w:sz w:val="21"/>
                      <w:szCs w:val="21"/>
                    </w:rPr>
                    <w:t>量</w:t>
                  </w: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rPr>
                    <w:t>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/h</w:t>
                  </w:r>
                  <w:r>
                    <w:rPr>
                      <w:rFonts w:hint="default" w:ascii="Times New Roman" w:hAnsi="Times New Roman" w:eastAsia="宋体" w:cs="Times New Roman"/>
                      <w:b/>
                      <w:bCs/>
                      <w:color w:val="auto"/>
                      <w:sz w:val="21"/>
                      <w:szCs w:val="21"/>
                      <w:lang w:eastAsia="zh-CN"/>
                    </w:rPr>
                    <w:t>）</w:t>
                  </w:r>
                </w:p>
              </w:tc>
            </w:tr>
            <w:tr w14:paraId="5FD3C3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jc w:val="center"/>
              </w:trPr>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1246FE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移印机</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14:paraId="658CDFA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1193" w:type="dxa"/>
                  <w:tcBorders>
                    <w:top w:val="single" w:color="000000" w:sz="4" w:space="0"/>
                    <w:left w:val="single" w:color="000000" w:sz="4" w:space="0"/>
                    <w:bottom w:val="single" w:color="000000" w:sz="4" w:space="0"/>
                    <w:right w:val="single" w:color="000000" w:sz="4" w:space="0"/>
                  </w:tcBorders>
                  <w:noWrap w:val="0"/>
                  <w:vAlign w:val="center"/>
                </w:tcPr>
                <w:p w14:paraId="4BC1428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0.8</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5DC9922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0.3</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2EC6896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0.5</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14:paraId="6ADA35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432</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14:paraId="763285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4320</w:t>
                  </w:r>
                </w:p>
              </w:tc>
            </w:tr>
            <w:tr w14:paraId="65047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416" w:type="dxa"/>
                  <w:tcBorders>
                    <w:top w:val="single" w:color="000000" w:sz="4" w:space="0"/>
                    <w:left w:val="single" w:color="000000" w:sz="4" w:space="0"/>
                    <w:bottom w:val="single" w:color="000000" w:sz="4" w:space="0"/>
                    <w:right w:val="single" w:color="000000" w:sz="4" w:space="0"/>
                  </w:tcBorders>
                  <w:noWrap w:val="0"/>
                  <w:vAlign w:val="center"/>
                </w:tcPr>
                <w:p w14:paraId="4650FCE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烘烤炉</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14:paraId="7019AB3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193" w:type="dxa"/>
                  <w:tcBorders>
                    <w:top w:val="single" w:color="000000" w:sz="4" w:space="0"/>
                    <w:left w:val="single" w:color="000000" w:sz="4" w:space="0"/>
                    <w:bottom w:val="single" w:color="000000" w:sz="4" w:space="0"/>
                    <w:right w:val="single" w:color="000000" w:sz="4" w:space="0"/>
                  </w:tcBorders>
                  <w:noWrap w:val="0"/>
                  <w:vAlign w:val="center"/>
                </w:tcPr>
                <w:p w14:paraId="4847D84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096AF6B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0.3</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2E204FC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0.5</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14:paraId="13C89A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540</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14:paraId="03F404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kern w:val="2"/>
                      <w:sz w:val="21"/>
                      <w:szCs w:val="21"/>
                      <w:u w:val="none"/>
                      <w:lang w:val="en-US" w:eastAsia="zh-CN" w:bidi="ar-SA"/>
                    </w:rPr>
                  </w:pPr>
                  <w:r>
                    <w:rPr>
                      <w:rFonts w:hint="default" w:ascii="Times New Roman" w:hAnsi="Times New Roman" w:cs="Times New Roman"/>
                      <w:i w:val="0"/>
                      <w:iCs w:val="0"/>
                      <w:color w:val="auto"/>
                      <w:kern w:val="2"/>
                      <w:sz w:val="21"/>
                      <w:szCs w:val="21"/>
                      <w:u w:val="none"/>
                      <w:lang w:val="en-US" w:eastAsia="zh-CN" w:bidi="ar-SA"/>
                    </w:rPr>
                    <w:t>540</w:t>
                  </w:r>
                </w:p>
              </w:tc>
            </w:tr>
            <w:tr w14:paraId="5172B3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jc w:val="center"/>
              </w:trPr>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DD1C9C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b w:val="0"/>
                      <w:bCs w:val="0"/>
                      <w:color w:val="auto"/>
                      <w:kern w:val="2"/>
                      <w:sz w:val="21"/>
                      <w:szCs w:val="21"/>
                      <w:lang w:val="en-US" w:eastAsia="zh-CN" w:bidi="ar-SA"/>
                    </w:rPr>
                    <w:t>密炼机</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14:paraId="428693A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1193" w:type="dxa"/>
                  <w:tcBorders>
                    <w:top w:val="single" w:color="000000" w:sz="4" w:space="0"/>
                    <w:left w:val="single" w:color="000000" w:sz="4" w:space="0"/>
                    <w:bottom w:val="single" w:color="000000" w:sz="4" w:space="0"/>
                    <w:right w:val="single" w:color="000000" w:sz="4" w:space="0"/>
                  </w:tcBorders>
                  <w:noWrap w:val="0"/>
                  <w:vAlign w:val="center"/>
                </w:tcPr>
                <w:p w14:paraId="568CC89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0.6</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325A006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0.3</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0D3A87A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0.5</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14:paraId="699ACA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324</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14:paraId="71E00F8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kern w:val="2"/>
                      <w:sz w:val="21"/>
                      <w:szCs w:val="21"/>
                      <w:u w:val="none"/>
                      <w:lang w:val="en-US" w:eastAsia="zh-CN" w:bidi="ar-SA"/>
                    </w:rPr>
                  </w:pPr>
                  <w:r>
                    <w:rPr>
                      <w:rFonts w:hint="default" w:ascii="Times New Roman" w:hAnsi="Times New Roman" w:cs="Times New Roman"/>
                      <w:i w:val="0"/>
                      <w:iCs w:val="0"/>
                      <w:color w:val="auto"/>
                      <w:kern w:val="2"/>
                      <w:sz w:val="21"/>
                      <w:szCs w:val="21"/>
                      <w:u w:val="none"/>
                      <w:lang w:val="en-US" w:eastAsia="zh-CN" w:bidi="ar-SA"/>
                    </w:rPr>
                    <w:t>1296</w:t>
                  </w:r>
                </w:p>
              </w:tc>
            </w:tr>
            <w:tr w14:paraId="19809E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jc w:val="center"/>
              </w:trPr>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5423DD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b w:val="0"/>
                      <w:bCs w:val="0"/>
                      <w:color w:val="auto"/>
                      <w:kern w:val="2"/>
                      <w:sz w:val="21"/>
                      <w:szCs w:val="21"/>
                      <w:lang w:val="en-US" w:eastAsia="zh-CN" w:bidi="ar-SA"/>
                    </w:rPr>
                    <w:t>平板硫化机</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14:paraId="6FFF146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1193" w:type="dxa"/>
                  <w:tcBorders>
                    <w:top w:val="single" w:color="000000" w:sz="4" w:space="0"/>
                    <w:left w:val="single" w:color="000000" w:sz="4" w:space="0"/>
                    <w:bottom w:val="single" w:color="000000" w:sz="4" w:space="0"/>
                    <w:right w:val="single" w:color="000000" w:sz="4" w:space="0"/>
                  </w:tcBorders>
                  <w:noWrap w:val="0"/>
                  <w:vAlign w:val="center"/>
                </w:tcPr>
                <w:p w14:paraId="1C21D0D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0.6</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3AACD9C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0.3</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37ED2CD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0.5</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14:paraId="37FA5D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324</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14:paraId="04C983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kern w:val="2"/>
                      <w:sz w:val="21"/>
                      <w:szCs w:val="21"/>
                      <w:u w:val="none"/>
                      <w:lang w:val="en-US" w:eastAsia="zh-CN" w:bidi="ar-SA"/>
                    </w:rPr>
                  </w:pPr>
                  <w:r>
                    <w:rPr>
                      <w:rFonts w:hint="default" w:ascii="Times New Roman" w:hAnsi="Times New Roman" w:cs="Times New Roman"/>
                      <w:i w:val="0"/>
                      <w:iCs w:val="0"/>
                      <w:color w:val="auto"/>
                      <w:kern w:val="2"/>
                      <w:sz w:val="21"/>
                      <w:szCs w:val="21"/>
                      <w:u w:val="none"/>
                      <w:lang w:val="en-US" w:eastAsia="zh-CN" w:bidi="ar-SA"/>
                    </w:rPr>
                    <w:t>3240</w:t>
                  </w:r>
                </w:p>
              </w:tc>
            </w:tr>
            <w:tr w14:paraId="18E4F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jc w:val="center"/>
              </w:trPr>
              <w:tc>
                <w:tcPr>
                  <w:tcW w:w="7279" w:type="dxa"/>
                  <w:gridSpan w:val="6"/>
                  <w:tcBorders>
                    <w:top w:val="single" w:color="000000" w:sz="4" w:space="0"/>
                    <w:left w:val="single" w:color="000000" w:sz="4" w:space="0"/>
                    <w:bottom w:val="single" w:color="000000" w:sz="4" w:space="0"/>
                    <w:right w:val="single" w:color="000000" w:sz="4" w:space="0"/>
                  </w:tcBorders>
                  <w:noWrap w:val="0"/>
                  <w:vAlign w:val="center"/>
                </w:tcPr>
                <w:p w14:paraId="4B22C1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合计</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14:paraId="645EF8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kern w:val="2"/>
                      <w:sz w:val="21"/>
                      <w:szCs w:val="21"/>
                      <w:u w:val="none"/>
                      <w:lang w:val="en-US" w:eastAsia="zh-CN" w:bidi="ar-SA"/>
                    </w:rPr>
                  </w:pPr>
                  <w:r>
                    <w:rPr>
                      <w:rFonts w:hint="default" w:ascii="Times New Roman" w:hAnsi="Times New Roman" w:cs="Times New Roman"/>
                      <w:i w:val="0"/>
                      <w:iCs w:val="0"/>
                      <w:color w:val="auto"/>
                      <w:kern w:val="2"/>
                      <w:sz w:val="21"/>
                      <w:szCs w:val="21"/>
                      <w:u w:val="none"/>
                      <w:lang w:val="en-US" w:eastAsia="zh-CN" w:bidi="ar-SA"/>
                    </w:rPr>
                    <w:t>8316</w:t>
                  </w:r>
                </w:p>
              </w:tc>
            </w:tr>
          </w:tbl>
          <w:p w14:paraId="333C7712">
            <w:pPr>
              <w:wordWrap/>
              <w:bidi w:val="0"/>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考虑风量损失，根据《吸附法工业有机废气治理工程技术规范》（HJ2026-2013），设计风量宜按照最大废气排放量的120%进行设计，集气罩设计收集风量为9979.22</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/h</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按10000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/h</w:t>
            </w:r>
            <w:r>
              <w:rPr>
                <w:rFonts w:hint="default" w:ascii="Times New Roman" w:hAnsi="Times New Roman" w:eastAsia="宋体" w:cs="Times New Roman"/>
                <w:color w:val="auto"/>
                <w:sz w:val="24"/>
                <w:szCs w:val="24"/>
                <w:lang w:val="en-US" w:eastAsia="zh-CN"/>
              </w:rPr>
              <w:t>计</w:t>
            </w:r>
            <w:r>
              <w:rPr>
                <w:rFonts w:hint="default" w:ascii="Times New Roman" w:hAnsi="Times New Roman" w:eastAsia="宋体" w:cs="Times New Roman"/>
                <w:color w:val="auto"/>
                <w:sz w:val="24"/>
                <w:szCs w:val="24"/>
              </w:rPr>
              <w:t>。</w:t>
            </w:r>
          </w:p>
          <w:p w14:paraId="4EDE5C8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bCs/>
                <w:color w:val="auto"/>
                <w:sz w:val="24"/>
                <w:szCs w:val="24"/>
                <w:lang w:val="en-US" w:eastAsia="zh-CN"/>
              </w:rPr>
              <w:t>喷漆车间送风量核算：</w:t>
            </w:r>
            <w:r>
              <w:rPr>
                <w:rFonts w:hint="default" w:ascii="Times New Roman" w:hAnsi="Times New Roman" w:cs="Times New Roman"/>
                <w:b w:val="0"/>
                <w:bCs w:val="0"/>
                <w:color w:val="auto"/>
                <w:szCs w:val="22"/>
                <w:lang w:val="en-US" w:eastAsia="zh-CN"/>
              </w:rPr>
              <w:t>项目喷漆车间为独立的密闭微负压车间，不设通风窗，出入口设置压力密封门，使工作关闭房门时处于密闭状态。车间通过送风系统送风，设置抽风机排风，通过变频装置控制进风系统和抽风系统的风量，使排风量略大于送风量，且不会因排风量比送风量大很多而使车间内空气量不足。喷漆车间尺寸为80m</w:t>
            </w:r>
            <w:r>
              <w:rPr>
                <w:rFonts w:hint="default" w:ascii="Times New Roman" w:hAnsi="Times New Roman" w:cs="Times New Roman"/>
                <w:b w:val="0"/>
                <w:bCs w:val="0"/>
                <w:color w:val="auto"/>
                <w:szCs w:val="22"/>
                <w:vertAlign w:val="superscript"/>
                <w:lang w:val="en-US" w:eastAsia="zh-CN"/>
              </w:rPr>
              <w:t>2</w:t>
            </w:r>
            <w:r>
              <w:rPr>
                <w:rFonts w:hint="default" w:ascii="Times New Roman" w:hAnsi="Times New Roman" w:cs="Times New Roman"/>
                <w:b w:val="0"/>
                <w:bCs w:val="0"/>
                <w:color w:val="auto"/>
                <w:szCs w:val="22"/>
                <w:lang w:val="en-US" w:eastAsia="zh-CN"/>
              </w:rPr>
              <w:t>*4m，</w:t>
            </w:r>
            <w:r>
              <w:rPr>
                <w:rFonts w:hint="default" w:ascii="Times New Roman" w:hAnsi="Times New Roman" w:cs="Times New Roman"/>
                <w:color w:val="auto"/>
                <w:szCs w:val="32"/>
              </w:rPr>
              <w:t>参考《环境工程技术手册-废气处理工程技术手册》（王纯、张殿印主编）中净化系统的设计，全面通风所需换气量可按类似车间的换气次数进行计算，换气次数是通风量Q（m</w:t>
            </w:r>
            <w:r>
              <w:rPr>
                <w:rFonts w:hint="default" w:ascii="Times New Roman" w:hAnsi="Times New Roman" w:cs="Times New Roman"/>
                <w:color w:val="auto"/>
                <w:szCs w:val="32"/>
                <w:vertAlign w:val="superscript"/>
              </w:rPr>
              <w:t>3</w:t>
            </w:r>
            <w:r>
              <w:rPr>
                <w:rFonts w:hint="default" w:ascii="Times New Roman" w:hAnsi="Times New Roman" w:cs="Times New Roman"/>
                <w:color w:val="auto"/>
                <w:szCs w:val="32"/>
              </w:rPr>
              <w:t>/h）与通风车间体积V（m</w:t>
            </w:r>
            <w:r>
              <w:rPr>
                <w:rFonts w:hint="default" w:ascii="Times New Roman" w:hAnsi="Times New Roman" w:cs="Times New Roman"/>
                <w:color w:val="auto"/>
                <w:szCs w:val="32"/>
                <w:vertAlign w:val="superscript"/>
              </w:rPr>
              <w:t>3</w:t>
            </w:r>
            <w:r>
              <w:rPr>
                <w:rFonts w:hint="default" w:ascii="Times New Roman" w:hAnsi="Times New Roman" w:cs="Times New Roman"/>
                <w:color w:val="auto"/>
                <w:szCs w:val="32"/>
              </w:rPr>
              <w:t>）的比值，换气次数</w:t>
            </w:r>
            <w:r>
              <w:rPr>
                <w:rFonts w:hint="default" w:ascii="Times New Roman" w:hAnsi="Times New Roman" w:cs="Times New Roman"/>
                <w:color w:val="auto"/>
                <w:szCs w:val="32"/>
                <w:lang w:val="en-US" w:eastAsia="zh-CN"/>
              </w:rPr>
              <w:t>按20</w:t>
            </w:r>
            <w:r>
              <w:rPr>
                <w:rFonts w:hint="default" w:ascii="Times New Roman" w:hAnsi="Times New Roman" w:cs="Times New Roman"/>
                <w:color w:val="auto"/>
                <w:szCs w:val="32"/>
              </w:rPr>
              <w:t>次/h</w:t>
            </w:r>
            <w:r>
              <w:rPr>
                <w:rFonts w:hint="default" w:ascii="Times New Roman" w:hAnsi="Times New Roman" w:cs="Times New Roman"/>
                <w:color w:val="auto"/>
                <w:szCs w:val="32"/>
                <w:lang w:val="en-US" w:eastAsia="zh-CN"/>
              </w:rPr>
              <w:t>计</w:t>
            </w:r>
            <w:r>
              <w:rPr>
                <w:rFonts w:hint="default" w:ascii="Times New Roman" w:hAnsi="Times New Roman" w:cs="Times New Roman"/>
                <w:color w:val="auto"/>
                <w:szCs w:val="32"/>
              </w:rPr>
              <w:t>，计算得出</w:t>
            </w:r>
            <w:r>
              <w:rPr>
                <w:rFonts w:hint="default" w:ascii="Times New Roman" w:hAnsi="Times New Roman" w:cs="Times New Roman"/>
                <w:color w:val="auto"/>
                <w:szCs w:val="32"/>
                <w:lang w:val="en-US" w:eastAsia="zh-CN"/>
              </w:rPr>
              <w:t>炼胶车间所需新</w:t>
            </w:r>
            <w:r>
              <w:rPr>
                <w:rFonts w:hint="default" w:ascii="Times New Roman" w:hAnsi="Times New Roman" w:cs="Times New Roman"/>
                <w:color w:val="auto"/>
                <w:szCs w:val="32"/>
              </w:rPr>
              <w:t>风量为</w:t>
            </w:r>
            <w:r>
              <w:rPr>
                <w:rFonts w:hint="default" w:ascii="Times New Roman" w:hAnsi="Times New Roman" w:cs="Times New Roman"/>
                <w:color w:val="auto"/>
                <w:szCs w:val="32"/>
                <w:lang w:val="en-US" w:eastAsia="zh-CN"/>
              </w:rPr>
              <w:t>6400</w:t>
            </w:r>
            <w:r>
              <w:rPr>
                <w:rFonts w:hint="default" w:ascii="Times New Roman" w:hAnsi="Times New Roman" w:cs="Times New Roman"/>
                <w:color w:val="auto"/>
                <w:szCs w:val="32"/>
              </w:rPr>
              <w:t>m</w:t>
            </w:r>
            <w:r>
              <w:rPr>
                <w:rFonts w:hint="default" w:ascii="Times New Roman" w:hAnsi="Times New Roman" w:cs="Times New Roman"/>
                <w:color w:val="auto"/>
                <w:szCs w:val="32"/>
                <w:vertAlign w:val="superscript"/>
              </w:rPr>
              <w:t>3</w:t>
            </w:r>
            <w:r>
              <w:rPr>
                <w:rFonts w:hint="default" w:ascii="Times New Roman" w:hAnsi="Times New Roman" w:cs="Times New Roman"/>
                <w:color w:val="auto"/>
                <w:szCs w:val="32"/>
              </w:rPr>
              <w:t>/h，考虑风量损失，</w:t>
            </w:r>
            <w:r>
              <w:rPr>
                <w:rFonts w:hint="default" w:ascii="Times New Roman" w:hAnsi="Times New Roman" w:cs="Times New Roman"/>
                <w:color w:val="auto"/>
                <w:szCs w:val="32"/>
                <w:lang w:val="en-US" w:eastAsia="zh-CN"/>
              </w:rPr>
              <w:t>换风</w:t>
            </w:r>
            <w:r>
              <w:rPr>
                <w:rFonts w:hint="default" w:ascii="Times New Roman" w:hAnsi="Times New Roman" w:cs="Times New Roman"/>
                <w:color w:val="auto"/>
                <w:szCs w:val="32"/>
              </w:rPr>
              <w:t>风量取</w:t>
            </w:r>
            <w:r>
              <w:rPr>
                <w:rFonts w:hint="default" w:ascii="Times New Roman" w:hAnsi="Times New Roman" w:cs="Times New Roman"/>
                <w:color w:val="auto"/>
                <w:szCs w:val="32"/>
                <w:lang w:val="en-US" w:eastAsia="zh-CN"/>
              </w:rPr>
              <w:t>65</w:t>
            </w:r>
            <w:r>
              <w:rPr>
                <w:rFonts w:hint="default" w:ascii="Times New Roman" w:hAnsi="Times New Roman" w:cs="Times New Roman"/>
                <w:color w:val="auto"/>
                <w:szCs w:val="32"/>
              </w:rPr>
              <w:t>00m</w:t>
            </w:r>
            <w:r>
              <w:rPr>
                <w:rFonts w:hint="default" w:ascii="Times New Roman" w:hAnsi="Times New Roman" w:cs="Times New Roman"/>
                <w:color w:val="auto"/>
                <w:szCs w:val="32"/>
                <w:vertAlign w:val="superscript"/>
              </w:rPr>
              <w:t>3</w:t>
            </w:r>
            <w:r>
              <w:rPr>
                <w:rFonts w:hint="default" w:ascii="Times New Roman" w:hAnsi="Times New Roman" w:cs="Times New Roman"/>
                <w:color w:val="auto"/>
                <w:szCs w:val="32"/>
              </w:rPr>
              <w:t>/h</w:t>
            </w:r>
            <w:r>
              <w:rPr>
                <w:rFonts w:hint="default" w:ascii="Times New Roman" w:hAnsi="Times New Roman" w:cs="Times New Roman"/>
                <w:color w:val="auto"/>
                <w:szCs w:val="32"/>
                <w:lang w:eastAsia="zh-CN"/>
              </w:rPr>
              <w:t>。</w:t>
            </w:r>
          </w:p>
          <w:p w14:paraId="1219FB6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综上，排气筒DA00</w:t>
            </w:r>
            <w:r>
              <w:rPr>
                <w:rFonts w:hint="default" w:ascii="Times New Roman" w:hAnsi="Times New Roman" w:cs="Times New Roman"/>
                <w:b w:val="0"/>
                <w:bCs w:val="0"/>
                <w:color w:val="auto"/>
                <w:spacing w:val="0"/>
                <w:sz w:val="24"/>
                <w:szCs w:val="24"/>
                <w:lang w:val="en-US" w:eastAsia="zh-CN"/>
              </w:rPr>
              <w:t>1</w:t>
            </w:r>
            <w:r>
              <w:rPr>
                <w:rFonts w:hint="default" w:ascii="Times New Roman" w:hAnsi="Times New Roman" w:eastAsia="宋体" w:cs="Times New Roman"/>
                <w:b w:val="0"/>
                <w:bCs w:val="0"/>
                <w:color w:val="auto"/>
                <w:spacing w:val="0"/>
                <w:sz w:val="24"/>
                <w:szCs w:val="24"/>
                <w:lang w:val="en-US" w:eastAsia="zh-CN"/>
              </w:rPr>
              <w:t>的排风量为</w:t>
            </w:r>
            <w:r>
              <w:rPr>
                <w:rFonts w:hint="default" w:ascii="Times New Roman" w:hAnsi="Times New Roman" w:cs="Times New Roman"/>
                <w:b w:val="0"/>
                <w:bCs w:val="0"/>
                <w:color w:val="auto"/>
                <w:spacing w:val="0"/>
                <w:sz w:val="24"/>
                <w:szCs w:val="24"/>
                <w:lang w:val="en-US" w:eastAsia="zh-CN"/>
              </w:rPr>
              <w:t>10000+6500</w:t>
            </w:r>
            <w:r>
              <w:rPr>
                <w:rFonts w:hint="default" w:ascii="Times New Roman" w:hAnsi="Times New Roman" w:eastAsia="宋体" w:cs="Times New Roman"/>
                <w:b w:val="0"/>
                <w:bCs w:val="0"/>
                <w:color w:val="auto"/>
                <w:spacing w:val="0"/>
                <w:sz w:val="24"/>
                <w:szCs w:val="24"/>
                <w:lang w:val="en-US" w:eastAsia="zh-CN"/>
              </w:rPr>
              <w:t>=</w:t>
            </w:r>
            <w:r>
              <w:rPr>
                <w:rFonts w:hint="default" w:ascii="Times New Roman" w:hAnsi="Times New Roman" w:cs="Times New Roman"/>
                <w:b w:val="0"/>
                <w:bCs w:val="0"/>
                <w:color w:val="auto"/>
                <w:spacing w:val="0"/>
                <w:sz w:val="24"/>
                <w:szCs w:val="24"/>
                <w:lang w:val="en-US" w:eastAsia="zh-CN"/>
              </w:rPr>
              <w:t>16500</w:t>
            </w:r>
            <w:r>
              <w:rPr>
                <w:rFonts w:hint="default" w:ascii="Times New Roman" w:hAnsi="Times New Roman" w:eastAsia="宋体" w:cs="Times New Roman"/>
                <w:b w:val="0"/>
                <w:bCs w:val="0"/>
                <w:color w:val="auto"/>
                <w:spacing w:val="0"/>
                <w:sz w:val="24"/>
                <w:szCs w:val="24"/>
                <w:lang w:val="en-US" w:eastAsia="zh-CN"/>
              </w:rPr>
              <w:t>m</w:t>
            </w:r>
            <w:r>
              <w:rPr>
                <w:rFonts w:hint="default" w:ascii="Times New Roman" w:hAnsi="Times New Roman" w:eastAsia="宋体" w:cs="Times New Roman"/>
                <w:b w:val="0"/>
                <w:bCs w:val="0"/>
                <w:color w:val="auto"/>
                <w:spacing w:val="0"/>
                <w:sz w:val="24"/>
                <w:szCs w:val="24"/>
                <w:vertAlign w:val="superscript"/>
                <w:lang w:val="en-US" w:eastAsia="zh-CN"/>
              </w:rPr>
              <w:t>3</w:t>
            </w:r>
            <w:r>
              <w:rPr>
                <w:rFonts w:hint="default" w:ascii="Times New Roman" w:hAnsi="Times New Roman" w:eastAsia="宋体" w:cs="Times New Roman"/>
                <w:b w:val="0"/>
                <w:bCs w:val="0"/>
                <w:color w:val="auto"/>
                <w:spacing w:val="0"/>
                <w:sz w:val="24"/>
                <w:szCs w:val="24"/>
                <w:lang w:val="en-US" w:eastAsia="zh-CN"/>
              </w:rPr>
              <w:t>/h。</w:t>
            </w:r>
          </w:p>
          <w:p w14:paraId="4D5DCC15">
            <w:pPr>
              <w:keepNext w:val="0"/>
              <w:keepLines w:val="0"/>
              <w:suppressLineNumbers w:val="0"/>
              <w:wordWrap/>
              <w:spacing w:before="0" w:beforeAutospacing="0" w:after="0" w:afterAutospacing="0"/>
              <w:ind w:left="0" w:right="0" w:firstLine="482"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收集效率：</w:t>
            </w:r>
            <w:r>
              <w:rPr>
                <w:rFonts w:hint="default" w:ascii="Times New Roman" w:hAnsi="Times New Roman" w:eastAsia="宋体" w:cs="Times New Roman"/>
                <w:color w:val="auto"/>
                <w:sz w:val="24"/>
                <w:szCs w:val="24"/>
                <w:lang w:val="en-US" w:eastAsia="zh-CN"/>
              </w:rPr>
              <w:t>项目</w:t>
            </w:r>
            <w:r>
              <w:rPr>
                <w:rFonts w:hint="default" w:ascii="Times New Roman" w:hAnsi="Times New Roman" w:cs="Times New Roman"/>
                <w:color w:val="auto"/>
                <w:sz w:val="24"/>
                <w:szCs w:val="24"/>
                <w:lang w:val="en-US" w:eastAsia="zh-CN"/>
              </w:rPr>
              <w:t>炼胶车间和</w:t>
            </w:r>
            <w:r>
              <w:rPr>
                <w:rFonts w:hint="default" w:ascii="Times New Roman" w:hAnsi="Times New Roman" w:eastAsia="宋体" w:cs="Times New Roman"/>
                <w:color w:val="auto"/>
                <w:sz w:val="24"/>
                <w:szCs w:val="24"/>
                <w:lang w:val="en-US" w:eastAsia="zh-CN"/>
              </w:rPr>
              <w:t>喷漆车间设置车间换风系统整体抽风收集废气，可以通过调节抽风量略大于送风量，来维持内部密闭负压的状态。</w:t>
            </w:r>
            <w:r>
              <w:rPr>
                <w:rFonts w:hint="default" w:ascii="Times New Roman" w:hAnsi="Times New Roman" w:eastAsia="宋体" w:cs="Times New Roman"/>
                <w:color w:val="auto"/>
                <w:sz w:val="24"/>
                <w:szCs w:val="24"/>
              </w:rPr>
              <w:t>参考《广东省生态环境厅关于印发工业源挥发性有机物和氮氧化物减排量核算方法的通知》（粤环函〔2023〕538号）废气收集集气效率参考值，</w:t>
            </w:r>
            <w:r>
              <w:rPr>
                <w:rFonts w:hint="default" w:ascii="Times New Roman" w:hAnsi="Times New Roman" w:eastAsia="宋体" w:cs="Times New Roman"/>
                <w:color w:val="auto"/>
                <w:sz w:val="24"/>
                <w:szCs w:val="24"/>
                <w:lang w:val="en-US" w:eastAsia="zh-CN"/>
              </w:rPr>
              <w:t>全密封设备/空间-单层密闭负压（VOCs 产生源设置在密闭车间、密闭设备（含反应釜）、密闭管道内，所有开口处，包括人员或物料进出口处呈负压）的收集效率为90%。</w:t>
            </w:r>
          </w:p>
          <w:p w14:paraId="1F0AD056">
            <w:pPr>
              <w:widowControl w:val="0"/>
              <w:autoSpaceDE w:val="0"/>
              <w:autoSpaceDN w:val="0"/>
              <w:adjustRightInd w:val="0"/>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烘烤、移印工序使用集气罩收集，集气罩口加装围挡形成包围式收集，参考《广东省生态环境厅关于印发工业源挥发性有机物和氮氧化物减排量核算方法的通知》（粤环函〔2023〕538号）废气收集集气效率参考值，包围型集气设备四周围挡（偶有部分敞开）敞开面控制风速不小于0.3m/s的集气效率为50%，项目满足该集气设备的收集情况，敞开面最小控制风速为0.5m/s，因此集气效率取50%。</w:t>
            </w:r>
          </w:p>
          <w:p w14:paraId="14801685">
            <w:pPr>
              <w:keepNext w:val="0"/>
              <w:keepLines w:val="0"/>
              <w:suppressLineNumbers w:val="0"/>
              <w:wordWrap/>
              <w:adjustRightInd w:val="0"/>
              <w:snapToGrid w:val="0"/>
              <w:spacing w:before="0" w:beforeAutospacing="0" w:after="0" w:afterAutospacing="0"/>
              <w:ind w:left="0" w:right="0" w:firstLine="480" w:firstLineChars="200"/>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项目喷漆工序废气经水帘柜预处理后与烘烤、移印、密炼、硫化等工序废气收集至</w:t>
            </w:r>
            <w:r>
              <w:rPr>
                <w:rFonts w:hint="default" w:ascii="Times New Roman" w:hAnsi="Times New Roman" w:eastAsia="宋体" w:cs="Times New Roman"/>
                <w:color w:val="auto"/>
                <w:sz w:val="24"/>
                <w:szCs w:val="24"/>
                <w:u w:val="single"/>
              </w:rPr>
              <w:t>“水喷淋+干式过滤+二级活性炭吸附”装置</w:t>
            </w:r>
            <w:r>
              <w:rPr>
                <w:rFonts w:hint="default" w:ascii="Times New Roman" w:hAnsi="Times New Roman" w:cs="Times New Roman"/>
                <w:b w:val="0"/>
                <w:bCs w:val="0"/>
                <w:color w:val="auto"/>
                <w:sz w:val="24"/>
                <w:szCs w:val="24"/>
                <w:u w:val="single"/>
                <w:lang w:val="en-US" w:eastAsia="zh-CN"/>
              </w:rPr>
              <w:t>处理后引至排气筒DA001排放，排放风量为</w:t>
            </w:r>
            <w:r>
              <w:rPr>
                <w:rFonts w:hint="default" w:ascii="Times New Roman" w:hAnsi="Times New Roman" w:cs="Times New Roman"/>
                <w:b w:val="0"/>
                <w:bCs w:val="0"/>
                <w:color w:val="auto"/>
                <w:spacing w:val="0"/>
                <w:sz w:val="24"/>
                <w:szCs w:val="24"/>
                <w:u w:val="single"/>
                <w:lang w:val="en-US" w:eastAsia="zh-CN"/>
              </w:rPr>
              <w:t>16500</w:t>
            </w:r>
            <w:r>
              <w:rPr>
                <w:rFonts w:hint="default" w:ascii="Times New Roman" w:hAnsi="Times New Roman" w:eastAsia="宋体" w:cs="Times New Roman"/>
                <w:b w:val="0"/>
                <w:bCs w:val="0"/>
                <w:color w:val="auto"/>
                <w:spacing w:val="0"/>
                <w:sz w:val="24"/>
                <w:szCs w:val="24"/>
                <w:u w:val="single"/>
                <w:lang w:val="en-US" w:eastAsia="zh-CN"/>
              </w:rPr>
              <w:t>m</w:t>
            </w:r>
            <w:r>
              <w:rPr>
                <w:rFonts w:hint="default" w:ascii="Times New Roman" w:hAnsi="Times New Roman" w:eastAsia="宋体" w:cs="Times New Roman"/>
                <w:b w:val="0"/>
                <w:bCs w:val="0"/>
                <w:color w:val="auto"/>
                <w:spacing w:val="0"/>
                <w:sz w:val="24"/>
                <w:szCs w:val="24"/>
                <w:u w:val="single"/>
                <w:vertAlign w:val="superscript"/>
                <w:lang w:val="en-US" w:eastAsia="zh-CN"/>
              </w:rPr>
              <w:t>3</w:t>
            </w:r>
            <w:r>
              <w:rPr>
                <w:rFonts w:hint="default" w:ascii="Times New Roman" w:hAnsi="Times New Roman" w:eastAsia="宋体" w:cs="Times New Roman"/>
                <w:b w:val="0"/>
                <w:bCs w:val="0"/>
                <w:color w:val="auto"/>
                <w:spacing w:val="0"/>
                <w:sz w:val="24"/>
                <w:szCs w:val="24"/>
                <w:u w:val="single"/>
                <w:lang w:val="en-US" w:eastAsia="zh-CN"/>
              </w:rPr>
              <w:t>/h，排放高度为</w:t>
            </w:r>
            <w:r>
              <w:rPr>
                <w:rFonts w:hint="default" w:ascii="Times New Roman" w:hAnsi="Times New Roman" w:cs="Times New Roman"/>
                <w:b w:val="0"/>
                <w:bCs w:val="0"/>
                <w:color w:val="auto"/>
                <w:spacing w:val="0"/>
                <w:sz w:val="24"/>
                <w:szCs w:val="24"/>
                <w:u w:val="single"/>
                <w:lang w:val="en-US" w:eastAsia="zh-CN"/>
              </w:rPr>
              <w:t>54m</w:t>
            </w:r>
            <w:r>
              <w:rPr>
                <w:rFonts w:hint="default" w:ascii="Times New Roman" w:hAnsi="Times New Roman" w:eastAsia="宋体" w:cs="Times New Roman"/>
                <w:b w:val="0"/>
                <w:bCs w:val="0"/>
                <w:color w:val="auto"/>
                <w:spacing w:val="0"/>
                <w:sz w:val="24"/>
                <w:szCs w:val="24"/>
                <w:u w:val="single"/>
                <w:lang w:val="en-US" w:eastAsia="zh-CN"/>
              </w:rPr>
              <w:t>。</w:t>
            </w:r>
          </w:p>
          <w:p w14:paraId="06454739">
            <w:pPr>
              <w:keepNext w:val="0"/>
              <w:keepLines w:val="0"/>
              <w:suppressLineNumbers w:val="0"/>
              <w:wordWrap/>
              <w:adjustRightInd w:val="0"/>
              <w:snapToGrid w:val="0"/>
              <w:spacing w:before="0" w:beforeAutospacing="0" w:after="0" w:afterAutospacing="0"/>
              <w:ind w:left="0" w:right="0" w:firstLine="482" w:firstLineChars="200"/>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bCs/>
                <w:color w:val="auto"/>
                <w:sz w:val="24"/>
                <w:szCs w:val="24"/>
                <w:lang w:val="en-US" w:eastAsia="zh-CN"/>
              </w:rPr>
              <w:t>颗粒物去除效率：</w:t>
            </w:r>
            <w:r>
              <w:rPr>
                <w:rFonts w:hint="default" w:ascii="Times New Roman" w:hAnsi="Times New Roman" w:cs="Times New Roman"/>
                <w:b w:val="0"/>
                <w:bCs w:val="0"/>
                <w:color w:val="auto"/>
                <w:sz w:val="24"/>
                <w:szCs w:val="24"/>
                <w:lang w:val="en-US" w:eastAsia="zh-CN"/>
              </w:rPr>
              <w:t>参考《广东省家具制造业挥发性有机化合物废气治理技术指南》（广东省环境保护厅2014年12月22日发布，2015年1月1日实施）中喷漆室除漆雾去效率为95%以上，则水帘柜对漆雾（颗粒物）的去除效率为95%。</w:t>
            </w:r>
          </w:p>
          <w:p w14:paraId="63461B3D">
            <w:pPr>
              <w:keepNext w:val="0"/>
              <w:keepLines w:val="0"/>
              <w:suppressLineNumbers w:val="0"/>
              <w:wordWrap/>
              <w:spacing w:before="0" w:beforeAutospacing="0" w:after="0" w:afterAutospacing="0"/>
              <w:ind w:left="0" w:right="0" w:firstLine="482" w:firstLineChars="200"/>
              <w:rPr>
                <w:rFonts w:hint="default" w:ascii="Times New Roman" w:hAnsi="Times New Roman" w:eastAsia="宋体" w:cs="Times New Roman"/>
                <w:color w:val="auto"/>
                <w:sz w:val="24"/>
                <w:szCs w:val="24"/>
                <w:lang w:val="en-US" w:eastAsia="zh-CN"/>
              </w:rPr>
            </w:pPr>
            <w:r>
              <w:rPr>
                <w:rFonts w:hint="default" w:ascii="Times New Roman" w:hAnsi="Times New Roman" w:cs="Times New Roman"/>
                <w:b/>
                <w:bCs/>
                <w:color w:val="auto"/>
                <w:sz w:val="24"/>
                <w:szCs w:val="24"/>
                <w:lang w:val="en-US" w:eastAsia="zh-CN"/>
              </w:rPr>
              <w:t>VOCs去除效率：</w:t>
            </w:r>
            <w:r>
              <w:rPr>
                <w:rFonts w:hint="default" w:ascii="Times New Roman" w:hAnsi="Times New Roman" w:eastAsia="宋体" w:cs="Times New Roman"/>
                <w:color w:val="auto"/>
                <w:sz w:val="24"/>
                <w:szCs w:val="24"/>
              </w:rPr>
              <w:t>若有机废气温度较高直接进入吸附装置处理，会影响吸附效果，因此项目在吸附装置前设置水喷淋塔对有机废气进行降温至40°C以下，并使用干式过滤棉除去水分，使进入活性炭吸附装置的废气符合《广东省生态环境厅关于印发工业源挥发性有机物和氮氧化物减排量核算方法的通知》（粤环函〔2023〕538号）活性炭吸附技术“装置入口废气温度不高于40°C”的要求。</w:t>
            </w:r>
            <w:r>
              <w:rPr>
                <w:rFonts w:hint="default" w:ascii="Times New Roman" w:hAnsi="Times New Roman" w:eastAsia="宋体" w:cs="Times New Roman"/>
                <w:color w:val="auto"/>
                <w:sz w:val="24"/>
                <w:szCs w:val="24"/>
                <w:lang w:val="en-US" w:eastAsia="zh-CN"/>
              </w:rPr>
              <w:t>水喷淋和干式过滤仅起到降温和干燥的作用，不具有处理效率。</w:t>
            </w:r>
            <w:r>
              <w:rPr>
                <w:rFonts w:hint="default" w:ascii="Times New Roman" w:hAnsi="Times New Roman" w:cs="Times New Roman"/>
                <w:b w:val="0"/>
                <w:bCs w:val="0"/>
                <w:color w:val="auto"/>
                <w:sz w:val="24"/>
                <w:szCs w:val="24"/>
                <w:lang w:val="en-US" w:eastAsia="zh-CN"/>
              </w:rPr>
              <w:t>参考《广东省家具制造业挥发性有机化合物废气治理技术指南》（广东省环境保护厅2014年12月22日发布，2015年1月1日实施）的附件《广东省家具制造业挥发性有机化合物排放系数使用指南》中活性炭吸附治理效率50~80%，</w:t>
            </w:r>
            <w:r>
              <w:rPr>
                <w:rFonts w:hint="default" w:ascii="Times New Roman" w:hAnsi="Times New Roman" w:eastAsia="宋体" w:cs="Times New Roman"/>
                <w:color w:val="auto"/>
                <w:sz w:val="24"/>
                <w:szCs w:val="24"/>
                <w:lang w:val="en-US" w:eastAsia="zh-CN"/>
              </w:rPr>
              <w:t>项目单级处理效率按60%计，</w:t>
            </w:r>
            <w:r>
              <w:rPr>
                <w:rFonts w:hint="default" w:ascii="Times New Roman" w:hAnsi="Times New Roman" w:eastAsia="宋体" w:cs="Times New Roman"/>
                <w:color w:val="auto"/>
                <w:sz w:val="24"/>
                <w:szCs w:val="24"/>
              </w:rPr>
              <w:t>计算得出二级活性炭吸附装置处理效率为1-（1-</w:t>
            </w:r>
            <w:r>
              <w:rPr>
                <w:rFonts w:hint="default" w:ascii="Times New Roman" w:hAnsi="Times New Roman" w:eastAsia="宋体" w:cs="Times New Roman"/>
                <w:color w:val="auto"/>
                <w:sz w:val="24"/>
                <w:szCs w:val="24"/>
                <w:lang w:val="en-US" w:eastAsia="zh-CN"/>
              </w:rPr>
              <w:t>60</w:t>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60</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84</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废气产生浓度较低，二级活性炭吸附装置处理效果不明显，因此</w:t>
            </w: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val="en-US" w:eastAsia="zh-CN"/>
              </w:rPr>
              <w:t>喷漆、调漆、烘烤、移印工序废气处理效率按75%计算</w:t>
            </w:r>
            <w:r>
              <w:rPr>
                <w:rFonts w:hint="default" w:ascii="Times New Roman" w:hAnsi="Times New Roman" w:eastAsia="宋体" w:cs="Times New Roman"/>
                <w:color w:val="auto"/>
                <w:sz w:val="24"/>
                <w:szCs w:val="24"/>
              </w:rPr>
              <w:t>。</w:t>
            </w:r>
          </w:p>
          <w:p w14:paraId="18ECF207">
            <w:pPr>
              <w:keepNext w:val="0"/>
              <w:keepLines w:val="0"/>
              <w:suppressLineNumbers w:val="0"/>
              <w:wordWrap/>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val="en-US" w:eastAsia="zh-CN"/>
              </w:rPr>
              <w:t>排气筒DA00</w:t>
            </w:r>
            <w:r>
              <w:rPr>
                <w:rFonts w:hint="default" w:ascii="Times New Roman" w:hAnsi="Times New Roman" w:cs="Times New Roman"/>
                <w:color w:val="auto"/>
                <w:sz w:val="24"/>
                <w:szCs w:val="24"/>
                <w:lang w:val="en-US" w:eastAsia="zh-CN"/>
              </w:rPr>
              <w:t>1</w:t>
            </w:r>
            <w:r>
              <w:rPr>
                <w:rFonts w:hint="default" w:ascii="Times New Roman" w:hAnsi="Times New Roman" w:eastAsia="宋体" w:cs="Times New Roman"/>
                <w:color w:val="auto"/>
                <w:sz w:val="24"/>
                <w:szCs w:val="24"/>
              </w:rPr>
              <w:t>废气产排情况见下表：</w:t>
            </w:r>
          </w:p>
          <w:p w14:paraId="595FB715">
            <w:pPr>
              <w:keepNext w:val="0"/>
              <w:keepLines w:val="0"/>
              <w:numPr>
                <w:ilvl w:val="0"/>
                <w:numId w:val="0"/>
              </w:numPr>
              <w:suppressLineNumbers w:val="0"/>
              <w:tabs>
                <w:tab w:val="left" w:pos="0"/>
              </w:tabs>
              <w:wordWrap/>
              <w:spacing w:before="0" w:beforeAutospacing="0" w:after="0" w:afterAutospacing="0" w:line="240" w:lineRule="auto"/>
              <w:ind w:left="0" w:leftChars="0" w:right="0" w:rightChars="0" w:firstLine="420" w:firstLineChars="0"/>
              <w:jc w:val="center"/>
              <w:rPr>
                <w:rFonts w:hint="default" w:ascii="Times New Roman" w:hAnsi="Times New Roman" w:eastAsia="宋体" w:cs="Times New Roman"/>
                <w:b/>
                <w:color w:val="auto"/>
                <w:kern w:val="0"/>
                <w:sz w:val="24"/>
                <w:szCs w:val="24"/>
              </w:rPr>
            </w:pPr>
            <w:r>
              <w:rPr>
                <w:rFonts w:hint="default" w:ascii="Times New Roman" w:hAnsi="Times New Roman" w:eastAsia="宋体" w:cs="Times New Roman"/>
                <w:b/>
                <w:color w:val="auto"/>
                <w:kern w:val="0"/>
                <w:sz w:val="24"/>
                <w:szCs w:val="24"/>
                <w:lang w:val="en-US" w:eastAsia="zh-CN" w:bidi="ar-SA"/>
              </w:rPr>
              <w:t>表4-</w:t>
            </w:r>
            <w:r>
              <w:rPr>
                <w:rFonts w:hint="default" w:ascii="Times New Roman" w:hAnsi="Times New Roman" w:cs="Times New Roman"/>
                <w:b/>
                <w:color w:val="auto"/>
                <w:kern w:val="0"/>
                <w:sz w:val="24"/>
                <w:szCs w:val="24"/>
                <w:lang w:val="en-US" w:eastAsia="zh-CN" w:bidi="ar-SA"/>
              </w:rPr>
              <w:t>3</w:t>
            </w:r>
            <w:r>
              <w:rPr>
                <w:rFonts w:hint="default" w:ascii="Times New Roman" w:hAnsi="Times New Roman" w:eastAsia="宋体" w:cs="Times New Roman"/>
                <w:b/>
                <w:color w:val="auto"/>
                <w:kern w:val="0"/>
                <w:sz w:val="24"/>
                <w:szCs w:val="24"/>
              </w:rPr>
              <w:t xml:space="preserve"> 项目</w:t>
            </w:r>
            <w:r>
              <w:rPr>
                <w:rFonts w:hint="default" w:ascii="Times New Roman" w:hAnsi="Times New Roman" w:eastAsia="宋体" w:cs="Times New Roman"/>
                <w:b/>
                <w:color w:val="auto"/>
                <w:kern w:val="0"/>
                <w:sz w:val="24"/>
                <w:szCs w:val="24"/>
                <w:lang w:val="en-US" w:eastAsia="zh-CN"/>
              </w:rPr>
              <w:t>排气筒DA00</w:t>
            </w:r>
            <w:r>
              <w:rPr>
                <w:rFonts w:hint="default" w:ascii="Times New Roman" w:hAnsi="Times New Roman" w:cs="Times New Roman"/>
                <w:b/>
                <w:color w:val="auto"/>
                <w:kern w:val="0"/>
                <w:sz w:val="24"/>
                <w:szCs w:val="24"/>
                <w:lang w:val="en-US" w:eastAsia="zh-CN"/>
              </w:rPr>
              <w:t>1</w:t>
            </w:r>
            <w:r>
              <w:rPr>
                <w:rFonts w:hint="default" w:ascii="Times New Roman" w:hAnsi="Times New Roman" w:eastAsia="宋体" w:cs="Times New Roman"/>
                <w:b/>
                <w:color w:val="auto"/>
                <w:kern w:val="0"/>
                <w:sz w:val="24"/>
                <w:szCs w:val="24"/>
              </w:rPr>
              <w:t>废气产排情况一览表</w:t>
            </w:r>
          </w:p>
          <w:tbl>
            <w:tblPr>
              <w:tblStyle w:val="22"/>
              <w:tblW w:w="84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9"/>
              <w:gridCol w:w="600"/>
              <w:gridCol w:w="477"/>
              <w:gridCol w:w="589"/>
              <w:gridCol w:w="680"/>
              <w:gridCol w:w="680"/>
              <w:gridCol w:w="881"/>
              <w:gridCol w:w="939"/>
              <w:gridCol w:w="673"/>
              <w:gridCol w:w="714"/>
              <w:gridCol w:w="867"/>
              <w:gridCol w:w="795"/>
            </w:tblGrid>
            <w:tr w14:paraId="6A8AC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DC95FE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w:t>
                  </w:r>
                </w:p>
                <w:p w14:paraId="4BA6983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方式</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0DE9FD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排气筒编号</w:t>
                  </w:r>
                </w:p>
              </w:tc>
              <w:tc>
                <w:tcPr>
                  <w:tcW w:w="47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716A3C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污染源</w:t>
                  </w:r>
                </w:p>
              </w:tc>
              <w:tc>
                <w:tcPr>
                  <w:tcW w:w="58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F7E231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9DBDA2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收集效率</w:t>
                  </w:r>
                  <w:r>
                    <w:rPr>
                      <w:rFonts w:hint="default" w:ascii="Times New Roman" w:hAnsi="Times New Roman" w:eastAsia="宋体" w:cs="Times New Roman"/>
                      <w:b/>
                      <w:color w:val="auto"/>
                      <w:sz w:val="21"/>
                      <w:szCs w:val="21"/>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3ED301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产生量（t/a）</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5BA6C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产生速率（kg/h）</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60C79B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产生浓度（mg/m</w:t>
                  </w:r>
                  <w:r>
                    <w:rPr>
                      <w:rFonts w:hint="default" w:ascii="Times New Roman" w:hAnsi="Times New Roman" w:eastAsia="宋体" w:cs="Times New Roman"/>
                      <w:b/>
                      <w:color w:val="auto"/>
                      <w:sz w:val="21"/>
                      <w:szCs w:val="21"/>
                      <w:vertAlign w:val="superscript"/>
                    </w:rPr>
                    <w:t>3</w:t>
                  </w:r>
                  <w:r>
                    <w:rPr>
                      <w:rFonts w:hint="default" w:ascii="Times New Roman" w:hAnsi="Times New Roman" w:eastAsia="宋体" w:cs="Times New Roman"/>
                      <w:b/>
                      <w:color w:val="auto"/>
                      <w:sz w:val="21"/>
                      <w:szCs w:val="21"/>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6B3950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处理效率（%）</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0DAE0C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排放量（t/a）</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D6871A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排放速率（kg/h）</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6839D0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排放浓度（mg/m</w:t>
                  </w:r>
                  <w:r>
                    <w:rPr>
                      <w:rFonts w:hint="default" w:ascii="Times New Roman" w:hAnsi="Times New Roman" w:eastAsia="宋体" w:cs="Times New Roman"/>
                      <w:b/>
                      <w:color w:val="auto"/>
                      <w:sz w:val="21"/>
                      <w:szCs w:val="21"/>
                      <w:vertAlign w:val="superscript"/>
                    </w:rPr>
                    <w:t>3</w:t>
                  </w:r>
                  <w:r>
                    <w:rPr>
                      <w:rFonts w:hint="default" w:ascii="Times New Roman" w:hAnsi="Times New Roman" w:eastAsia="宋体" w:cs="Times New Roman"/>
                      <w:b/>
                      <w:color w:val="auto"/>
                      <w:sz w:val="21"/>
                      <w:szCs w:val="21"/>
                    </w:rPr>
                    <w:t>）</w:t>
                  </w:r>
                </w:p>
              </w:tc>
            </w:tr>
            <w:tr w14:paraId="6704B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27746E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E49626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DA00</w:t>
                  </w:r>
                  <w:r>
                    <w:rPr>
                      <w:rFonts w:hint="default" w:ascii="Times New Roman" w:hAnsi="Times New Roman" w:cs="Times New Roman"/>
                      <w:bCs/>
                      <w:color w:val="auto"/>
                      <w:sz w:val="21"/>
                      <w:szCs w:val="21"/>
                      <w:lang w:val="en-US" w:eastAsia="zh-CN"/>
                    </w:rPr>
                    <w:t>1</w:t>
                  </w:r>
                </w:p>
              </w:tc>
              <w:tc>
                <w:tcPr>
                  <w:tcW w:w="477"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761774F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喷漆</w:t>
                  </w:r>
                </w:p>
              </w:tc>
              <w:tc>
                <w:tcPr>
                  <w:tcW w:w="589"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2290D01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漆雾（颗粒物）</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726ED5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90</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340851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1.247</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000FDC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0.26</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50EB5C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15.7</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CB21DC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95</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D1E6CA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0.062</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D56324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0.0129</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18703B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0.78</w:t>
                  </w:r>
                </w:p>
              </w:tc>
            </w:tr>
            <w:tr w14:paraId="7605F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79D9DE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D756DD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7" w:type="dxa"/>
                  <w:vMerge w:val="continue"/>
                  <w:tcBorders>
                    <w:left w:val="single" w:color="auto" w:sz="4" w:space="0"/>
                    <w:right w:val="single" w:color="auto" w:sz="4" w:space="0"/>
                  </w:tcBorders>
                  <w:noWrap w:val="0"/>
                  <w:tcMar>
                    <w:left w:w="28" w:type="dxa"/>
                    <w:right w:w="28" w:type="dxa"/>
                  </w:tcMar>
                  <w:vAlign w:val="center"/>
                </w:tcPr>
                <w:p w14:paraId="04E6102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2AC91E9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D29F28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EF47D2F">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0.139</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B70EF2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0.029</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BEC98B2">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083DF3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A86FDD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0.139</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F31AE8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0.029</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EF3C5F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w:t>
                  </w:r>
                </w:p>
              </w:tc>
            </w:tr>
            <w:tr w14:paraId="4487E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199"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7F535F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7" w:type="dxa"/>
                  <w:vMerge w:val="continue"/>
                  <w:tcBorders>
                    <w:left w:val="single" w:color="auto" w:sz="4" w:space="0"/>
                    <w:right w:val="single" w:color="auto" w:sz="4" w:space="0"/>
                  </w:tcBorders>
                  <w:noWrap w:val="0"/>
                  <w:tcMar>
                    <w:left w:w="28" w:type="dxa"/>
                    <w:right w:w="28" w:type="dxa"/>
                  </w:tcMar>
                  <w:vAlign w:val="center"/>
                </w:tcPr>
                <w:p w14:paraId="30CDB572">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167DE14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582ED3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D27941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1.386</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EC9286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0.289</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A7B5F1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3FF096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69D4BB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0.201</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3F154F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0.0419</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647FF5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r>
            <w:tr w14:paraId="420D0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783F4F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4BDDBA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DA00</w:t>
                  </w:r>
                  <w:r>
                    <w:rPr>
                      <w:rFonts w:hint="default" w:ascii="Times New Roman" w:hAnsi="Times New Roman" w:cs="Times New Roman"/>
                      <w:bCs/>
                      <w:color w:val="auto"/>
                      <w:sz w:val="21"/>
                      <w:szCs w:val="21"/>
                      <w:lang w:val="en-US" w:eastAsia="zh-CN"/>
                    </w:rPr>
                    <w:t>1</w:t>
                  </w:r>
                </w:p>
              </w:tc>
              <w:tc>
                <w:tcPr>
                  <w:tcW w:w="477" w:type="dxa"/>
                  <w:vMerge w:val="continue"/>
                  <w:tcBorders>
                    <w:left w:val="single" w:color="auto" w:sz="4" w:space="0"/>
                    <w:right w:val="single" w:color="auto" w:sz="4" w:space="0"/>
                  </w:tcBorders>
                  <w:noWrap w:val="0"/>
                  <w:tcMar>
                    <w:left w:w="28" w:type="dxa"/>
                    <w:right w:w="28" w:type="dxa"/>
                  </w:tcMar>
                  <w:vAlign w:val="center"/>
                </w:tcPr>
                <w:p w14:paraId="6526084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p>
              </w:tc>
              <w:tc>
                <w:tcPr>
                  <w:tcW w:w="589"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0404E0D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VOCs</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359948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90</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4E98F62">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0.095</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7C5780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0.0198</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345B3B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1.2</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2BF233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112F72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0.024</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3656DA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0.005</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B4007C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0.303</w:t>
                  </w:r>
                </w:p>
              </w:tc>
            </w:tr>
            <w:tr w14:paraId="327E2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205FCF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3AD37F2">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7" w:type="dxa"/>
                  <w:vMerge w:val="continue"/>
                  <w:tcBorders>
                    <w:left w:val="single" w:color="auto" w:sz="4" w:space="0"/>
                    <w:right w:val="single" w:color="auto" w:sz="4" w:space="0"/>
                  </w:tcBorders>
                  <w:noWrap w:val="0"/>
                  <w:tcMar>
                    <w:left w:w="28" w:type="dxa"/>
                    <w:right w:w="28" w:type="dxa"/>
                  </w:tcMar>
                  <w:vAlign w:val="center"/>
                </w:tcPr>
                <w:p w14:paraId="2CB8E87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5A76D15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5BE7BC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1C9FEF2">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0.011</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78C2BB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0.0023</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ED54E2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60FBCB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CDD3F0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0.011</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85F588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0.0023</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195533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w:t>
                  </w:r>
                </w:p>
              </w:tc>
            </w:tr>
            <w:tr w14:paraId="7CD59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199"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0A8327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7" w:type="dxa"/>
                  <w:vMerge w:val="continue"/>
                  <w:tcBorders>
                    <w:left w:val="single" w:color="auto" w:sz="4" w:space="0"/>
                    <w:right w:val="single" w:color="auto" w:sz="4" w:space="0"/>
                  </w:tcBorders>
                  <w:noWrap w:val="0"/>
                  <w:tcMar>
                    <w:left w:w="28" w:type="dxa"/>
                    <w:right w:w="28" w:type="dxa"/>
                  </w:tcMar>
                  <w:vAlign w:val="center"/>
                </w:tcPr>
                <w:p w14:paraId="7F0F7C9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0E19BE1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749E67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35E4B8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0.106</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22398F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0.0221</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AE780D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248B76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FA205D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0.035</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B1E7E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0.0073</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DFFBB9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r>
            <w:tr w14:paraId="421C9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3FEA18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30407F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DA00</w:t>
                  </w:r>
                  <w:r>
                    <w:rPr>
                      <w:rFonts w:hint="default" w:ascii="Times New Roman" w:hAnsi="Times New Roman" w:cs="Times New Roman"/>
                      <w:bCs/>
                      <w:color w:val="auto"/>
                      <w:sz w:val="21"/>
                      <w:szCs w:val="21"/>
                      <w:lang w:val="en-US" w:eastAsia="zh-CN"/>
                    </w:rPr>
                    <w:t>1</w:t>
                  </w:r>
                </w:p>
              </w:tc>
              <w:tc>
                <w:tcPr>
                  <w:tcW w:w="477" w:type="dxa"/>
                  <w:vMerge w:val="restart"/>
                  <w:tcBorders>
                    <w:left w:val="single" w:color="auto" w:sz="4" w:space="0"/>
                    <w:right w:val="single" w:color="auto" w:sz="4" w:space="0"/>
                  </w:tcBorders>
                  <w:noWrap w:val="0"/>
                  <w:tcMar>
                    <w:left w:w="28" w:type="dxa"/>
                    <w:right w:w="28" w:type="dxa"/>
                  </w:tcMar>
                  <w:vAlign w:val="center"/>
                </w:tcPr>
                <w:p w14:paraId="77FE258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调漆</w:t>
                  </w:r>
                </w:p>
              </w:tc>
              <w:tc>
                <w:tcPr>
                  <w:tcW w:w="589" w:type="dxa"/>
                  <w:vMerge w:val="restart"/>
                  <w:tcBorders>
                    <w:left w:val="single" w:color="auto" w:sz="4" w:space="0"/>
                    <w:right w:val="single" w:color="auto" w:sz="4" w:space="0"/>
                  </w:tcBorders>
                  <w:noWrap w:val="0"/>
                  <w:tcMar>
                    <w:left w:w="28" w:type="dxa"/>
                    <w:right w:w="28" w:type="dxa"/>
                  </w:tcMar>
                  <w:vAlign w:val="center"/>
                </w:tcPr>
                <w:p w14:paraId="475DDFA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VOCs</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3BF278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90</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5392F8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0.0315</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D8E62D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0.0066</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C15A95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0.4</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A5107C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2EE9A8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0.0079</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460C54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0.0016</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7C93E6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0.097</w:t>
                  </w:r>
                </w:p>
              </w:tc>
            </w:tr>
            <w:tr w14:paraId="2800F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34369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9718B9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7" w:type="dxa"/>
                  <w:vMerge w:val="continue"/>
                  <w:tcBorders>
                    <w:left w:val="single" w:color="auto" w:sz="4" w:space="0"/>
                    <w:right w:val="single" w:color="auto" w:sz="4" w:space="0"/>
                  </w:tcBorders>
                  <w:noWrap w:val="0"/>
                  <w:tcMar>
                    <w:left w:w="28" w:type="dxa"/>
                    <w:right w:w="28" w:type="dxa"/>
                  </w:tcMar>
                  <w:vAlign w:val="center"/>
                </w:tcPr>
                <w:p w14:paraId="0845DAFF">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678699C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6002EE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03CFCE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0.0035</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EF0A7F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0.0007</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2BC5B9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D235E7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DDF728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0.0035</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EA536B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0.0007</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0AF5AA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w:t>
                  </w:r>
                </w:p>
              </w:tc>
            </w:tr>
            <w:tr w14:paraId="4DEF2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199"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3BC419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7" w:type="dxa"/>
                  <w:vMerge w:val="continue"/>
                  <w:tcBorders>
                    <w:left w:val="single" w:color="auto" w:sz="4" w:space="0"/>
                    <w:right w:val="single" w:color="auto" w:sz="4" w:space="0"/>
                  </w:tcBorders>
                  <w:noWrap w:val="0"/>
                  <w:tcMar>
                    <w:left w:w="28" w:type="dxa"/>
                    <w:right w:w="28" w:type="dxa"/>
                  </w:tcMar>
                  <w:vAlign w:val="center"/>
                </w:tcPr>
                <w:p w14:paraId="1674718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471EEFB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80D7AE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0FAD93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0.035</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77A78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0.0073</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5B4300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264235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180B1F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0.0114</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FE1B112">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0.0023</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1D5A6E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r>
            <w:tr w14:paraId="27CE2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C47E7A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342CFE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DA00</w:t>
                  </w:r>
                  <w:r>
                    <w:rPr>
                      <w:rFonts w:hint="default" w:ascii="Times New Roman" w:hAnsi="Times New Roman" w:cs="Times New Roman"/>
                      <w:bCs/>
                      <w:color w:val="auto"/>
                      <w:sz w:val="21"/>
                      <w:szCs w:val="21"/>
                      <w:lang w:val="en-US" w:eastAsia="zh-CN"/>
                    </w:rPr>
                    <w:t>1</w:t>
                  </w:r>
                </w:p>
              </w:tc>
              <w:tc>
                <w:tcPr>
                  <w:tcW w:w="477"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1F08E44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烘烤</w:t>
                  </w:r>
                </w:p>
              </w:tc>
              <w:tc>
                <w:tcPr>
                  <w:tcW w:w="589"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3E591E8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VOCs</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0E81A6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240758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0.106</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EEAA43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0.022</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F826A2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1.33</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197551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6DB5EE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0.0265</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0C7637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0.0055</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A03C2B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0.33</w:t>
                  </w:r>
                </w:p>
              </w:tc>
            </w:tr>
            <w:tr w14:paraId="058FB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AF3789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0E894F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7" w:type="dxa"/>
                  <w:vMerge w:val="continue"/>
                  <w:tcBorders>
                    <w:left w:val="single" w:color="auto" w:sz="4" w:space="0"/>
                    <w:right w:val="single" w:color="auto" w:sz="4" w:space="0"/>
                  </w:tcBorders>
                  <w:noWrap w:val="0"/>
                  <w:tcMar>
                    <w:left w:w="28" w:type="dxa"/>
                    <w:right w:w="28" w:type="dxa"/>
                  </w:tcMar>
                  <w:vAlign w:val="center"/>
                </w:tcPr>
                <w:p w14:paraId="6CE35B6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1F85D55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E9C86F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812809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0.106</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E0809F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0.022</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691226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90A3BF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1EAABC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0.106</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0D1D91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0.022</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E975E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w:t>
                  </w:r>
                </w:p>
              </w:tc>
            </w:tr>
            <w:tr w14:paraId="055D2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199"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2FCBD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7" w:type="dxa"/>
                  <w:vMerge w:val="continue"/>
                  <w:tcBorders>
                    <w:left w:val="single" w:color="auto" w:sz="4" w:space="0"/>
                    <w:right w:val="single" w:color="auto" w:sz="4" w:space="0"/>
                  </w:tcBorders>
                  <w:noWrap w:val="0"/>
                  <w:tcMar>
                    <w:left w:w="28" w:type="dxa"/>
                    <w:right w:w="28" w:type="dxa"/>
                  </w:tcMar>
                  <w:vAlign w:val="center"/>
                </w:tcPr>
                <w:p w14:paraId="06BEA7A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43D6791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EA8A19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A81E2B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0.212</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4EEBD8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0.044</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05D2D1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FD388B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536661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0.1325</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C091C62">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0.0275</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B48B39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r>
            <w:tr w14:paraId="4C002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391F65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40E5ED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DA00</w:t>
                  </w:r>
                  <w:r>
                    <w:rPr>
                      <w:rFonts w:hint="default" w:ascii="Times New Roman" w:hAnsi="Times New Roman" w:cs="Times New Roman"/>
                      <w:bCs/>
                      <w:color w:val="auto"/>
                      <w:sz w:val="21"/>
                      <w:szCs w:val="21"/>
                      <w:lang w:val="en-US" w:eastAsia="zh-CN"/>
                    </w:rPr>
                    <w:t>1</w:t>
                  </w:r>
                </w:p>
              </w:tc>
              <w:tc>
                <w:tcPr>
                  <w:tcW w:w="477"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220045C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移印</w:t>
                  </w:r>
                </w:p>
              </w:tc>
              <w:tc>
                <w:tcPr>
                  <w:tcW w:w="589"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32B92B7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VOCs</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796BDF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7CCECB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0.0115</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F1D64F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0.0024</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822233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0.084</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DC916D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D56AA52">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0.0029</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158333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0.0006</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0D2841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0.21</w:t>
                  </w:r>
                </w:p>
              </w:tc>
            </w:tr>
            <w:tr w14:paraId="63B7F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A65AB2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0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04AD11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7" w:type="dxa"/>
                  <w:vMerge w:val="continue"/>
                  <w:tcBorders>
                    <w:left w:val="single" w:color="auto" w:sz="4" w:space="0"/>
                    <w:right w:val="single" w:color="auto" w:sz="4" w:space="0"/>
                  </w:tcBorders>
                  <w:noWrap w:val="0"/>
                  <w:tcMar>
                    <w:left w:w="28" w:type="dxa"/>
                    <w:right w:w="28" w:type="dxa"/>
                  </w:tcMar>
                  <w:vAlign w:val="center"/>
                </w:tcPr>
                <w:p w14:paraId="4740CA5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29CDCC6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65B12E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3C707A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0.0115</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11CF8B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0.0024</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FC8B7D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7CDA1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E4DAE5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0.0115</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AA86F3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0.0024</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6D638D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w:t>
                  </w:r>
                </w:p>
              </w:tc>
            </w:tr>
            <w:tr w14:paraId="3C418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199"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6C6F4A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7" w:type="dxa"/>
                  <w:vMerge w:val="continue"/>
                  <w:tcBorders>
                    <w:left w:val="single" w:color="auto" w:sz="4" w:space="0"/>
                    <w:right w:val="single" w:color="auto" w:sz="4" w:space="0"/>
                  </w:tcBorders>
                  <w:noWrap w:val="0"/>
                  <w:tcMar>
                    <w:left w:w="28" w:type="dxa"/>
                    <w:right w:w="28" w:type="dxa"/>
                  </w:tcMar>
                  <w:vAlign w:val="center"/>
                </w:tcPr>
                <w:p w14:paraId="45F0FCC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50DDD68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8A62FD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C04D94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0.023</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066A2C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0.0048</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AE5081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6FD0FD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FB8432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0.0144</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F875F02">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0.003</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BE196D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r>
            <w:tr w14:paraId="48041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9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0A0F17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0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9B71CA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DA00</w:t>
                  </w:r>
                  <w:r>
                    <w:rPr>
                      <w:rFonts w:hint="default" w:ascii="Times New Roman" w:hAnsi="Times New Roman" w:cs="Times New Roman"/>
                      <w:bCs/>
                      <w:color w:val="auto"/>
                      <w:sz w:val="21"/>
                      <w:szCs w:val="21"/>
                      <w:lang w:val="en-US" w:eastAsia="zh-CN"/>
                    </w:rPr>
                    <w:t>1</w:t>
                  </w:r>
                </w:p>
              </w:tc>
              <w:tc>
                <w:tcPr>
                  <w:tcW w:w="477" w:type="dxa"/>
                  <w:vMerge w:val="restart"/>
                  <w:tcBorders>
                    <w:left w:val="single" w:color="auto" w:sz="4" w:space="0"/>
                    <w:right w:val="single" w:color="auto" w:sz="4" w:space="0"/>
                  </w:tcBorders>
                  <w:noWrap w:val="0"/>
                  <w:tcMar>
                    <w:left w:w="28" w:type="dxa"/>
                    <w:right w:w="28" w:type="dxa"/>
                  </w:tcMar>
                  <w:vAlign w:val="center"/>
                </w:tcPr>
                <w:p w14:paraId="3DE1FF3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cs="Times New Roman"/>
                      <w:bCs/>
                      <w:color w:val="auto"/>
                      <w:sz w:val="21"/>
                      <w:szCs w:val="21"/>
                      <w:lang w:val="en-US" w:eastAsia="zh-CN" w:bidi="ar"/>
                    </w:rPr>
                    <w:t>密炼</w:t>
                  </w:r>
                </w:p>
              </w:tc>
              <w:tc>
                <w:tcPr>
                  <w:tcW w:w="589" w:type="dxa"/>
                  <w:vMerge w:val="restart"/>
                  <w:tcBorders>
                    <w:left w:val="single" w:color="auto" w:sz="4" w:space="0"/>
                    <w:right w:val="single" w:color="auto" w:sz="4" w:space="0"/>
                  </w:tcBorders>
                  <w:noWrap w:val="0"/>
                  <w:tcMar>
                    <w:left w:w="28" w:type="dxa"/>
                    <w:right w:w="28" w:type="dxa"/>
                  </w:tcMar>
                  <w:vAlign w:val="center"/>
                </w:tcPr>
                <w:p w14:paraId="50AC33F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val="en-US" w:eastAsia="zh-CN"/>
                    </w:rPr>
                    <w:t>非甲烷总烃</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EC2535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50</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0F7A74F">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0.0425</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80142FF">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0.0089</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A30D35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0.539</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ABF487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75</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AC9CB2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0.0106</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010BF8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0.0022</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B34E4C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0.133</w:t>
                  </w:r>
                </w:p>
              </w:tc>
            </w:tr>
            <w:tr w14:paraId="4C725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9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9C9CF8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0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5135A9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7" w:type="dxa"/>
                  <w:vMerge w:val="continue"/>
                  <w:tcBorders>
                    <w:left w:val="single" w:color="auto" w:sz="4" w:space="0"/>
                    <w:right w:val="single" w:color="auto" w:sz="4" w:space="0"/>
                  </w:tcBorders>
                  <w:noWrap w:val="0"/>
                  <w:tcMar>
                    <w:left w:w="28" w:type="dxa"/>
                    <w:right w:w="28" w:type="dxa"/>
                  </w:tcMar>
                  <w:vAlign w:val="center"/>
                </w:tcPr>
                <w:p w14:paraId="213C364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7B12704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69D468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FD2A6E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0.0425</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0103C5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0.0089</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65B996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F15BDB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52A35A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0.0425</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17E2C4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0.0089</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CBCE45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r>
            <w:tr w14:paraId="70260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199"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10BC14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7" w:type="dxa"/>
                  <w:vMerge w:val="continue"/>
                  <w:tcBorders>
                    <w:left w:val="single" w:color="auto" w:sz="4" w:space="0"/>
                    <w:right w:val="single" w:color="auto" w:sz="4" w:space="0"/>
                  </w:tcBorders>
                  <w:noWrap w:val="0"/>
                  <w:tcMar>
                    <w:left w:w="28" w:type="dxa"/>
                    <w:right w:w="28" w:type="dxa"/>
                  </w:tcMar>
                  <w:vAlign w:val="center"/>
                </w:tcPr>
                <w:p w14:paraId="1279BDD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5899278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F9B2D4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E82FDD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0.085</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07C190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0.0178</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7E6471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31F799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3182A32">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0.0531</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964E21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0.0111</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ECE345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r>
            <w:tr w14:paraId="32574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9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9E4171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0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A5DE2E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DA00</w:t>
                  </w:r>
                  <w:r>
                    <w:rPr>
                      <w:rFonts w:hint="default" w:ascii="Times New Roman" w:hAnsi="Times New Roman" w:cs="Times New Roman"/>
                      <w:bCs/>
                      <w:color w:val="auto"/>
                      <w:sz w:val="21"/>
                      <w:szCs w:val="21"/>
                      <w:lang w:val="en-US" w:eastAsia="zh-CN"/>
                    </w:rPr>
                    <w:t>1</w:t>
                  </w:r>
                </w:p>
              </w:tc>
              <w:tc>
                <w:tcPr>
                  <w:tcW w:w="477" w:type="dxa"/>
                  <w:vMerge w:val="restart"/>
                  <w:tcBorders>
                    <w:left w:val="single" w:color="auto" w:sz="4" w:space="0"/>
                    <w:right w:val="single" w:color="auto" w:sz="4" w:space="0"/>
                  </w:tcBorders>
                  <w:noWrap w:val="0"/>
                  <w:tcMar>
                    <w:left w:w="28" w:type="dxa"/>
                    <w:right w:w="28" w:type="dxa"/>
                  </w:tcMar>
                  <w:vAlign w:val="center"/>
                </w:tcPr>
                <w:p w14:paraId="461C9F5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cs="Times New Roman"/>
                      <w:bCs/>
                      <w:color w:val="auto"/>
                      <w:sz w:val="21"/>
                      <w:szCs w:val="21"/>
                      <w:lang w:val="en-US" w:eastAsia="zh-CN" w:bidi="ar"/>
                    </w:rPr>
                    <w:t>硫化</w:t>
                  </w:r>
                </w:p>
              </w:tc>
              <w:tc>
                <w:tcPr>
                  <w:tcW w:w="589" w:type="dxa"/>
                  <w:vMerge w:val="restart"/>
                  <w:tcBorders>
                    <w:left w:val="single" w:color="auto" w:sz="4" w:space="0"/>
                    <w:right w:val="single" w:color="auto" w:sz="4" w:space="0"/>
                  </w:tcBorders>
                  <w:noWrap w:val="0"/>
                  <w:tcMar>
                    <w:left w:w="28" w:type="dxa"/>
                    <w:right w:w="28" w:type="dxa"/>
                  </w:tcMar>
                  <w:vAlign w:val="center"/>
                </w:tcPr>
                <w:p w14:paraId="5AA59EF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val="en-US" w:eastAsia="zh-CN"/>
                    </w:rPr>
                    <w:t>非甲烷总烃</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6C7B2E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50</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AAFD42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0.046</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3ECDA1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0.0096</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E23572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0.582</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D49326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75</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FB7B36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0.0115</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7D30DC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0.0024</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51FEF6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0.145</w:t>
                  </w:r>
                </w:p>
              </w:tc>
            </w:tr>
            <w:tr w14:paraId="2F507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9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02DADA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0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63F502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7" w:type="dxa"/>
                  <w:vMerge w:val="continue"/>
                  <w:tcBorders>
                    <w:left w:val="single" w:color="auto" w:sz="4" w:space="0"/>
                    <w:right w:val="single" w:color="auto" w:sz="4" w:space="0"/>
                  </w:tcBorders>
                  <w:noWrap w:val="0"/>
                  <w:tcMar>
                    <w:left w:w="28" w:type="dxa"/>
                    <w:right w:w="28" w:type="dxa"/>
                  </w:tcMar>
                  <w:vAlign w:val="center"/>
                </w:tcPr>
                <w:p w14:paraId="120D1E6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701C439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951448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924599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0.046</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1BF648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0.0096</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337AB1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96613F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5A999F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0.046</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B97886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0.0096</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A98744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r>
            <w:tr w14:paraId="731FA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199"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3286C1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7" w:type="dxa"/>
                  <w:vMerge w:val="continue"/>
                  <w:tcBorders>
                    <w:left w:val="single" w:color="auto" w:sz="4" w:space="0"/>
                    <w:right w:val="single" w:color="auto" w:sz="4" w:space="0"/>
                  </w:tcBorders>
                  <w:noWrap w:val="0"/>
                  <w:tcMar>
                    <w:left w:w="28" w:type="dxa"/>
                    <w:right w:w="28" w:type="dxa"/>
                  </w:tcMar>
                  <w:vAlign w:val="center"/>
                </w:tcPr>
                <w:p w14:paraId="7C84ACE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p>
              </w:tc>
              <w:tc>
                <w:tcPr>
                  <w:tcW w:w="589" w:type="dxa"/>
                  <w:vMerge w:val="continue"/>
                  <w:tcBorders>
                    <w:left w:val="single" w:color="auto" w:sz="4" w:space="0"/>
                    <w:right w:val="single" w:color="auto" w:sz="4" w:space="0"/>
                  </w:tcBorders>
                  <w:noWrap w:val="0"/>
                  <w:tcMar>
                    <w:left w:w="28" w:type="dxa"/>
                    <w:right w:w="28" w:type="dxa"/>
                  </w:tcMar>
                  <w:vAlign w:val="center"/>
                </w:tcPr>
                <w:p w14:paraId="3E2EC0E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rPr>
                  </w:pP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A47B97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6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B49306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0.092</w:t>
                  </w:r>
                </w:p>
              </w:tc>
              <w:tc>
                <w:tcPr>
                  <w:tcW w:w="8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A7E292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0.0192</w:t>
                  </w:r>
                </w:p>
              </w:tc>
              <w:tc>
                <w:tcPr>
                  <w:tcW w:w="9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A46459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67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696C7B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7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C0F779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0.0575</w:t>
                  </w:r>
                </w:p>
              </w:tc>
              <w:tc>
                <w:tcPr>
                  <w:tcW w:w="86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8C167F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0.012</w:t>
                  </w:r>
                </w:p>
              </w:tc>
              <w:tc>
                <w:tcPr>
                  <w:tcW w:w="795"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809544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r>
          </w:tbl>
          <w:p w14:paraId="65D7F51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bCs w:val="0"/>
                <w:color w:val="auto"/>
                <w:spacing w:val="0"/>
                <w:kern w:val="21"/>
                <w:sz w:val="24"/>
                <w:szCs w:val="24"/>
                <w:lang w:val="en-US" w:eastAsia="zh-CN"/>
              </w:rPr>
            </w:pPr>
            <w:r>
              <w:rPr>
                <w:rFonts w:hint="default" w:ascii="Times New Roman" w:hAnsi="Times New Roman" w:cs="Times New Roman"/>
                <w:b/>
                <w:bCs w:val="0"/>
                <w:color w:val="auto"/>
                <w:spacing w:val="0"/>
                <w:kern w:val="21"/>
                <w:sz w:val="24"/>
                <w:szCs w:val="24"/>
                <w:lang w:val="en-US" w:eastAsia="zh-CN"/>
              </w:rPr>
              <w:t>2）</w:t>
            </w:r>
            <w:r>
              <w:rPr>
                <w:rFonts w:hint="default" w:ascii="Times New Roman" w:hAnsi="Times New Roman" w:eastAsia="宋体" w:cs="Times New Roman"/>
                <w:b/>
                <w:bCs w:val="0"/>
                <w:color w:val="auto"/>
                <w:spacing w:val="0"/>
                <w:kern w:val="21"/>
                <w:sz w:val="24"/>
                <w:szCs w:val="24"/>
                <w:lang w:val="en-US" w:eastAsia="zh-CN"/>
              </w:rPr>
              <w:t>排气筒DA00</w:t>
            </w:r>
            <w:r>
              <w:rPr>
                <w:rFonts w:hint="default" w:ascii="Times New Roman" w:hAnsi="Times New Roman" w:cs="Times New Roman"/>
                <w:b/>
                <w:bCs w:val="0"/>
                <w:color w:val="auto"/>
                <w:spacing w:val="0"/>
                <w:kern w:val="21"/>
                <w:sz w:val="24"/>
                <w:szCs w:val="24"/>
                <w:lang w:val="en-US" w:eastAsia="zh-CN"/>
              </w:rPr>
              <w:t>2</w:t>
            </w:r>
            <w:r>
              <w:rPr>
                <w:rFonts w:hint="default" w:ascii="Times New Roman" w:hAnsi="Times New Roman" w:eastAsia="宋体" w:cs="Times New Roman"/>
                <w:b/>
                <w:bCs w:val="0"/>
                <w:color w:val="auto"/>
                <w:spacing w:val="0"/>
                <w:kern w:val="21"/>
                <w:sz w:val="24"/>
                <w:szCs w:val="24"/>
                <w:lang w:val="en-US" w:eastAsia="zh-CN"/>
              </w:rPr>
              <w:t>（</w:t>
            </w:r>
            <w:r>
              <w:rPr>
                <w:rFonts w:hint="default" w:ascii="Times New Roman" w:hAnsi="Times New Roman" w:cs="Times New Roman"/>
                <w:b/>
                <w:bCs w:val="0"/>
                <w:color w:val="auto"/>
                <w:spacing w:val="0"/>
                <w:kern w:val="21"/>
                <w:sz w:val="24"/>
                <w:szCs w:val="24"/>
                <w:lang w:val="en-US" w:eastAsia="zh-CN"/>
              </w:rPr>
              <w:t>7F废气收集：</w:t>
            </w:r>
            <w:r>
              <w:rPr>
                <w:rFonts w:hint="default" w:ascii="Times New Roman" w:hAnsi="Times New Roman" w:eastAsia="宋体" w:cs="Times New Roman"/>
                <w:b/>
                <w:bCs w:val="0"/>
                <w:color w:val="auto"/>
                <w:spacing w:val="0"/>
                <w:kern w:val="21"/>
                <w:sz w:val="24"/>
                <w:szCs w:val="24"/>
                <w:lang w:val="en-US" w:eastAsia="zh-CN"/>
              </w:rPr>
              <w:t>注塑废气、</w:t>
            </w:r>
            <w:r>
              <w:rPr>
                <w:rFonts w:hint="default" w:ascii="Times New Roman" w:hAnsi="Times New Roman" w:cs="Times New Roman"/>
                <w:b/>
                <w:bCs w:val="0"/>
                <w:color w:val="auto"/>
                <w:spacing w:val="0"/>
                <w:kern w:val="21"/>
                <w:sz w:val="24"/>
                <w:szCs w:val="24"/>
                <w:lang w:val="en-US" w:eastAsia="zh-CN"/>
              </w:rPr>
              <w:t>液态成型</w:t>
            </w:r>
            <w:r>
              <w:rPr>
                <w:rFonts w:hint="default" w:ascii="Times New Roman" w:hAnsi="Times New Roman" w:eastAsia="宋体" w:cs="Times New Roman"/>
                <w:b/>
                <w:bCs w:val="0"/>
                <w:color w:val="auto"/>
                <w:spacing w:val="0"/>
                <w:kern w:val="21"/>
                <w:sz w:val="24"/>
                <w:szCs w:val="24"/>
                <w:lang w:val="en-US" w:eastAsia="zh-CN"/>
              </w:rPr>
              <w:t>废气）</w:t>
            </w:r>
          </w:p>
          <w:p w14:paraId="368A14D0">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项目共设</w:t>
            </w:r>
            <w:r>
              <w:rPr>
                <w:rFonts w:hint="default" w:ascii="Times New Roman" w:hAnsi="Times New Roman" w:cs="Times New Roman"/>
                <w:color w:val="auto"/>
                <w:sz w:val="24"/>
                <w:szCs w:val="24"/>
                <w:lang w:val="en-US" w:eastAsia="zh-CN"/>
              </w:rPr>
              <w:t>28</w:t>
            </w:r>
            <w:r>
              <w:rPr>
                <w:rFonts w:hint="default" w:ascii="Times New Roman" w:hAnsi="Times New Roman" w:eastAsia="宋体" w:cs="Times New Roman"/>
                <w:color w:val="auto"/>
                <w:sz w:val="24"/>
                <w:szCs w:val="24"/>
              </w:rPr>
              <w:t>台</w:t>
            </w:r>
            <w:r>
              <w:rPr>
                <w:rFonts w:hint="default" w:ascii="Times New Roman" w:hAnsi="Times New Roman" w:cs="Times New Roman"/>
                <w:color w:val="auto"/>
                <w:sz w:val="24"/>
                <w:szCs w:val="24"/>
                <w:lang w:val="en-US" w:eastAsia="zh-CN"/>
              </w:rPr>
              <w:t>卧式</w:t>
            </w:r>
            <w:r>
              <w:rPr>
                <w:rFonts w:hint="default" w:ascii="Times New Roman" w:hAnsi="Times New Roman" w:eastAsia="宋体" w:cs="Times New Roman"/>
                <w:color w:val="auto"/>
                <w:sz w:val="24"/>
                <w:szCs w:val="24"/>
              </w:rPr>
              <w:t>注塑机</w:t>
            </w:r>
            <w:r>
              <w:rPr>
                <w:rFonts w:hint="default" w:ascii="Times New Roman" w:hAnsi="Times New Roman" w:eastAsia="宋体" w:cs="Times New Roman"/>
                <w:color w:val="auto"/>
                <w:sz w:val="24"/>
                <w:szCs w:val="24"/>
                <w:lang w:eastAsia="zh-CN"/>
              </w:rPr>
              <w:t>、</w:t>
            </w:r>
            <w:r>
              <w:rPr>
                <w:rFonts w:hint="default" w:ascii="Times New Roman" w:hAnsi="Times New Roman"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台</w:t>
            </w:r>
            <w:r>
              <w:rPr>
                <w:rFonts w:hint="default" w:ascii="Times New Roman" w:hAnsi="Times New Roman" w:cs="Times New Roman"/>
                <w:color w:val="auto"/>
                <w:sz w:val="24"/>
                <w:szCs w:val="24"/>
                <w:lang w:val="en-US" w:eastAsia="zh-CN"/>
              </w:rPr>
              <w:t>立式注塑机</w:t>
            </w:r>
            <w:r>
              <w:rPr>
                <w:rFonts w:hint="default" w:ascii="Times New Roman" w:hAnsi="Times New Roman" w:eastAsia="宋体" w:cs="Times New Roman"/>
                <w:color w:val="auto"/>
                <w:sz w:val="24"/>
                <w:szCs w:val="24"/>
                <w:lang w:val="en-US" w:eastAsia="zh-CN"/>
              </w:rPr>
              <w:t>、</w:t>
            </w:r>
            <w:r>
              <w:rPr>
                <w:rFonts w:hint="default" w:ascii="Times New Roman" w:hAnsi="Times New Roman" w:cs="Times New Roman"/>
                <w:color w:val="auto"/>
                <w:sz w:val="24"/>
                <w:szCs w:val="24"/>
                <w:lang w:val="en-US" w:eastAsia="zh-CN"/>
              </w:rPr>
              <w:t>8</w:t>
            </w:r>
            <w:r>
              <w:rPr>
                <w:rFonts w:hint="default" w:ascii="Times New Roman" w:hAnsi="Times New Roman" w:eastAsia="宋体" w:cs="Times New Roman"/>
                <w:color w:val="auto"/>
                <w:sz w:val="24"/>
                <w:szCs w:val="24"/>
                <w:lang w:val="en-US" w:eastAsia="zh-CN"/>
              </w:rPr>
              <w:t>台</w:t>
            </w:r>
            <w:r>
              <w:rPr>
                <w:rFonts w:hint="default" w:ascii="Times New Roman" w:hAnsi="Times New Roman" w:cs="Times New Roman"/>
                <w:color w:val="auto"/>
                <w:sz w:val="24"/>
                <w:szCs w:val="24"/>
                <w:lang w:val="en-US" w:eastAsia="zh-CN"/>
              </w:rPr>
              <w:t>液态</w:t>
            </w:r>
            <w:r>
              <w:rPr>
                <w:rFonts w:hint="default" w:ascii="Times New Roman" w:hAnsi="Times New Roman" w:eastAsia="宋体" w:cs="Times New Roman"/>
                <w:color w:val="auto"/>
                <w:sz w:val="24"/>
                <w:szCs w:val="24"/>
                <w:lang w:val="en-US" w:eastAsia="zh-CN"/>
              </w:rPr>
              <w:t>机，</w:t>
            </w:r>
            <w:r>
              <w:rPr>
                <w:rFonts w:hint="default" w:ascii="Times New Roman" w:hAnsi="Times New Roman" w:eastAsia="宋体" w:cs="Times New Roman"/>
                <w:color w:val="auto"/>
                <w:sz w:val="24"/>
                <w:szCs w:val="24"/>
              </w:rPr>
              <w:t>建设单位拟在每台</w:t>
            </w:r>
            <w:r>
              <w:rPr>
                <w:rFonts w:hint="default" w:ascii="Times New Roman" w:hAnsi="Times New Roman" w:eastAsia="宋体" w:cs="Times New Roman"/>
                <w:color w:val="auto"/>
                <w:sz w:val="24"/>
                <w:szCs w:val="24"/>
                <w:lang w:val="en-US" w:eastAsia="zh-CN"/>
              </w:rPr>
              <w:t>产污设备出料口或人工焊接工位</w:t>
            </w:r>
            <w:r>
              <w:rPr>
                <w:rFonts w:hint="default" w:ascii="Times New Roman" w:hAnsi="Times New Roman" w:eastAsia="宋体" w:cs="Times New Roman"/>
                <w:color w:val="auto"/>
                <w:sz w:val="24"/>
                <w:szCs w:val="24"/>
              </w:rPr>
              <w:t>上方设置集气罩收集</w:t>
            </w:r>
            <w:r>
              <w:rPr>
                <w:rFonts w:hint="default" w:ascii="Times New Roman" w:hAnsi="Times New Roman" w:eastAsia="宋体" w:cs="Times New Roman"/>
                <w:color w:val="auto"/>
                <w:sz w:val="24"/>
                <w:szCs w:val="24"/>
                <w:lang w:val="en-US" w:eastAsia="zh-CN"/>
              </w:rPr>
              <w:t>废气</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废气集气罩口加装软帘成为U型环状设计</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三面围挡，仅留一个出入口，点对点进行废气收集。</w:t>
            </w:r>
            <w:r>
              <w:rPr>
                <w:rFonts w:hint="default" w:ascii="Times New Roman" w:hAnsi="Times New Roman" w:eastAsia="宋体" w:cs="Times New Roman"/>
                <w:color w:val="auto"/>
                <w:sz w:val="24"/>
                <w:szCs w:val="24"/>
              </w:rPr>
              <w:t>集气罩所需风量根据《环境工程技术手册：废气处理工程技术手册》（王纯、张殿印主编，化学工业出版社，2013年</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月第</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版），集气罩风量计算公式：</w:t>
            </w:r>
          </w:p>
          <w:p w14:paraId="370942D6">
            <w:pPr>
              <w:keepNext w:val="0"/>
              <w:keepLines w:val="0"/>
              <w:suppressLineNumbers w:val="0"/>
              <w:wordWrap/>
              <w:spacing w:before="0" w:beforeAutospacing="0" w:after="0" w:afterAutospacing="0"/>
              <w:ind w:left="0" w:right="0" w:firstLine="480" w:firstLineChars="200"/>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Q=</w:t>
            </w:r>
            <w:r>
              <w:rPr>
                <w:rFonts w:hint="default" w:ascii="Times New Roman" w:hAnsi="Times New Roman" w:cs="Times New Roman"/>
                <w:color w:val="auto"/>
                <w:sz w:val="24"/>
                <w:szCs w:val="24"/>
                <w:lang w:val="en-US" w:eastAsia="zh-CN"/>
              </w:rPr>
              <w:t>WhV</w:t>
            </w:r>
            <w:r>
              <w:rPr>
                <w:rFonts w:hint="default" w:ascii="Times New Roman" w:hAnsi="Times New Roman" w:cs="Times New Roman"/>
                <w:color w:val="auto"/>
                <w:sz w:val="24"/>
                <w:szCs w:val="24"/>
                <w:vertAlign w:val="subscript"/>
                <w:lang w:val="en-US" w:eastAsia="zh-CN"/>
              </w:rPr>
              <w:t>x</w:t>
            </w:r>
          </w:p>
          <w:p w14:paraId="335D2BE2">
            <w:pPr>
              <w:keepNext w:val="0"/>
              <w:keepLines w:val="0"/>
              <w:suppressLineNumbers w:val="0"/>
              <w:wordWrap/>
              <w:spacing w:before="0" w:beforeAutospacing="0" w:after="0" w:afterAutospacing="0"/>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式中：Q----集气罩所需风量，m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/s；</w:t>
            </w:r>
          </w:p>
          <w:p w14:paraId="10F6E42C">
            <w:pPr>
              <w:keepNext w:val="0"/>
              <w:keepLines w:val="0"/>
              <w:suppressLineNumbers w:val="0"/>
              <w:wordWrap/>
              <w:spacing w:before="0" w:beforeAutospacing="0" w:after="0" w:afterAutospacing="0"/>
              <w:ind w:left="0" w:right="0" w:firstLine="1200" w:firstLineChars="5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W—罩口长度，m；</w:t>
            </w:r>
          </w:p>
          <w:p w14:paraId="04DAA5D5">
            <w:pPr>
              <w:keepNext w:val="0"/>
              <w:keepLines w:val="0"/>
              <w:suppressLineNumbers w:val="0"/>
              <w:wordWrap/>
              <w:spacing w:before="0" w:beforeAutospacing="0" w:after="0" w:afterAutospacing="0"/>
              <w:ind w:left="0" w:right="0" w:firstLine="1200" w:firstLineChars="5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h</w:t>
            </w:r>
            <w:r>
              <w:rPr>
                <w:rFonts w:hint="default" w:ascii="Times New Roman" w:hAnsi="Times New Roman" w:cs="Times New Roman"/>
                <w:color w:val="auto"/>
                <w:sz w:val="24"/>
                <w:szCs w:val="24"/>
              </w:rPr>
              <w:t>----污染物产生点至罩口的距离，m；</w:t>
            </w:r>
          </w:p>
          <w:p w14:paraId="056303DE">
            <w:pPr>
              <w:keepNext w:val="0"/>
              <w:keepLines w:val="0"/>
              <w:suppressLineNumbers w:val="0"/>
              <w:wordWrap w:val="0"/>
              <w:spacing w:before="0" w:beforeAutospacing="0" w:after="0" w:afterAutospacing="0"/>
              <w:ind w:left="0" w:right="0" w:firstLine="1200" w:firstLineChars="500"/>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rPr>
              <w:t>V</w:t>
            </w:r>
            <w:r>
              <w:rPr>
                <w:rFonts w:hint="default" w:ascii="Times New Roman" w:hAnsi="Times New Roman" w:cs="Times New Roman"/>
                <w:color w:val="auto"/>
                <w:sz w:val="24"/>
                <w:szCs w:val="24"/>
                <w:vertAlign w:val="subscript"/>
              </w:rPr>
              <w:t>X</w:t>
            </w:r>
            <w:r>
              <w:rPr>
                <w:rFonts w:hint="default" w:ascii="Times New Roman" w:hAnsi="Times New Roman" w:cs="Times New Roman"/>
                <w:color w:val="auto"/>
                <w:sz w:val="24"/>
                <w:szCs w:val="24"/>
              </w:rPr>
              <w:t>----最小控制风速，m/s。</w:t>
            </w:r>
          </w:p>
          <w:p w14:paraId="023D63E2">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firstLine="420" w:firstLineChars="0"/>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kern w:val="2"/>
                <w:sz w:val="21"/>
                <w:szCs w:val="21"/>
                <w:lang w:val="en-US" w:eastAsia="zh-CN" w:bidi="ar-SA"/>
              </w:rPr>
              <w:t>表4-</w:t>
            </w:r>
            <w:r>
              <w:rPr>
                <w:rFonts w:hint="default" w:ascii="Times New Roman" w:hAnsi="Times New Roman" w:cs="Times New Roman"/>
                <w:b/>
                <w:bCs/>
                <w:color w:val="auto"/>
                <w:kern w:val="2"/>
                <w:sz w:val="21"/>
                <w:szCs w:val="21"/>
                <w:lang w:val="en-US" w:eastAsia="zh-CN" w:bidi="ar-SA"/>
              </w:rPr>
              <w:t>4</w:t>
            </w:r>
            <w:r>
              <w:rPr>
                <w:rFonts w:hint="default" w:ascii="Times New Roman" w:hAnsi="Times New Roman" w:eastAsia="宋体" w:cs="Times New Roman"/>
                <w:b/>
                <w:bCs/>
                <w:color w:val="auto"/>
                <w:kern w:val="2"/>
                <w:sz w:val="18"/>
                <w:szCs w:val="18"/>
                <w:lang w:val="en-US" w:eastAsia="zh-CN" w:bidi="ar-SA"/>
              </w:rPr>
              <w:t xml:space="preserve"> </w:t>
            </w:r>
            <w:r>
              <w:rPr>
                <w:rFonts w:hint="default" w:ascii="Times New Roman" w:hAnsi="Times New Roman" w:eastAsia="宋体" w:cs="Times New Roman"/>
                <w:b/>
                <w:bCs/>
                <w:color w:val="auto"/>
                <w:sz w:val="24"/>
                <w:szCs w:val="24"/>
                <w:lang w:val="en-US" w:eastAsia="zh-CN"/>
              </w:rPr>
              <w:t>管道风量一览表</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95"/>
              <w:gridCol w:w="883"/>
              <w:gridCol w:w="1262"/>
              <w:gridCol w:w="1262"/>
              <w:gridCol w:w="1262"/>
              <w:gridCol w:w="1264"/>
              <w:gridCol w:w="1150"/>
            </w:tblGrid>
            <w:tr w14:paraId="7E1B07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3" w:hRule="atLeast"/>
                <w:jc w:val="center"/>
              </w:trPr>
              <w:tc>
                <w:tcPr>
                  <w:tcW w:w="1195" w:type="dxa"/>
                  <w:tcBorders>
                    <w:top w:val="single" w:color="000000" w:sz="4" w:space="0"/>
                    <w:left w:val="single" w:color="000000" w:sz="4" w:space="0"/>
                    <w:right w:val="single" w:color="000000" w:sz="4" w:space="0"/>
                  </w:tcBorders>
                  <w:noWrap w:val="0"/>
                  <w:vAlign w:val="center"/>
                </w:tcPr>
                <w:p w14:paraId="3E6AA49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val="en-US" w:eastAsia="zh-CN"/>
                    </w:rPr>
                    <w:t>设备名称</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1A6EDF8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设备数量</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1CFFF44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集气罩罩口长度（m）</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1C0BEA9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产生点至罩口距离h（m）</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233EC35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敞开面控制风速Vx(m/s)</w:t>
                  </w:r>
                </w:p>
              </w:tc>
              <w:tc>
                <w:tcPr>
                  <w:tcW w:w="1264" w:type="dxa"/>
                  <w:tcBorders>
                    <w:top w:val="single" w:color="000000" w:sz="4" w:space="0"/>
                    <w:left w:val="single" w:color="000000" w:sz="4" w:space="0"/>
                    <w:right w:val="single" w:color="000000" w:sz="4" w:space="0"/>
                  </w:tcBorders>
                  <w:noWrap w:val="0"/>
                  <w:vAlign w:val="center"/>
                </w:tcPr>
                <w:p w14:paraId="5058595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单个集气罩风量</w:t>
                  </w: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rPr>
                    <w:t>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/h</w:t>
                  </w:r>
                  <w:r>
                    <w:rPr>
                      <w:rFonts w:hint="default" w:ascii="Times New Roman" w:hAnsi="Times New Roman" w:eastAsia="宋体" w:cs="Times New Roman"/>
                      <w:b/>
                      <w:bCs/>
                      <w:color w:val="auto"/>
                      <w:sz w:val="21"/>
                      <w:szCs w:val="21"/>
                      <w:lang w:eastAsia="zh-CN"/>
                    </w:rPr>
                    <w:t>）</w:t>
                  </w:r>
                </w:p>
              </w:tc>
              <w:tc>
                <w:tcPr>
                  <w:tcW w:w="1150" w:type="dxa"/>
                  <w:tcBorders>
                    <w:top w:val="single" w:color="000000" w:sz="4" w:space="0"/>
                    <w:left w:val="single" w:color="000000" w:sz="4" w:space="0"/>
                    <w:right w:val="single" w:color="000000" w:sz="4" w:space="0"/>
                  </w:tcBorders>
                  <w:noWrap w:val="0"/>
                  <w:vAlign w:val="center"/>
                </w:tcPr>
                <w:p w14:paraId="21E1072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val="en-US" w:eastAsia="zh-CN"/>
                    </w:rPr>
                    <w:t>总排气</w:t>
                  </w:r>
                  <w:r>
                    <w:rPr>
                      <w:rFonts w:hint="default" w:ascii="Times New Roman" w:hAnsi="Times New Roman" w:eastAsia="宋体" w:cs="Times New Roman"/>
                      <w:b/>
                      <w:bCs/>
                      <w:color w:val="auto"/>
                      <w:sz w:val="21"/>
                      <w:szCs w:val="21"/>
                    </w:rPr>
                    <w:t>量</w:t>
                  </w: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rPr>
                    <w:t>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/h</w:t>
                  </w:r>
                  <w:r>
                    <w:rPr>
                      <w:rFonts w:hint="default" w:ascii="Times New Roman" w:hAnsi="Times New Roman" w:eastAsia="宋体" w:cs="Times New Roman"/>
                      <w:b/>
                      <w:bCs/>
                      <w:color w:val="auto"/>
                      <w:sz w:val="21"/>
                      <w:szCs w:val="21"/>
                      <w:lang w:eastAsia="zh-CN"/>
                    </w:rPr>
                    <w:t>）</w:t>
                  </w:r>
                </w:p>
              </w:tc>
            </w:tr>
            <w:tr w14:paraId="5B7B0E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jc w:val="center"/>
              </w:trPr>
              <w:tc>
                <w:tcPr>
                  <w:tcW w:w="1195" w:type="dxa"/>
                  <w:tcBorders>
                    <w:top w:val="single" w:color="000000" w:sz="4" w:space="0"/>
                    <w:left w:val="single" w:color="000000" w:sz="4" w:space="0"/>
                    <w:bottom w:val="single" w:color="000000" w:sz="4" w:space="0"/>
                    <w:right w:val="single" w:color="000000" w:sz="4" w:space="0"/>
                  </w:tcBorders>
                  <w:noWrap w:val="0"/>
                  <w:vAlign w:val="center"/>
                </w:tcPr>
                <w:p w14:paraId="09C08F1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卧式</w:t>
                  </w:r>
                  <w:r>
                    <w:rPr>
                      <w:rFonts w:hint="default" w:ascii="Times New Roman" w:hAnsi="Times New Roman" w:eastAsia="宋体" w:cs="Times New Roman"/>
                      <w:color w:val="auto"/>
                      <w:sz w:val="21"/>
                      <w:szCs w:val="21"/>
                      <w:lang w:val="en-US" w:eastAsia="zh-CN"/>
                    </w:rPr>
                    <w:t>注塑机</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68C51BC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28</w:t>
                  </w:r>
                  <w:r>
                    <w:rPr>
                      <w:rFonts w:hint="default" w:ascii="Times New Roman" w:hAnsi="Times New Roman" w:eastAsia="宋体" w:cs="Times New Roman"/>
                      <w:color w:val="auto"/>
                      <w:sz w:val="21"/>
                      <w:szCs w:val="21"/>
                      <w:lang w:val="en-US" w:eastAsia="zh-CN"/>
                    </w:rPr>
                    <w:t>台</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11CD500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1.2</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46970A6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2849398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0B0676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648</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312F22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cs="Times New Roman"/>
                      <w:i w:val="0"/>
                      <w:iCs w:val="0"/>
                      <w:color w:val="auto"/>
                      <w:kern w:val="2"/>
                      <w:sz w:val="21"/>
                      <w:szCs w:val="21"/>
                      <w:u w:val="none"/>
                      <w:lang w:val="en-US" w:eastAsia="zh-CN" w:bidi="ar-SA"/>
                    </w:rPr>
                    <w:t>18144</w:t>
                  </w:r>
                </w:p>
              </w:tc>
            </w:tr>
            <w:tr w14:paraId="77BBC5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jc w:val="center"/>
              </w:trPr>
              <w:tc>
                <w:tcPr>
                  <w:tcW w:w="1195" w:type="dxa"/>
                  <w:tcBorders>
                    <w:top w:val="single" w:color="000000" w:sz="4" w:space="0"/>
                    <w:left w:val="single" w:color="000000" w:sz="4" w:space="0"/>
                    <w:bottom w:val="single" w:color="000000" w:sz="4" w:space="0"/>
                    <w:right w:val="single" w:color="000000" w:sz="4" w:space="0"/>
                  </w:tcBorders>
                  <w:noWrap w:val="0"/>
                  <w:vAlign w:val="center"/>
                </w:tcPr>
                <w:p w14:paraId="7483E64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立式注塑机</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614EDB9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10台</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2470DEA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6B4E3CB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0.3</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0CED471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0.5</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11BDC7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540</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1527A4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cs="Times New Roman"/>
                      <w:i w:val="0"/>
                      <w:iCs w:val="0"/>
                      <w:color w:val="auto"/>
                      <w:kern w:val="2"/>
                      <w:sz w:val="21"/>
                      <w:szCs w:val="21"/>
                      <w:u w:val="none"/>
                      <w:lang w:val="en-US" w:eastAsia="zh-CN" w:bidi="ar-SA"/>
                    </w:rPr>
                    <w:t>5400</w:t>
                  </w:r>
                </w:p>
              </w:tc>
            </w:tr>
            <w:tr w14:paraId="3BE597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jc w:val="center"/>
              </w:trPr>
              <w:tc>
                <w:tcPr>
                  <w:tcW w:w="1195" w:type="dxa"/>
                  <w:tcBorders>
                    <w:top w:val="single" w:color="000000" w:sz="4" w:space="0"/>
                    <w:left w:val="single" w:color="000000" w:sz="4" w:space="0"/>
                    <w:bottom w:val="single" w:color="000000" w:sz="4" w:space="0"/>
                    <w:right w:val="single" w:color="000000" w:sz="4" w:space="0"/>
                  </w:tcBorders>
                  <w:noWrap w:val="0"/>
                  <w:vAlign w:val="center"/>
                </w:tcPr>
                <w:p w14:paraId="63CD96F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液态</w:t>
                  </w:r>
                  <w:r>
                    <w:rPr>
                      <w:rFonts w:hint="default" w:ascii="Times New Roman" w:hAnsi="Times New Roman" w:eastAsia="宋体" w:cs="Times New Roman"/>
                      <w:color w:val="auto"/>
                      <w:sz w:val="21"/>
                      <w:szCs w:val="21"/>
                      <w:lang w:val="en-US" w:eastAsia="zh-CN"/>
                    </w:rPr>
                    <w:t>机</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5018749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8</w:t>
                  </w:r>
                  <w:r>
                    <w:rPr>
                      <w:rFonts w:hint="default" w:ascii="Times New Roman" w:hAnsi="Times New Roman" w:eastAsia="宋体" w:cs="Times New Roman"/>
                      <w:color w:val="auto"/>
                      <w:sz w:val="21"/>
                      <w:szCs w:val="21"/>
                      <w:lang w:val="en-US" w:eastAsia="zh-CN"/>
                    </w:rPr>
                    <w:t>台</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196B21F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r>
                    <w:rPr>
                      <w:rFonts w:hint="default" w:ascii="Times New Roman" w:hAnsi="Times New Roman" w:cs="Times New Roman"/>
                      <w:color w:val="auto"/>
                      <w:sz w:val="21"/>
                      <w:szCs w:val="21"/>
                      <w:lang w:val="en-US" w:eastAsia="zh-CN"/>
                    </w:rPr>
                    <w:t>8</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6D9AC49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7294D3F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2AEDFB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432</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4D0BBE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cs="Times New Roman"/>
                      <w:i w:val="0"/>
                      <w:iCs w:val="0"/>
                      <w:color w:val="auto"/>
                      <w:kern w:val="2"/>
                      <w:sz w:val="21"/>
                      <w:szCs w:val="21"/>
                      <w:u w:val="none"/>
                      <w:lang w:val="en-US" w:eastAsia="zh-CN" w:bidi="ar-SA"/>
                    </w:rPr>
                    <w:t>3456</w:t>
                  </w:r>
                </w:p>
              </w:tc>
            </w:tr>
            <w:tr w14:paraId="314D6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jc w:val="center"/>
              </w:trPr>
              <w:tc>
                <w:tcPr>
                  <w:tcW w:w="7128" w:type="dxa"/>
                  <w:gridSpan w:val="6"/>
                  <w:tcBorders>
                    <w:top w:val="single" w:color="000000" w:sz="4" w:space="0"/>
                    <w:left w:val="single" w:color="000000" w:sz="4" w:space="0"/>
                    <w:bottom w:val="single" w:color="000000" w:sz="4" w:space="0"/>
                    <w:right w:val="single" w:color="000000" w:sz="4" w:space="0"/>
                  </w:tcBorders>
                  <w:noWrap w:val="0"/>
                  <w:vAlign w:val="center"/>
                </w:tcPr>
                <w:p w14:paraId="3911B8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合计</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704E0C2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cs="Times New Roman"/>
                      <w:i w:val="0"/>
                      <w:iCs w:val="0"/>
                      <w:color w:val="auto"/>
                      <w:kern w:val="2"/>
                      <w:sz w:val="21"/>
                      <w:szCs w:val="21"/>
                      <w:u w:val="none"/>
                      <w:lang w:val="en-US" w:eastAsia="zh-CN" w:bidi="ar-SA"/>
                    </w:rPr>
                    <w:t>27000</w:t>
                  </w:r>
                </w:p>
              </w:tc>
            </w:tr>
          </w:tbl>
          <w:p w14:paraId="022D65DC">
            <w:pPr>
              <w:keepNext w:val="0"/>
              <w:keepLines w:val="0"/>
              <w:suppressLineNumbers w:val="0"/>
              <w:wordWrap/>
              <w:adjustRightInd w:val="0"/>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由此计算出集气罩总风量为</w:t>
            </w:r>
            <w:r>
              <w:rPr>
                <w:rFonts w:hint="default" w:ascii="Times New Roman" w:hAnsi="Times New Roman" w:cs="Times New Roman"/>
                <w:color w:val="auto"/>
                <w:sz w:val="24"/>
                <w:szCs w:val="24"/>
                <w:lang w:val="en-US" w:eastAsia="zh-CN"/>
              </w:rPr>
              <w:t>27000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/h，考虑风量损失，</w:t>
            </w:r>
            <w:r>
              <w:rPr>
                <w:rFonts w:hint="default" w:ascii="Times New Roman" w:hAnsi="Times New Roman" w:eastAsia="宋体" w:cs="Times New Roman"/>
                <w:color w:val="auto"/>
                <w:sz w:val="24"/>
                <w:szCs w:val="24"/>
                <w:lang w:val="en-US" w:eastAsia="zh-CN"/>
              </w:rPr>
              <w:t>根据《吸附法工业有机废气治理工程技术规范》（HJ2026-2013），设计风量宜按照最大废气排放量的120%进行设计，因此项目</w:t>
            </w:r>
            <w:r>
              <w:rPr>
                <w:rFonts w:hint="default" w:ascii="Times New Roman" w:hAnsi="Times New Roman" w:eastAsia="宋体" w:cs="Times New Roman"/>
                <w:color w:val="auto"/>
                <w:sz w:val="24"/>
                <w:szCs w:val="24"/>
              </w:rPr>
              <w:t>设计收集风量为</w:t>
            </w:r>
            <w:r>
              <w:rPr>
                <w:rFonts w:hint="default" w:ascii="Times New Roman" w:hAnsi="Times New Roman" w:cs="Times New Roman"/>
                <w:color w:val="auto"/>
                <w:sz w:val="24"/>
                <w:szCs w:val="24"/>
                <w:lang w:val="en-US" w:eastAsia="zh-CN"/>
              </w:rPr>
              <w:t>32400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/h。</w:t>
            </w:r>
          </w:p>
          <w:p w14:paraId="2E4082D7">
            <w:pPr>
              <w:keepNext w:val="0"/>
              <w:keepLines w:val="0"/>
              <w:suppressLineNumbers w:val="0"/>
              <w:wordWrap/>
              <w:adjustRightInd w:val="0"/>
              <w:spacing w:before="0" w:beforeAutospacing="0" w:after="0" w:afterAutospacing="0"/>
              <w:ind w:left="0" w:right="0"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收集效率：</w:t>
            </w:r>
          </w:p>
          <w:p w14:paraId="46E67569">
            <w:pPr>
              <w:keepNext w:val="0"/>
              <w:keepLines w:val="0"/>
              <w:suppressLineNumbers w:val="0"/>
              <w:wordWrap/>
              <w:adjustRightInd w:val="0"/>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参考《广东省生态环境厅关于印发工业源挥发性有机物和氮氧化物减排量核算方法的通知》（粤环函〔2023〕538号）废气收集集气效率参考值，</w:t>
            </w:r>
            <w:r>
              <w:rPr>
                <w:rFonts w:hint="default" w:ascii="Times New Roman" w:hAnsi="Times New Roman" w:eastAsia="宋体" w:cs="Times New Roman"/>
                <w:color w:val="auto"/>
                <w:sz w:val="24"/>
                <w:szCs w:val="24"/>
                <w:lang w:val="en-US" w:eastAsia="zh-CN"/>
              </w:rPr>
              <w:t>包围型集气设备通过软质垂帘四周围挡（偶有部分敞开）敞开面控制风速不小于0.3m/s的集气效率为50%</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项目满足该集气设备的收集情况，</w:t>
            </w:r>
            <w:r>
              <w:rPr>
                <w:rFonts w:hint="default" w:ascii="Times New Roman" w:hAnsi="Times New Roman" w:eastAsia="宋体" w:cs="Times New Roman"/>
                <w:color w:val="auto"/>
                <w:sz w:val="24"/>
                <w:szCs w:val="24"/>
              </w:rPr>
              <w:t>敞开面最小控制风速为0.5m/s，</w:t>
            </w:r>
            <w:r>
              <w:rPr>
                <w:rFonts w:hint="default" w:ascii="Times New Roman" w:hAnsi="Times New Roman" w:eastAsia="宋体" w:cs="Times New Roman"/>
                <w:color w:val="auto"/>
                <w:sz w:val="24"/>
                <w:szCs w:val="24"/>
                <w:lang w:val="en-US" w:eastAsia="zh-CN"/>
              </w:rPr>
              <w:t>因此</w:t>
            </w:r>
            <w:r>
              <w:rPr>
                <w:rFonts w:hint="default" w:ascii="Times New Roman" w:hAnsi="Times New Roman" w:eastAsia="宋体" w:cs="Times New Roman"/>
                <w:color w:val="auto"/>
                <w:sz w:val="24"/>
                <w:szCs w:val="24"/>
              </w:rPr>
              <w:t>集气效率</w:t>
            </w:r>
            <w:r>
              <w:rPr>
                <w:rFonts w:hint="default" w:ascii="Times New Roman" w:hAnsi="Times New Roman" w:eastAsia="宋体" w:cs="Times New Roman"/>
                <w:color w:val="auto"/>
                <w:sz w:val="24"/>
                <w:szCs w:val="24"/>
                <w:lang w:val="en-US" w:eastAsia="zh-CN"/>
              </w:rPr>
              <w:t>取50</w:t>
            </w:r>
            <w:r>
              <w:rPr>
                <w:rFonts w:hint="default" w:ascii="Times New Roman" w:hAnsi="Times New Roman" w:eastAsia="宋体" w:cs="Times New Roman"/>
                <w:color w:val="auto"/>
                <w:sz w:val="24"/>
                <w:szCs w:val="24"/>
              </w:rPr>
              <w:t>%。</w:t>
            </w:r>
          </w:p>
          <w:p w14:paraId="7EF48BD9">
            <w:pPr>
              <w:keepNext w:val="0"/>
              <w:keepLines w:val="0"/>
              <w:widowControl/>
              <w:suppressLineNumbers w:val="0"/>
              <w:wordWrap w:val="0"/>
              <w:spacing w:before="0" w:beforeAutospacing="0" w:after="0" w:afterAutospacing="0"/>
              <w:ind w:left="0" w:right="0" w:firstLine="480" w:firstLineChars="200"/>
              <w:rPr>
                <w:rFonts w:hint="default" w:ascii="Times New Roman" w:hAnsi="Times New Roman" w:eastAsia="宋体" w:cs="Times New Roman"/>
                <w:color w:val="auto"/>
                <w:sz w:val="24"/>
                <w:szCs w:val="24"/>
                <w:u w:val="single"/>
              </w:rPr>
            </w:pPr>
            <w:r>
              <w:rPr>
                <w:rFonts w:hint="default" w:ascii="Times New Roman" w:hAnsi="Times New Roman" w:eastAsia="宋体" w:cs="Times New Roman"/>
                <w:color w:val="auto"/>
                <w:sz w:val="24"/>
                <w:szCs w:val="24"/>
                <w:u w:val="single"/>
              </w:rPr>
              <w:t>项目</w:t>
            </w:r>
            <w:r>
              <w:rPr>
                <w:rFonts w:hint="default" w:ascii="Times New Roman" w:hAnsi="Times New Roman" w:eastAsia="宋体" w:cs="Times New Roman"/>
                <w:color w:val="auto"/>
                <w:sz w:val="24"/>
                <w:szCs w:val="24"/>
                <w:u w:val="single"/>
                <w:lang w:val="en-US" w:eastAsia="zh-CN"/>
              </w:rPr>
              <w:t>注塑、</w:t>
            </w:r>
            <w:r>
              <w:rPr>
                <w:rFonts w:hint="default" w:ascii="Times New Roman" w:hAnsi="Times New Roman" w:cs="Times New Roman"/>
                <w:color w:val="auto"/>
                <w:sz w:val="24"/>
                <w:szCs w:val="24"/>
                <w:u w:val="single"/>
                <w:lang w:val="en-US" w:eastAsia="zh-CN"/>
              </w:rPr>
              <w:t>液态成型</w:t>
            </w:r>
            <w:r>
              <w:rPr>
                <w:rFonts w:hint="default" w:ascii="Times New Roman" w:hAnsi="Times New Roman" w:eastAsia="宋体" w:cs="Times New Roman"/>
                <w:color w:val="auto"/>
                <w:sz w:val="24"/>
                <w:szCs w:val="24"/>
                <w:u w:val="single"/>
                <w:lang w:val="en-US" w:eastAsia="zh-CN"/>
              </w:rPr>
              <w:t>工序废气</w:t>
            </w:r>
            <w:r>
              <w:rPr>
                <w:rFonts w:hint="default" w:ascii="Times New Roman" w:hAnsi="Times New Roman" w:eastAsia="宋体" w:cs="Times New Roman"/>
                <w:color w:val="auto"/>
                <w:sz w:val="24"/>
                <w:szCs w:val="24"/>
                <w:u w:val="single"/>
              </w:rPr>
              <w:t>经集气罩收集至“水喷淋+干式过滤+二级活性炭吸附”装置处理后引至排气筒DA00</w:t>
            </w:r>
            <w:r>
              <w:rPr>
                <w:rFonts w:hint="default" w:ascii="Times New Roman" w:hAnsi="Times New Roman" w:cs="Times New Roman"/>
                <w:color w:val="auto"/>
                <w:sz w:val="24"/>
                <w:szCs w:val="24"/>
                <w:u w:val="single"/>
                <w:lang w:val="en-US" w:eastAsia="zh-CN"/>
              </w:rPr>
              <w:t>2</w:t>
            </w:r>
            <w:r>
              <w:rPr>
                <w:rFonts w:hint="default" w:ascii="Times New Roman" w:hAnsi="Times New Roman" w:eastAsia="宋体" w:cs="Times New Roman"/>
                <w:color w:val="auto"/>
                <w:sz w:val="24"/>
                <w:szCs w:val="24"/>
                <w:u w:val="single"/>
              </w:rPr>
              <w:t>排放</w:t>
            </w:r>
            <w:r>
              <w:rPr>
                <w:rFonts w:hint="default" w:ascii="Times New Roman" w:hAnsi="Times New Roman" w:eastAsia="宋体" w:cs="Times New Roman"/>
                <w:color w:val="auto"/>
                <w:sz w:val="24"/>
                <w:szCs w:val="24"/>
                <w:u w:val="single"/>
                <w:lang w:eastAsia="zh-CN"/>
              </w:rPr>
              <w:t>，</w:t>
            </w:r>
            <w:r>
              <w:rPr>
                <w:rFonts w:hint="default" w:ascii="Times New Roman" w:hAnsi="Times New Roman" w:eastAsia="宋体" w:cs="Times New Roman"/>
                <w:color w:val="auto"/>
                <w:sz w:val="24"/>
                <w:szCs w:val="24"/>
                <w:u w:val="single"/>
                <w:lang w:val="en-US" w:eastAsia="zh-CN"/>
              </w:rPr>
              <w:t>排放风量为</w:t>
            </w:r>
            <w:r>
              <w:rPr>
                <w:rFonts w:hint="default" w:ascii="Times New Roman" w:hAnsi="Times New Roman" w:cs="Times New Roman"/>
                <w:color w:val="auto"/>
                <w:sz w:val="24"/>
                <w:szCs w:val="24"/>
                <w:u w:val="single"/>
                <w:lang w:val="en-US" w:eastAsia="zh-CN"/>
              </w:rPr>
              <w:t>32400</w:t>
            </w:r>
            <w:r>
              <w:rPr>
                <w:rFonts w:hint="default" w:ascii="Times New Roman" w:hAnsi="Times New Roman" w:eastAsia="宋体" w:cs="Times New Roman"/>
                <w:color w:val="auto"/>
                <w:sz w:val="24"/>
                <w:szCs w:val="24"/>
                <w:u w:val="single"/>
              </w:rPr>
              <w:t>m</w:t>
            </w:r>
            <w:r>
              <w:rPr>
                <w:rFonts w:hint="default" w:ascii="Times New Roman" w:hAnsi="Times New Roman" w:eastAsia="宋体" w:cs="Times New Roman"/>
                <w:color w:val="auto"/>
                <w:sz w:val="24"/>
                <w:szCs w:val="24"/>
                <w:u w:val="single"/>
                <w:vertAlign w:val="superscript"/>
              </w:rPr>
              <w:t>3</w:t>
            </w:r>
            <w:r>
              <w:rPr>
                <w:rFonts w:hint="default" w:ascii="Times New Roman" w:hAnsi="Times New Roman" w:eastAsia="宋体" w:cs="Times New Roman"/>
                <w:color w:val="auto"/>
                <w:sz w:val="24"/>
                <w:szCs w:val="24"/>
                <w:u w:val="single"/>
              </w:rPr>
              <w:t>/h</w:t>
            </w:r>
            <w:r>
              <w:rPr>
                <w:rFonts w:hint="default" w:ascii="Times New Roman" w:hAnsi="Times New Roman" w:eastAsia="宋体" w:cs="Times New Roman"/>
                <w:b w:val="0"/>
                <w:bCs w:val="0"/>
                <w:color w:val="auto"/>
                <w:spacing w:val="0"/>
                <w:sz w:val="24"/>
                <w:szCs w:val="24"/>
                <w:u w:val="single"/>
                <w:lang w:val="en-US" w:eastAsia="zh-CN"/>
              </w:rPr>
              <w:t>，排放高度为</w:t>
            </w:r>
            <w:r>
              <w:rPr>
                <w:rFonts w:hint="default" w:ascii="Times New Roman" w:hAnsi="Times New Roman" w:cs="Times New Roman"/>
                <w:b w:val="0"/>
                <w:bCs w:val="0"/>
                <w:color w:val="auto"/>
                <w:spacing w:val="0"/>
                <w:sz w:val="24"/>
                <w:szCs w:val="24"/>
                <w:u w:val="single"/>
                <w:lang w:val="en-US" w:eastAsia="zh-CN"/>
              </w:rPr>
              <w:t>54m</w:t>
            </w:r>
            <w:r>
              <w:rPr>
                <w:rFonts w:hint="default" w:ascii="Times New Roman" w:hAnsi="Times New Roman" w:eastAsia="宋体" w:cs="Times New Roman"/>
                <w:color w:val="auto"/>
                <w:sz w:val="24"/>
                <w:szCs w:val="24"/>
                <w:u w:val="single"/>
              </w:rPr>
              <w:t>。</w:t>
            </w:r>
          </w:p>
          <w:p w14:paraId="4DB61B65">
            <w:pPr>
              <w:keepNext w:val="0"/>
              <w:keepLines w:val="0"/>
              <w:widowControl/>
              <w:suppressLineNumbers w:val="0"/>
              <w:wordWrap w:val="0"/>
              <w:spacing w:before="0" w:beforeAutospacing="0" w:after="0" w:afterAutospacing="0"/>
              <w:ind w:left="0" w:right="0"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处理效率：</w:t>
            </w:r>
          </w:p>
          <w:p w14:paraId="5AFCF16C">
            <w:pPr>
              <w:keepNext w:val="0"/>
              <w:keepLines w:val="0"/>
              <w:widowControl/>
              <w:suppressLineNumbers w:val="0"/>
              <w:wordWrap w:val="0"/>
              <w:spacing w:before="0" w:beforeAutospacing="0" w:after="0" w:afterAutospacing="0"/>
              <w:ind w:left="0" w:right="0"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①有机废气</w:t>
            </w:r>
          </w:p>
          <w:p w14:paraId="01CBC591">
            <w:pPr>
              <w:keepNext w:val="0"/>
              <w:keepLines w:val="0"/>
              <w:widowControl/>
              <w:suppressLineNumbers w:val="0"/>
              <w:wordWrap w:val="0"/>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因注塑温度较高，导致注塑机挥发的有机废气温度较高，若直接进入吸附装置处理，会影响吸附效果，因此项目在吸附装置前设置水喷淋塔对有机废气进行降温至40°C以下，并使用干式过滤棉除去水分，使进入活性炭吸附装置的废气符合《广东省生态环境厅关于印发工业源挥发性有机物和氮氧化物减排量核算方法的通知》（粤环函〔2023〕538号）活性炭吸附技术“装置入口废气温度不高于40°C”的要求。</w:t>
            </w:r>
            <w:r>
              <w:rPr>
                <w:rFonts w:hint="default" w:ascii="Times New Roman" w:hAnsi="Times New Roman" w:eastAsia="宋体" w:cs="Times New Roman"/>
                <w:color w:val="auto"/>
                <w:sz w:val="24"/>
                <w:szCs w:val="24"/>
                <w:lang w:val="en-US" w:eastAsia="zh-CN"/>
              </w:rPr>
              <w:t>水喷淋和干式过滤仅起到降温和干燥的作用，不具有处理效率。参考</w:t>
            </w:r>
            <w:r>
              <w:rPr>
                <w:rFonts w:hint="default" w:ascii="Times New Roman" w:hAnsi="Times New Roman" w:eastAsia="宋体" w:cs="Times New Roman"/>
                <w:color w:val="auto"/>
                <w:sz w:val="24"/>
                <w:szCs w:val="24"/>
              </w:rPr>
              <w:t>《广东省家具制造行业挥发性有机废气治理技术指南》（广东省环保厅2014年12月）等提出的关于活性炭吸附有机废气的处理效率，吸附法基本在50%~80%之间，</w:t>
            </w:r>
            <w:r>
              <w:rPr>
                <w:rFonts w:hint="default" w:ascii="Times New Roman" w:hAnsi="Times New Roman" w:eastAsia="宋体" w:cs="Times New Roman"/>
                <w:color w:val="auto"/>
                <w:sz w:val="24"/>
                <w:szCs w:val="24"/>
                <w:lang w:val="en-US" w:eastAsia="zh-CN"/>
              </w:rPr>
              <w:t>项目单级处理效率按60%计，</w:t>
            </w:r>
            <w:r>
              <w:rPr>
                <w:rFonts w:hint="default" w:ascii="Times New Roman" w:hAnsi="Times New Roman" w:eastAsia="宋体" w:cs="Times New Roman"/>
                <w:color w:val="auto"/>
                <w:sz w:val="24"/>
                <w:szCs w:val="24"/>
              </w:rPr>
              <w:t>计算得出二级活性炭吸附装置处理效率为1-（1-</w:t>
            </w:r>
            <w:r>
              <w:rPr>
                <w:rFonts w:hint="default" w:ascii="Times New Roman" w:hAnsi="Times New Roman" w:eastAsia="宋体" w:cs="Times New Roman"/>
                <w:color w:val="auto"/>
                <w:sz w:val="24"/>
                <w:szCs w:val="24"/>
                <w:lang w:val="en-US" w:eastAsia="zh-CN"/>
              </w:rPr>
              <w:t>60</w:t>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60</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84</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废气产生浓度较低，二级活性炭吸附装置处理效果不明显，因此</w:t>
            </w: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val="en-US" w:eastAsia="zh-CN"/>
              </w:rPr>
              <w:t>注塑</w:t>
            </w:r>
            <w:r>
              <w:rPr>
                <w:rFonts w:hint="default" w:ascii="Times New Roman" w:hAnsi="Times New Roman" w:cs="Times New Roman"/>
                <w:color w:val="auto"/>
                <w:sz w:val="24"/>
                <w:szCs w:val="24"/>
                <w:lang w:val="en-US" w:eastAsia="zh-CN"/>
              </w:rPr>
              <w:t>和液态成型</w:t>
            </w:r>
            <w:r>
              <w:rPr>
                <w:rFonts w:hint="default" w:ascii="Times New Roman" w:hAnsi="Times New Roman" w:eastAsia="宋体" w:cs="Times New Roman"/>
                <w:color w:val="auto"/>
                <w:sz w:val="24"/>
                <w:szCs w:val="24"/>
                <w:lang w:val="en-US" w:eastAsia="zh-CN"/>
              </w:rPr>
              <w:t>工序有机废气处理效率按75%计</w:t>
            </w:r>
            <w:r>
              <w:rPr>
                <w:rFonts w:hint="default" w:ascii="Times New Roman" w:hAnsi="Times New Roman" w:eastAsia="宋体" w:cs="Times New Roman"/>
                <w:color w:val="auto"/>
                <w:sz w:val="24"/>
                <w:szCs w:val="24"/>
              </w:rPr>
              <w:t>。</w:t>
            </w:r>
          </w:p>
          <w:p w14:paraId="7E5E2DAC">
            <w:pPr>
              <w:keepNext w:val="0"/>
              <w:keepLines w:val="0"/>
              <w:suppressLineNumbers w:val="0"/>
              <w:wordWrap/>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val="en-US" w:eastAsia="zh-CN"/>
              </w:rPr>
              <w:t>排气筒DA00</w:t>
            </w:r>
            <w:r>
              <w:rPr>
                <w:rFonts w:hint="default" w:ascii="Times New Roman" w:hAnsi="Times New Roman" w:cs="Times New Roman"/>
                <w:color w:val="auto"/>
                <w:sz w:val="24"/>
                <w:szCs w:val="24"/>
                <w:lang w:val="en-US" w:eastAsia="zh-CN"/>
              </w:rPr>
              <w:t>2</w:t>
            </w:r>
            <w:r>
              <w:rPr>
                <w:rFonts w:hint="default" w:ascii="Times New Roman" w:hAnsi="Times New Roman" w:eastAsia="宋体" w:cs="Times New Roman"/>
                <w:color w:val="auto"/>
                <w:sz w:val="24"/>
                <w:szCs w:val="24"/>
              </w:rPr>
              <w:t>废气产排情况见下表：</w:t>
            </w:r>
          </w:p>
          <w:p w14:paraId="13675C95">
            <w:pPr>
              <w:keepNext w:val="0"/>
              <w:keepLines w:val="0"/>
              <w:numPr>
                <w:ilvl w:val="0"/>
                <w:numId w:val="0"/>
              </w:numPr>
              <w:suppressLineNumbers w:val="0"/>
              <w:tabs>
                <w:tab w:val="left" w:pos="0"/>
              </w:tabs>
              <w:wordWrap/>
              <w:spacing w:before="0" w:beforeAutospacing="0" w:after="0" w:afterAutospacing="0" w:line="240" w:lineRule="auto"/>
              <w:ind w:left="0" w:leftChars="0" w:right="0" w:rightChars="0" w:firstLine="420" w:firstLineChars="0"/>
              <w:jc w:val="center"/>
              <w:rPr>
                <w:rFonts w:hint="default" w:ascii="Times New Roman" w:hAnsi="Times New Roman" w:eastAsia="宋体" w:cs="Times New Roman"/>
                <w:b/>
                <w:color w:val="auto"/>
                <w:kern w:val="0"/>
                <w:sz w:val="24"/>
                <w:szCs w:val="24"/>
              </w:rPr>
            </w:pPr>
            <w:r>
              <w:rPr>
                <w:rFonts w:hint="default" w:ascii="Times New Roman" w:hAnsi="Times New Roman" w:eastAsia="宋体" w:cs="Times New Roman"/>
                <w:b/>
                <w:color w:val="auto"/>
                <w:kern w:val="0"/>
                <w:sz w:val="24"/>
                <w:szCs w:val="24"/>
                <w:lang w:val="en-US" w:eastAsia="zh-CN" w:bidi="ar-SA"/>
              </w:rPr>
              <w:t>表4-</w:t>
            </w:r>
            <w:r>
              <w:rPr>
                <w:rFonts w:hint="default" w:ascii="Times New Roman" w:hAnsi="Times New Roman" w:cs="Times New Roman"/>
                <w:b/>
                <w:color w:val="auto"/>
                <w:kern w:val="0"/>
                <w:sz w:val="24"/>
                <w:szCs w:val="24"/>
                <w:lang w:val="en-US" w:eastAsia="zh-CN" w:bidi="ar-SA"/>
              </w:rPr>
              <w:t>5</w:t>
            </w:r>
            <w:r>
              <w:rPr>
                <w:rFonts w:hint="default" w:ascii="Times New Roman" w:hAnsi="Times New Roman" w:eastAsia="宋体" w:cs="Times New Roman"/>
                <w:b/>
                <w:color w:val="auto"/>
                <w:kern w:val="0"/>
                <w:sz w:val="24"/>
                <w:szCs w:val="24"/>
                <w:lang w:val="en-US" w:eastAsia="zh-CN" w:bidi="ar-SA"/>
              </w:rPr>
              <w:t xml:space="preserve"> </w:t>
            </w:r>
            <w:r>
              <w:rPr>
                <w:rFonts w:hint="default" w:ascii="Times New Roman" w:hAnsi="Times New Roman" w:eastAsia="宋体" w:cs="Times New Roman"/>
                <w:b/>
                <w:color w:val="auto"/>
                <w:kern w:val="0"/>
                <w:sz w:val="24"/>
                <w:szCs w:val="24"/>
              </w:rPr>
              <w:t>项目</w:t>
            </w:r>
            <w:r>
              <w:rPr>
                <w:rFonts w:hint="default" w:ascii="Times New Roman" w:hAnsi="Times New Roman" w:eastAsia="宋体" w:cs="Times New Roman"/>
                <w:b/>
                <w:color w:val="auto"/>
                <w:kern w:val="0"/>
                <w:sz w:val="24"/>
                <w:szCs w:val="24"/>
                <w:lang w:val="en-US" w:eastAsia="zh-CN"/>
              </w:rPr>
              <w:t>排气筒DA00</w:t>
            </w:r>
            <w:r>
              <w:rPr>
                <w:rFonts w:hint="default" w:ascii="Times New Roman" w:hAnsi="Times New Roman" w:cs="Times New Roman"/>
                <w:b/>
                <w:color w:val="auto"/>
                <w:kern w:val="0"/>
                <w:sz w:val="24"/>
                <w:szCs w:val="24"/>
                <w:lang w:val="en-US" w:eastAsia="zh-CN"/>
              </w:rPr>
              <w:t>2</w:t>
            </w:r>
            <w:r>
              <w:rPr>
                <w:rFonts w:hint="default" w:ascii="Times New Roman" w:hAnsi="Times New Roman" w:eastAsia="宋体" w:cs="Times New Roman"/>
                <w:b/>
                <w:color w:val="auto"/>
                <w:kern w:val="0"/>
                <w:sz w:val="24"/>
                <w:szCs w:val="24"/>
              </w:rPr>
              <w:t>废气产排情况一览表</w:t>
            </w:r>
          </w:p>
          <w:tbl>
            <w:tblPr>
              <w:tblStyle w:val="22"/>
              <w:tblW w:w="84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611"/>
              <w:gridCol w:w="478"/>
              <w:gridCol w:w="590"/>
              <w:gridCol w:w="582"/>
              <w:gridCol w:w="779"/>
              <w:gridCol w:w="882"/>
              <w:gridCol w:w="940"/>
              <w:gridCol w:w="619"/>
              <w:gridCol w:w="769"/>
              <w:gridCol w:w="742"/>
              <w:gridCol w:w="866"/>
            </w:tblGrid>
            <w:tr w14:paraId="7CBFC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59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CC6FCA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w:t>
                  </w:r>
                </w:p>
                <w:p w14:paraId="684539C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方式</w:t>
                  </w:r>
                </w:p>
              </w:tc>
              <w:tc>
                <w:tcPr>
                  <w:tcW w:w="6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14B445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排气筒编号</w:t>
                  </w:r>
                </w:p>
              </w:tc>
              <w:tc>
                <w:tcPr>
                  <w:tcW w:w="47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94B910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污染源</w:t>
                  </w:r>
                </w:p>
              </w:tc>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11C593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w:t>
                  </w: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644045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收集效率</w:t>
                  </w:r>
                  <w:r>
                    <w:rPr>
                      <w:rFonts w:hint="default" w:ascii="Times New Roman" w:hAnsi="Times New Roman" w:eastAsia="宋体" w:cs="Times New Roman"/>
                      <w:b/>
                      <w:color w:val="auto"/>
                      <w:sz w:val="21"/>
                      <w:szCs w:val="21"/>
                    </w:rPr>
                    <w:t>（%）</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32EB13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产生量（t/a）</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9AE140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产生速率（kg/h）</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EBD1B9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产生浓度（mg/m</w:t>
                  </w:r>
                  <w:r>
                    <w:rPr>
                      <w:rFonts w:hint="default" w:ascii="Times New Roman" w:hAnsi="Times New Roman" w:eastAsia="宋体" w:cs="Times New Roman"/>
                      <w:b/>
                      <w:color w:val="auto"/>
                      <w:sz w:val="21"/>
                      <w:szCs w:val="21"/>
                      <w:vertAlign w:val="superscript"/>
                    </w:rPr>
                    <w:t>3</w:t>
                  </w:r>
                  <w:r>
                    <w:rPr>
                      <w:rFonts w:hint="default" w:ascii="Times New Roman" w:hAnsi="Times New Roman" w:eastAsia="宋体" w:cs="Times New Roman"/>
                      <w:b/>
                      <w:color w:val="auto"/>
                      <w:sz w:val="21"/>
                      <w:szCs w:val="21"/>
                    </w:rPr>
                    <w:t>）</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2A90B5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处理效率（%）</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42675F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排放量（t/a）</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727357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排放速率（kg/h）</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980D8B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排放浓度（mg/m</w:t>
                  </w:r>
                  <w:r>
                    <w:rPr>
                      <w:rFonts w:hint="default" w:ascii="Times New Roman" w:hAnsi="Times New Roman" w:eastAsia="宋体" w:cs="Times New Roman"/>
                      <w:b/>
                      <w:color w:val="auto"/>
                      <w:sz w:val="21"/>
                      <w:szCs w:val="21"/>
                      <w:vertAlign w:val="superscript"/>
                    </w:rPr>
                    <w:t>3</w:t>
                  </w:r>
                  <w:r>
                    <w:rPr>
                      <w:rFonts w:hint="default" w:ascii="Times New Roman" w:hAnsi="Times New Roman" w:eastAsia="宋体" w:cs="Times New Roman"/>
                      <w:b/>
                      <w:color w:val="auto"/>
                      <w:sz w:val="21"/>
                      <w:szCs w:val="21"/>
                    </w:rPr>
                    <w:t>）</w:t>
                  </w:r>
                </w:p>
              </w:tc>
            </w:tr>
            <w:tr w14:paraId="7B8F7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59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35AE52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2E0F7C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DA00</w:t>
                  </w:r>
                  <w:r>
                    <w:rPr>
                      <w:rFonts w:hint="default" w:ascii="Times New Roman" w:hAnsi="Times New Roman" w:cs="Times New Roman"/>
                      <w:bCs/>
                      <w:color w:val="auto"/>
                      <w:sz w:val="21"/>
                      <w:szCs w:val="21"/>
                      <w:lang w:val="en-US" w:eastAsia="zh-CN"/>
                    </w:rPr>
                    <w:t>2</w:t>
                  </w:r>
                </w:p>
              </w:tc>
              <w:tc>
                <w:tcPr>
                  <w:tcW w:w="478"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7078778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注塑</w:t>
                  </w:r>
                </w:p>
              </w:tc>
              <w:tc>
                <w:tcPr>
                  <w:tcW w:w="590"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2B56E56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非甲烷总烃</w:t>
                  </w: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AA5B57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19A95E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0.592</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28903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0.123</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D99AC2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3.8</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E8B11C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85AC5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0.148</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211A5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0.031</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DA2D64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0.95</w:t>
                  </w:r>
                </w:p>
              </w:tc>
            </w:tr>
            <w:tr w14:paraId="7886E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59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8A5853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7381BF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8" w:type="dxa"/>
                  <w:vMerge w:val="continue"/>
                  <w:tcBorders>
                    <w:left w:val="single" w:color="auto" w:sz="4" w:space="0"/>
                    <w:right w:val="single" w:color="auto" w:sz="4" w:space="0"/>
                  </w:tcBorders>
                  <w:noWrap w:val="0"/>
                  <w:tcMar>
                    <w:left w:w="28" w:type="dxa"/>
                    <w:right w:w="28" w:type="dxa"/>
                  </w:tcMar>
                  <w:vAlign w:val="center"/>
                </w:tcPr>
                <w:p w14:paraId="0EF9C43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90" w:type="dxa"/>
                  <w:vMerge w:val="continue"/>
                  <w:tcBorders>
                    <w:left w:val="single" w:color="auto" w:sz="4" w:space="0"/>
                    <w:right w:val="single" w:color="auto" w:sz="4" w:space="0"/>
                  </w:tcBorders>
                  <w:noWrap w:val="0"/>
                  <w:tcMar>
                    <w:left w:w="28" w:type="dxa"/>
                    <w:right w:w="28" w:type="dxa"/>
                  </w:tcMar>
                  <w:vAlign w:val="center"/>
                </w:tcPr>
                <w:p w14:paraId="4B77968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B17603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107525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0.592</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86F358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0.123</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35E0C3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C1E0D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EA9364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0.592</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1952D7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0.123</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39EFF5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w:t>
                  </w:r>
                </w:p>
              </w:tc>
            </w:tr>
            <w:tr w14:paraId="724F1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208"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F69B4A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8" w:type="dxa"/>
                  <w:vMerge w:val="continue"/>
                  <w:tcBorders>
                    <w:left w:val="single" w:color="auto" w:sz="4" w:space="0"/>
                    <w:right w:val="single" w:color="auto" w:sz="4" w:space="0"/>
                  </w:tcBorders>
                  <w:noWrap w:val="0"/>
                  <w:tcMar>
                    <w:left w:w="28" w:type="dxa"/>
                    <w:right w:w="28" w:type="dxa"/>
                  </w:tcMar>
                  <w:vAlign w:val="center"/>
                </w:tcPr>
                <w:p w14:paraId="545C857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90" w:type="dxa"/>
                  <w:vMerge w:val="continue"/>
                  <w:tcBorders>
                    <w:left w:val="single" w:color="auto" w:sz="4" w:space="0"/>
                    <w:right w:val="single" w:color="auto" w:sz="4" w:space="0"/>
                  </w:tcBorders>
                  <w:noWrap w:val="0"/>
                  <w:tcMar>
                    <w:left w:w="28" w:type="dxa"/>
                    <w:right w:w="28" w:type="dxa"/>
                  </w:tcMar>
                  <w:vAlign w:val="center"/>
                </w:tcPr>
                <w:p w14:paraId="289648E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501822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DBCAB4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1.184</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5768C4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0.246</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082A5C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04B3EE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331B05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0.74</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57DC72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0.154</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CE156C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r>
            <w:tr w14:paraId="6FB02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59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2FD18B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334EA4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DA00</w:t>
                  </w:r>
                  <w:r>
                    <w:rPr>
                      <w:rFonts w:hint="default" w:ascii="Times New Roman" w:hAnsi="Times New Roman" w:cs="Times New Roman"/>
                      <w:bCs/>
                      <w:color w:val="auto"/>
                      <w:sz w:val="21"/>
                      <w:szCs w:val="21"/>
                      <w:lang w:val="en-US" w:eastAsia="zh-CN"/>
                    </w:rPr>
                    <w:t>2</w:t>
                  </w:r>
                </w:p>
              </w:tc>
              <w:tc>
                <w:tcPr>
                  <w:tcW w:w="478"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53F4295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液态成型</w:t>
                  </w:r>
                </w:p>
              </w:tc>
              <w:tc>
                <w:tcPr>
                  <w:tcW w:w="590"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578888F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val="en-US" w:eastAsia="zh-CN"/>
                    </w:rPr>
                    <w:t>非甲烷总烃</w:t>
                  </w: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24632D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86811C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0.012</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92F924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0.0025</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98C6AB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0.077</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2F97DD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740283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0.003</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952DD4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0.0006</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EE73BF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0.019</w:t>
                  </w:r>
                </w:p>
              </w:tc>
            </w:tr>
            <w:tr w14:paraId="0B0E5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59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3845EEF">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782A1F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8" w:type="dxa"/>
                  <w:vMerge w:val="continue"/>
                  <w:tcBorders>
                    <w:left w:val="single" w:color="auto" w:sz="4" w:space="0"/>
                    <w:right w:val="single" w:color="auto" w:sz="4" w:space="0"/>
                  </w:tcBorders>
                  <w:noWrap w:val="0"/>
                  <w:tcMar>
                    <w:left w:w="28" w:type="dxa"/>
                    <w:right w:w="28" w:type="dxa"/>
                  </w:tcMar>
                  <w:vAlign w:val="center"/>
                </w:tcPr>
                <w:p w14:paraId="75BACBC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90" w:type="dxa"/>
                  <w:vMerge w:val="continue"/>
                  <w:tcBorders>
                    <w:left w:val="single" w:color="auto" w:sz="4" w:space="0"/>
                    <w:right w:val="single" w:color="auto" w:sz="4" w:space="0"/>
                  </w:tcBorders>
                  <w:noWrap w:val="0"/>
                  <w:tcMar>
                    <w:left w:w="28" w:type="dxa"/>
                    <w:right w:w="28" w:type="dxa"/>
                  </w:tcMar>
                  <w:vAlign w:val="center"/>
                </w:tcPr>
                <w:p w14:paraId="5C1398B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5795BB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C7BE8D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0.012</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00CB0D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0.0025</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6A01D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33F535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7C5AD8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0.012</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6A56EA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0.0025</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DA2860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w:t>
                  </w:r>
                </w:p>
              </w:tc>
            </w:tr>
            <w:tr w14:paraId="77E91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208"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0219BB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8" w:type="dxa"/>
                  <w:vMerge w:val="continue"/>
                  <w:tcBorders>
                    <w:left w:val="single" w:color="auto" w:sz="4" w:space="0"/>
                    <w:right w:val="single" w:color="auto" w:sz="4" w:space="0"/>
                  </w:tcBorders>
                  <w:noWrap w:val="0"/>
                  <w:tcMar>
                    <w:left w:w="28" w:type="dxa"/>
                    <w:right w:w="28" w:type="dxa"/>
                  </w:tcMar>
                  <w:vAlign w:val="center"/>
                </w:tcPr>
                <w:p w14:paraId="58D8F98F">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90" w:type="dxa"/>
                  <w:vMerge w:val="continue"/>
                  <w:tcBorders>
                    <w:left w:val="single" w:color="auto" w:sz="4" w:space="0"/>
                    <w:right w:val="single" w:color="auto" w:sz="4" w:space="0"/>
                  </w:tcBorders>
                  <w:noWrap w:val="0"/>
                  <w:tcMar>
                    <w:left w:w="28" w:type="dxa"/>
                    <w:right w:w="28" w:type="dxa"/>
                  </w:tcMar>
                  <w:vAlign w:val="center"/>
                </w:tcPr>
                <w:p w14:paraId="5FFD9BF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A7ACF9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2396EF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0.024</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A2507E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B6A61A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C41AB0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B40085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0.015</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1DBAB3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0.0031</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56ECF0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r>
          </w:tbl>
          <w:p w14:paraId="7156E9EB">
            <w:pPr>
              <w:wordWrap/>
              <w:adjustRightInd w:val="0"/>
              <w:snapToGrid w:val="0"/>
              <w:ind w:firstLine="482" w:firstLineChars="200"/>
              <w:jc w:val="left"/>
              <w:rPr>
                <w:rFonts w:hint="default" w:ascii="Times New Roman" w:hAnsi="Times New Roman" w:cs="Times New Roman"/>
                <w:b/>
                <w:color w:val="auto"/>
                <w:kern w:val="21"/>
              </w:rPr>
            </w:pPr>
            <w:r>
              <w:rPr>
                <w:rFonts w:hint="default" w:ascii="Times New Roman" w:hAnsi="Times New Roman" w:cs="Times New Roman"/>
                <w:b/>
                <w:color w:val="auto"/>
                <w:kern w:val="21"/>
              </w:rPr>
              <w:t>（2）废气排放口情况</w:t>
            </w:r>
          </w:p>
          <w:p w14:paraId="38A277B9">
            <w:pPr>
              <w:wordWrap/>
              <w:adjustRightInd w:val="0"/>
              <w:snapToGrid w:val="0"/>
              <w:spacing w:line="240" w:lineRule="auto"/>
              <w:ind w:firstLine="482" w:firstLineChars="200"/>
              <w:jc w:val="center"/>
              <w:rPr>
                <w:rFonts w:hint="default" w:ascii="Times New Roman" w:hAnsi="Times New Roman" w:cs="Times New Roman"/>
                <w:b/>
                <w:color w:val="auto"/>
                <w:kern w:val="21"/>
              </w:rPr>
            </w:pPr>
            <w:r>
              <w:rPr>
                <w:rFonts w:hint="default" w:ascii="Times New Roman" w:hAnsi="Times New Roman" w:cs="Times New Roman"/>
                <w:b/>
                <w:color w:val="auto"/>
                <w:kern w:val="21"/>
              </w:rPr>
              <w:t>表</w:t>
            </w:r>
            <w:r>
              <w:rPr>
                <w:rFonts w:hint="default" w:ascii="Times New Roman" w:hAnsi="Times New Roman" w:cs="Times New Roman"/>
                <w:b/>
                <w:color w:val="auto"/>
                <w:kern w:val="21"/>
                <w:lang w:val="en-US" w:eastAsia="zh-CN"/>
              </w:rPr>
              <w:t>4-6</w:t>
            </w:r>
            <w:r>
              <w:rPr>
                <w:rFonts w:hint="default" w:ascii="Times New Roman" w:hAnsi="Times New Roman" w:cs="Times New Roman"/>
                <w:b/>
                <w:color w:val="auto"/>
                <w:kern w:val="21"/>
              </w:rPr>
              <w:t xml:space="preserve"> 项目废气排</w:t>
            </w:r>
            <w:r>
              <w:rPr>
                <w:rFonts w:hint="default" w:ascii="Times New Roman" w:hAnsi="Times New Roman" w:cs="Times New Roman"/>
                <w:b/>
                <w:color w:val="auto"/>
                <w:kern w:val="21"/>
                <w:lang w:val="en-US" w:eastAsia="zh-CN"/>
              </w:rPr>
              <w:t>放</w:t>
            </w:r>
            <w:r>
              <w:rPr>
                <w:rFonts w:hint="default" w:ascii="Times New Roman" w:hAnsi="Times New Roman" w:cs="Times New Roman"/>
                <w:b/>
                <w:color w:val="auto"/>
                <w:kern w:val="21"/>
              </w:rPr>
              <w:t>口基本情况一览表</w:t>
            </w:r>
          </w:p>
          <w:tbl>
            <w:tblPr>
              <w:tblStyle w:val="23"/>
              <w:tblW w:w="83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069"/>
              <w:gridCol w:w="979"/>
              <w:gridCol w:w="934"/>
              <w:gridCol w:w="722"/>
              <w:gridCol w:w="854"/>
              <w:gridCol w:w="815"/>
              <w:gridCol w:w="1041"/>
              <w:gridCol w:w="1007"/>
            </w:tblGrid>
            <w:tr w14:paraId="35F70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915" w:type="dxa"/>
                  <w:vMerge w:val="restart"/>
                  <w:vAlign w:val="center"/>
                </w:tcPr>
                <w:p w14:paraId="5C7B8177">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排放口编号</w:t>
                  </w:r>
                </w:p>
              </w:tc>
              <w:tc>
                <w:tcPr>
                  <w:tcW w:w="1069" w:type="dxa"/>
                  <w:vMerge w:val="restart"/>
                  <w:vAlign w:val="center"/>
                </w:tcPr>
                <w:p w14:paraId="4DB503CB">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污染物种类</w:t>
                  </w:r>
                </w:p>
              </w:tc>
              <w:tc>
                <w:tcPr>
                  <w:tcW w:w="1913" w:type="dxa"/>
                  <w:gridSpan w:val="2"/>
                  <w:vAlign w:val="center"/>
                </w:tcPr>
                <w:p w14:paraId="1A2CDD3A">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排放口地理位置</w:t>
                  </w:r>
                </w:p>
              </w:tc>
              <w:tc>
                <w:tcPr>
                  <w:tcW w:w="722" w:type="dxa"/>
                  <w:vMerge w:val="restart"/>
                  <w:vAlign w:val="center"/>
                </w:tcPr>
                <w:p w14:paraId="7FA7B640">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排放高度/m</w:t>
                  </w:r>
                </w:p>
              </w:tc>
              <w:tc>
                <w:tcPr>
                  <w:tcW w:w="854" w:type="dxa"/>
                  <w:vMerge w:val="restart"/>
                  <w:vAlign w:val="center"/>
                </w:tcPr>
                <w:p w14:paraId="23DF8ADD">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排气筒内径/m</w:t>
                  </w:r>
                </w:p>
              </w:tc>
              <w:tc>
                <w:tcPr>
                  <w:tcW w:w="815" w:type="dxa"/>
                  <w:vMerge w:val="restart"/>
                  <w:vAlign w:val="center"/>
                </w:tcPr>
                <w:p w14:paraId="20301501">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排气温度/℃</w:t>
                  </w:r>
                </w:p>
              </w:tc>
              <w:tc>
                <w:tcPr>
                  <w:tcW w:w="1041" w:type="dxa"/>
                  <w:vMerge w:val="restart"/>
                  <w:vAlign w:val="center"/>
                </w:tcPr>
                <w:p w14:paraId="593C0DAB">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风量（m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/h）</w:t>
                  </w:r>
                </w:p>
              </w:tc>
              <w:tc>
                <w:tcPr>
                  <w:tcW w:w="1007" w:type="dxa"/>
                  <w:vMerge w:val="restart"/>
                  <w:vAlign w:val="center"/>
                </w:tcPr>
                <w:p w14:paraId="7B9F5CB1">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排放口类型</w:t>
                  </w:r>
                </w:p>
              </w:tc>
            </w:tr>
            <w:tr w14:paraId="18554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15" w:type="dxa"/>
                  <w:vMerge w:val="continue"/>
                  <w:vAlign w:val="center"/>
                </w:tcPr>
                <w:p w14:paraId="1E545B3F">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1069" w:type="dxa"/>
                  <w:vMerge w:val="continue"/>
                  <w:vAlign w:val="center"/>
                </w:tcPr>
                <w:p w14:paraId="399E953A">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79" w:type="dxa"/>
                  <w:vAlign w:val="center"/>
                </w:tcPr>
                <w:p w14:paraId="010B49BF">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经度/°</w:t>
                  </w:r>
                </w:p>
              </w:tc>
              <w:tc>
                <w:tcPr>
                  <w:tcW w:w="934" w:type="dxa"/>
                  <w:vAlign w:val="center"/>
                </w:tcPr>
                <w:p w14:paraId="71652A59">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纬度/°</w:t>
                  </w:r>
                </w:p>
              </w:tc>
              <w:tc>
                <w:tcPr>
                  <w:tcW w:w="722" w:type="dxa"/>
                  <w:vMerge w:val="continue"/>
                  <w:vAlign w:val="center"/>
                </w:tcPr>
                <w:p w14:paraId="49EA1075">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54" w:type="dxa"/>
                  <w:vMerge w:val="continue"/>
                  <w:vAlign w:val="center"/>
                </w:tcPr>
                <w:p w14:paraId="0BF4B124">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15" w:type="dxa"/>
                  <w:vMerge w:val="continue"/>
                  <w:vAlign w:val="center"/>
                </w:tcPr>
                <w:p w14:paraId="46F92FC5">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1041" w:type="dxa"/>
                  <w:vMerge w:val="continue"/>
                  <w:vAlign w:val="center"/>
                </w:tcPr>
                <w:p w14:paraId="324BD8F8">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1007" w:type="dxa"/>
                  <w:vMerge w:val="continue"/>
                  <w:vAlign w:val="center"/>
                </w:tcPr>
                <w:p w14:paraId="5B5942E5">
                  <w:pPr>
                    <w:wordWrap/>
                    <w:adjustRightInd w:val="0"/>
                    <w:snapToGrid w:val="0"/>
                    <w:spacing w:line="240" w:lineRule="auto"/>
                    <w:jc w:val="center"/>
                    <w:rPr>
                      <w:rFonts w:hint="default" w:ascii="Times New Roman" w:hAnsi="Times New Roman" w:cs="Times New Roman"/>
                      <w:bCs/>
                      <w:color w:val="auto"/>
                      <w:kern w:val="21"/>
                      <w:sz w:val="21"/>
                      <w:szCs w:val="21"/>
                    </w:rPr>
                  </w:pPr>
                </w:p>
              </w:tc>
            </w:tr>
            <w:tr w14:paraId="3B2A1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915" w:type="dxa"/>
                  <w:vAlign w:val="center"/>
                </w:tcPr>
                <w:p w14:paraId="5CE87C8F">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DA001</w:t>
                  </w:r>
                </w:p>
              </w:tc>
              <w:tc>
                <w:tcPr>
                  <w:tcW w:w="1069" w:type="dxa"/>
                  <w:vAlign w:val="center"/>
                </w:tcPr>
                <w:p w14:paraId="5A8DE158">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rPr>
                    <w:t>VOCs</w:t>
                  </w:r>
                  <w:r>
                    <w:rPr>
                      <w:rFonts w:hint="default" w:ascii="Times New Roman" w:hAnsi="Times New Roman" w:cs="Times New Roman"/>
                      <w:bCs/>
                      <w:color w:val="auto"/>
                      <w:kern w:val="21"/>
                      <w:sz w:val="21"/>
                      <w:szCs w:val="21"/>
                      <w:lang w:eastAsia="zh-CN"/>
                    </w:rPr>
                    <w:t>、</w:t>
                  </w:r>
                  <w:r>
                    <w:rPr>
                      <w:rFonts w:hint="default" w:ascii="Times New Roman" w:hAnsi="Times New Roman" w:cs="Times New Roman"/>
                      <w:bCs/>
                      <w:color w:val="auto"/>
                      <w:kern w:val="21"/>
                      <w:sz w:val="21"/>
                      <w:szCs w:val="21"/>
                      <w:lang w:val="en-US" w:eastAsia="zh-CN"/>
                    </w:rPr>
                    <w:t>颗粒物、非甲烷总烃、臭气浓度</w:t>
                  </w:r>
                </w:p>
              </w:tc>
              <w:tc>
                <w:tcPr>
                  <w:tcW w:w="979" w:type="dxa"/>
                  <w:vAlign w:val="center"/>
                </w:tcPr>
                <w:p w14:paraId="013789A9">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114.011761</w:t>
                  </w:r>
                  <w:r>
                    <w:rPr>
                      <w:rFonts w:hint="default" w:ascii="Times New Roman" w:hAnsi="Times New Roman" w:cs="Times New Roman"/>
                      <w:b/>
                      <w:color w:val="auto"/>
                      <w:kern w:val="21"/>
                      <w:sz w:val="21"/>
                      <w:szCs w:val="21"/>
                    </w:rPr>
                    <w:t>°</w:t>
                  </w:r>
                </w:p>
              </w:tc>
              <w:tc>
                <w:tcPr>
                  <w:tcW w:w="934" w:type="dxa"/>
                  <w:vAlign w:val="center"/>
                </w:tcPr>
                <w:p w14:paraId="4F7A5390">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23.111546</w:t>
                  </w:r>
                  <w:r>
                    <w:rPr>
                      <w:rFonts w:hint="default" w:ascii="Times New Roman" w:hAnsi="Times New Roman" w:cs="Times New Roman"/>
                      <w:b/>
                      <w:color w:val="auto"/>
                      <w:kern w:val="21"/>
                      <w:sz w:val="21"/>
                      <w:szCs w:val="21"/>
                    </w:rPr>
                    <w:t>°</w:t>
                  </w:r>
                </w:p>
              </w:tc>
              <w:tc>
                <w:tcPr>
                  <w:tcW w:w="722" w:type="dxa"/>
                  <w:vAlign w:val="center"/>
                </w:tcPr>
                <w:p w14:paraId="396FCB36">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55</w:t>
                  </w:r>
                </w:p>
              </w:tc>
              <w:tc>
                <w:tcPr>
                  <w:tcW w:w="854" w:type="dxa"/>
                  <w:vAlign w:val="center"/>
                </w:tcPr>
                <w:p w14:paraId="4113E607">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0.65</w:t>
                  </w:r>
                </w:p>
              </w:tc>
              <w:tc>
                <w:tcPr>
                  <w:tcW w:w="815" w:type="dxa"/>
                  <w:vAlign w:val="center"/>
                </w:tcPr>
                <w:p w14:paraId="42014E9E">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25</w:t>
                  </w:r>
                </w:p>
              </w:tc>
              <w:tc>
                <w:tcPr>
                  <w:tcW w:w="1041" w:type="dxa"/>
                  <w:vAlign w:val="center"/>
                </w:tcPr>
                <w:p w14:paraId="18C0D185">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16500</w:t>
                  </w:r>
                </w:p>
              </w:tc>
              <w:tc>
                <w:tcPr>
                  <w:tcW w:w="1007" w:type="dxa"/>
                  <w:vAlign w:val="center"/>
                </w:tcPr>
                <w:p w14:paraId="4786DFB5">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一般排放口</w:t>
                  </w:r>
                </w:p>
              </w:tc>
            </w:tr>
            <w:tr w14:paraId="69FA8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915" w:type="dxa"/>
                  <w:vAlign w:val="center"/>
                </w:tcPr>
                <w:p w14:paraId="400E058B">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DA002</w:t>
                  </w:r>
                </w:p>
              </w:tc>
              <w:tc>
                <w:tcPr>
                  <w:tcW w:w="1069" w:type="dxa"/>
                  <w:vAlign w:val="center"/>
                </w:tcPr>
                <w:p w14:paraId="0D6074C5">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非甲烷总烃、臭气浓度</w:t>
                  </w:r>
                </w:p>
              </w:tc>
              <w:tc>
                <w:tcPr>
                  <w:tcW w:w="979" w:type="dxa"/>
                  <w:vAlign w:val="center"/>
                </w:tcPr>
                <w:p w14:paraId="16D991D0">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rPr>
                    <w:t>114.011837</w:t>
                  </w:r>
                  <w:r>
                    <w:rPr>
                      <w:rFonts w:hint="default" w:ascii="Times New Roman" w:hAnsi="Times New Roman" w:cs="Times New Roman"/>
                      <w:b/>
                      <w:color w:val="auto"/>
                      <w:kern w:val="21"/>
                      <w:sz w:val="21"/>
                      <w:szCs w:val="21"/>
                    </w:rPr>
                    <w:t>°</w:t>
                  </w:r>
                </w:p>
              </w:tc>
              <w:tc>
                <w:tcPr>
                  <w:tcW w:w="934" w:type="dxa"/>
                  <w:vAlign w:val="center"/>
                </w:tcPr>
                <w:p w14:paraId="1BB259F0">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rPr>
                    <w:t>23.111558</w:t>
                  </w:r>
                  <w:r>
                    <w:rPr>
                      <w:rFonts w:hint="default" w:ascii="Times New Roman" w:hAnsi="Times New Roman" w:cs="Times New Roman"/>
                      <w:b/>
                      <w:color w:val="auto"/>
                      <w:kern w:val="21"/>
                      <w:sz w:val="21"/>
                      <w:szCs w:val="21"/>
                    </w:rPr>
                    <w:t>°</w:t>
                  </w:r>
                </w:p>
              </w:tc>
              <w:tc>
                <w:tcPr>
                  <w:tcW w:w="722" w:type="dxa"/>
                  <w:vAlign w:val="center"/>
                </w:tcPr>
                <w:p w14:paraId="30DA49DC">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55</w:t>
                  </w:r>
                </w:p>
              </w:tc>
              <w:tc>
                <w:tcPr>
                  <w:tcW w:w="854" w:type="dxa"/>
                  <w:vAlign w:val="center"/>
                </w:tcPr>
                <w:p w14:paraId="46FBA649">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0.9</w:t>
                  </w:r>
                </w:p>
              </w:tc>
              <w:tc>
                <w:tcPr>
                  <w:tcW w:w="815" w:type="dxa"/>
                  <w:vAlign w:val="center"/>
                </w:tcPr>
                <w:p w14:paraId="57C33FC1">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25</w:t>
                  </w:r>
                </w:p>
              </w:tc>
              <w:tc>
                <w:tcPr>
                  <w:tcW w:w="1041" w:type="dxa"/>
                  <w:vAlign w:val="center"/>
                </w:tcPr>
                <w:p w14:paraId="6583655C">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32400</w:t>
                  </w:r>
                </w:p>
              </w:tc>
              <w:tc>
                <w:tcPr>
                  <w:tcW w:w="1007" w:type="dxa"/>
                  <w:vAlign w:val="center"/>
                </w:tcPr>
                <w:p w14:paraId="2C3EB86A">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一般排放口</w:t>
                  </w:r>
                </w:p>
              </w:tc>
            </w:tr>
          </w:tbl>
          <w:p w14:paraId="32CD5221">
            <w:pPr>
              <w:ind w:firstLine="482" w:firstLineChars="200"/>
              <w:textAlignment w:val="baseline"/>
              <w:rPr>
                <w:rFonts w:hint="default" w:ascii="Times New Roman" w:hAnsi="Times New Roman" w:cs="Times New Roman"/>
                <w:b/>
                <w:color w:val="auto"/>
                <w:kern w:val="0"/>
              </w:rPr>
            </w:pPr>
            <w:r>
              <w:rPr>
                <w:rFonts w:hint="default" w:ascii="Times New Roman" w:hAnsi="Times New Roman" w:cs="Times New Roman"/>
                <w:b/>
                <w:color w:val="auto"/>
                <w:kern w:val="0"/>
              </w:rPr>
              <w:t>（3）废气达标分析</w:t>
            </w:r>
          </w:p>
          <w:p w14:paraId="32EDBC34">
            <w:pPr>
              <w:spacing w:line="240" w:lineRule="auto"/>
              <w:ind w:firstLine="482" w:firstLineChars="200"/>
              <w:rPr>
                <w:rFonts w:hint="default" w:ascii="Times New Roman" w:hAnsi="Times New Roman" w:cs="Times New Roman"/>
                <w:b/>
                <w:color w:val="auto"/>
                <w:szCs w:val="32"/>
              </w:rPr>
            </w:pPr>
            <w:r>
              <w:rPr>
                <w:rFonts w:hint="default" w:ascii="Times New Roman" w:hAnsi="Times New Roman" w:cs="Times New Roman"/>
                <w:b/>
                <w:color w:val="auto"/>
                <w:szCs w:val="32"/>
              </w:rPr>
              <w:t>1）有组织排放</w:t>
            </w:r>
          </w:p>
          <w:p w14:paraId="7B674DB5">
            <w:pPr>
              <w:spacing w:line="240" w:lineRule="auto"/>
              <w:jc w:val="center"/>
              <w:rPr>
                <w:rFonts w:hint="default" w:ascii="Times New Roman" w:hAnsi="Times New Roman" w:cs="Times New Roman"/>
                <w:b/>
                <w:color w:val="auto"/>
                <w:szCs w:val="32"/>
              </w:rPr>
            </w:pPr>
            <w:r>
              <w:rPr>
                <w:rFonts w:hint="default" w:ascii="Times New Roman" w:hAnsi="Times New Roman" w:cs="Times New Roman"/>
                <w:b/>
                <w:color w:val="auto"/>
                <w:szCs w:val="32"/>
              </w:rPr>
              <w:t>表</w:t>
            </w:r>
            <w:r>
              <w:rPr>
                <w:rFonts w:hint="default" w:ascii="Times New Roman" w:hAnsi="Times New Roman" w:cs="Times New Roman"/>
                <w:b/>
                <w:color w:val="auto"/>
                <w:szCs w:val="32"/>
                <w:lang w:val="en-US" w:eastAsia="zh-CN"/>
              </w:rPr>
              <w:t>4-7</w:t>
            </w:r>
            <w:r>
              <w:rPr>
                <w:rFonts w:hint="default" w:ascii="Times New Roman" w:hAnsi="Times New Roman" w:cs="Times New Roman"/>
                <w:b/>
                <w:color w:val="auto"/>
                <w:szCs w:val="32"/>
              </w:rPr>
              <w:t xml:space="preserve"> 项目废气污染物排放达标情况一览表</w:t>
            </w:r>
          </w:p>
          <w:tbl>
            <w:tblPr>
              <w:tblStyle w:val="22"/>
              <w:tblW w:w="8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1675"/>
              <w:gridCol w:w="1204"/>
              <w:gridCol w:w="1247"/>
              <w:gridCol w:w="1105"/>
              <w:gridCol w:w="1150"/>
              <w:gridCol w:w="1150"/>
            </w:tblGrid>
            <w:tr w14:paraId="17E7A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25" w:type="dxa"/>
                  <w:vAlign w:val="center"/>
                </w:tcPr>
                <w:p w14:paraId="769E373B">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污染源</w:t>
                  </w:r>
                </w:p>
              </w:tc>
              <w:tc>
                <w:tcPr>
                  <w:tcW w:w="1675" w:type="dxa"/>
                  <w:vAlign w:val="center"/>
                </w:tcPr>
                <w:p w14:paraId="261850E7">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污染物</w:t>
                  </w:r>
                </w:p>
              </w:tc>
              <w:tc>
                <w:tcPr>
                  <w:tcW w:w="1204" w:type="dxa"/>
                  <w:vAlign w:val="center"/>
                </w:tcPr>
                <w:p w14:paraId="6DFB40E0">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排放浓度</w:t>
                  </w:r>
                </w:p>
                <w:p w14:paraId="05432027">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mg/m³</w:t>
                  </w:r>
                </w:p>
              </w:tc>
              <w:tc>
                <w:tcPr>
                  <w:tcW w:w="1247" w:type="dxa"/>
                  <w:vAlign w:val="center"/>
                </w:tcPr>
                <w:p w14:paraId="7CF53F0B">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浓度限值mg/m³</w:t>
                  </w:r>
                </w:p>
              </w:tc>
              <w:tc>
                <w:tcPr>
                  <w:tcW w:w="1105" w:type="dxa"/>
                  <w:vAlign w:val="center"/>
                </w:tcPr>
                <w:p w14:paraId="01094F52">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排放速率</w:t>
                  </w:r>
                </w:p>
                <w:p w14:paraId="59C4931B">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kg/h</w:t>
                  </w:r>
                </w:p>
              </w:tc>
              <w:tc>
                <w:tcPr>
                  <w:tcW w:w="1150" w:type="dxa"/>
                  <w:vAlign w:val="center"/>
                </w:tcPr>
                <w:p w14:paraId="2B54CD48">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速率限值kg/h</w:t>
                  </w:r>
                </w:p>
              </w:tc>
              <w:tc>
                <w:tcPr>
                  <w:tcW w:w="1150" w:type="dxa"/>
                  <w:vAlign w:val="center"/>
                </w:tcPr>
                <w:p w14:paraId="4BF9E599">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达标情况</w:t>
                  </w:r>
                </w:p>
              </w:tc>
            </w:tr>
            <w:tr w14:paraId="45795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25" w:type="dxa"/>
                  <w:vMerge w:val="restart"/>
                  <w:vAlign w:val="center"/>
                </w:tcPr>
                <w:p w14:paraId="17682311">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DA001</w:t>
                  </w:r>
                </w:p>
              </w:tc>
              <w:tc>
                <w:tcPr>
                  <w:tcW w:w="1675" w:type="dxa"/>
                  <w:vAlign w:val="center"/>
                </w:tcPr>
                <w:p w14:paraId="7A1A8650">
                  <w:pPr>
                    <w:spacing w:line="240" w:lineRule="auto"/>
                    <w:jc w:val="center"/>
                    <w:rPr>
                      <w:rFonts w:hint="default" w:ascii="Times New Roman" w:hAnsi="Times New Roman" w:eastAsia="宋体" w:cs="Times New Roman"/>
                      <w:color w:val="auto"/>
                      <w:kern w:val="11"/>
                      <w:sz w:val="21"/>
                      <w:szCs w:val="21"/>
                      <w:lang w:eastAsia="zh-CN"/>
                    </w:rPr>
                  </w:pPr>
                  <w:r>
                    <w:rPr>
                      <w:rFonts w:hint="default" w:ascii="Times New Roman" w:hAnsi="Times New Roman" w:cs="Times New Roman"/>
                      <w:color w:val="auto"/>
                      <w:kern w:val="11"/>
                      <w:sz w:val="21"/>
                      <w:szCs w:val="21"/>
                    </w:rPr>
                    <w:t>VOCs</w:t>
                  </w:r>
                </w:p>
              </w:tc>
              <w:tc>
                <w:tcPr>
                  <w:tcW w:w="1204" w:type="dxa"/>
                  <w:vAlign w:val="center"/>
                </w:tcPr>
                <w:p w14:paraId="7C183881">
                  <w:pPr>
                    <w:widowControl/>
                    <w:wordWrap/>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0.73</w:t>
                  </w:r>
                </w:p>
              </w:tc>
              <w:tc>
                <w:tcPr>
                  <w:tcW w:w="1247" w:type="dxa"/>
                  <w:vAlign w:val="center"/>
                </w:tcPr>
                <w:p w14:paraId="14C0A15E">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120</w:t>
                  </w:r>
                </w:p>
              </w:tc>
              <w:tc>
                <w:tcPr>
                  <w:tcW w:w="1105" w:type="dxa"/>
                  <w:vAlign w:val="center"/>
                </w:tcPr>
                <w:p w14:paraId="4CB7ED22">
                  <w:pPr>
                    <w:widowControl/>
                    <w:wordWrap/>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0.0127</w:t>
                  </w:r>
                </w:p>
              </w:tc>
              <w:tc>
                <w:tcPr>
                  <w:tcW w:w="1150" w:type="dxa"/>
                  <w:vAlign w:val="center"/>
                </w:tcPr>
                <w:p w14:paraId="6FFE4365">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5.1</w:t>
                  </w:r>
                </w:p>
              </w:tc>
              <w:tc>
                <w:tcPr>
                  <w:tcW w:w="1150" w:type="dxa"/>
                  <w:vAlign w:val="center"/>
                </w:tcPr>
                <w:p w14:paraId="012085E5">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达标</w:t>
                  </w:r>
                </w:p>
              </w:tc>
            </w:tr>
            <w:tr w14:paraId="146E8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25" w:type="dxa"/>
                  <w:vMerge w:val="continue"/>
                  <w:vAlign w:val="center"/>
                </w:tcPr>
                <w:p w14:paraId="399B1F01">
                  <w:pPr>
                    <w:spacing w:line="240" w:lineRule="auto"/>
                    <w:jc w:val="center"/>
                    <w:rPr>
                      <w:rFonts w:hint="default" w:ascii="Times New Roman" w:hAnsi="Times New Roman" w:cs="Times New Roman"/>
                      <w:color w:val="auto"/>
                      <w:kern w:val="11"/>
                      <w:sz w:val="21"/>
                      <w:szCs w:val="21"/>
                    </w:rPr>
                  </w:pPr>
                </w:p>
              </w:tc>
              <w:tc>
                <w:tcPr>
                  <w:tcW w:w="1675" w:type="dxa"/>
                  <w:vAlign w:val="center"/>
                </w:tcPr>
                <w:p w14:paraId="7B0A278F">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颗粒物</w:t>
                  </w:r>
                </w:p>
              </w:tc>
              <w:tc>
                <w:tcPr>
                  <w:tcW w:w="1204" w:type="dxa"/>
                  <w:vAlign w:val="center"/>
                </w:tcPr>
                <w:p w14:paraId="5BCA6FCD">
                  <w:pPr>
                    <w:widowControl/>
                    <w:wordWrap/>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0.78</w:t>
                  </w:r>
                </w:p>
              </w:tc>
              <w:tc>
                <w:tcPr>
                  <w:tcW w:w="1247" w:type="dxa"/>
                  <w:vAlign w:val="center"/>
                </w:tcPr>
                <w:p w14:paraId="11CF9E14">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120</w:t>
                  </w:r>
                </w:p>
              </w:tc>
              <w:tc>
                <w:tcPr>
                  <w:tcW w:w="1105" w:type="dxa"/>
                  <w:vAlign w:val="center"/>
                </w:tcPr>
                <w:p w14:paraId="706760DE">
                  <w:pPr>
                    <w:widowControl/>
                    <w:wordWrap/>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0.0129</w:t>
                  </w:r>
                </w:p>
              </w:tc>
              <w:tc>
                <w:tcPr>
                  <w:tcW w:w="1150" w:type="dxa"/>
                  <w:vAlign w:val="center"/>
                </w:tcPr>
                <w:p w14:paraId="5CAC1F07">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49</w:t>
                  </w:r>
                </w:p>
              </w:tc>
              <w:tc>
                <w:tcPr>
                  <w:tcW w:w="1150" w:type="dxa"/>
                  <w:vAlign w:val="center"/>
                </w:tcPr>
                <w:p w14:paraId="0AD7DCA1">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达标</w:t>
                  </w:r>
                </w:p>
              </w:tc>
            </w:tr>
            <w:tr w14:paraId="355D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25" w:type="dxa"/>
                  <w:vMerge w:val="continue"/>
                  <w:vAlign w:val="center"/>
                </w:tcPr>
                <w:p w14:paraId="2AC6AD3A">
                  <w:pPr>
                    <w:spacing w:line="240" w:lineRule="auto"/>
                    <w:jc w:val="center"/>
                    <w:rPr>
                      <w:rFonts w:hint="default" w:ascii="Times New Roman" w:hAnsi="Times New Roman" w:cs="Times New Roman"/>
                      <w:color w:val="auto"/>
                      <w:kern w:val="11"/>
                      <w:sz w:val="21"/>
                      <w:szCs w:val="21"/>
                    </w:rPr>
                  </w:pPr>
                </w:p>
              </w:tc>
              <w:tc>
                <w:tcPr>
                  <w:tcW w:w="1675" w:type="dxa"/>
                  <w:vAlign w:val="center"/>
                </w:tcPr>
                <w:p w14:paraId="0CADE305">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bCs/>
                      <w:color w:val="auto"/>
                      <w:kern w:val="21"/>
                      <w:sz w:val="21"/>
                      <w:szCs w:val="21"/>
                      <w:lang w:val="en-US" w:eastAsia="zh-CN"/>
                    </w:rPr>
                    <w:t>非甲烷总烃</w:t>
                  </w:r>
                </w:p>
              </w:tc>
              <w:tc>
                <w:tcPr>
                  <w:tcW w:w="1204" w:type="dxa"/>
                  <w:vAlign w:val="center"/>
                </w:tcPr>
                <w:p w14:paraId="2409809F">
                  <w:pPr>
                    <w:widowControl/>
                    <w:wordWrap/>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0.278</w:t>
                  </w:r>
                </w:p>
              </w:tc>
              <w:tc>
                <w:tcPr>
                  <w:tcW w:w="1247" w:type="dxa"/>
                  <w:vAlign w:val="center"/>
                </w:tcPr>
                <w:p w14:paraId="1C57AC83">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10</w:t>
                  </w:r>
                </w:p>
              </w:tc>
              <w:tc>
                <w:tcPr>
                  <w:tcW w:w="1105" w:type="dxa"/>
                  <w:vAlign w:val="center"/>
                </w:tcPr>
                <w:p w14:paraId="72337080">
                  <w:pPr>
                    <w:widowControl/>
                    <w:wordWrap/>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0.0046</w:t>
                  </w:r>
                </w:p>
              </w:tc>
              <w:tc>
                <w:tcPr>
                  <w:tcW w:w="1150" w:type="dxa"/>
                  <w:vAlign w:val="center"/>
                </w:tcPr>
                <w:p w14:paraId="4678EB85">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w:t>
                  </w:r>
                </w:p>
              </w:tc>
              <w:tc>
                <w:tcPr>
                  <w:tcW w:w="1150" w:type="dxa"/>
                  <w:vAlign w:val="center"/>
                </w:tcPr>
                <w:p w14:paraId="29D5178F">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达标</w:t>
                  </w:r>
                </w:p>
              </w:tc>
            </w:tr>
            <w:tr w14:paraId="14DB0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25" w:type="dxa"/>
                  <w:vAlign w:val="center"/>
                </w:tcPr>
                <w:p w14:paraId="4FA91A05">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DA002</w:t>
                  </w:r>
                </w:p>
              </w:tc>
              <w:tc>
                <w:tcPr>
                  <w:tcW w:w="1675" w:type="dxa"/>
                  <w:vAlign w:val="center"/>
                </w:tcPr>
                <w:p w14:paraId="14187589">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非甲烷总烃</w:t>
                  </w:r>
                </w:p>
              </w:tc>
              <w:tc>
                <w:tcPr>
                  <w:tcW w:w="1204" w:type="dxa"/>
                  <w:vAlign w:val="center"/>
                </w:tcPr>
                <w:p w14:paraId="64C334A8">
                  <w:pPr>
                    <w:widowControl/>
                    <w:wordWrap/>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0.969</w:t>
                  </w:r>
                </w:p>
              </w:tc>
              <w:tc>
                <w:tcPr>
                  <w:tcW w:w="1247" w:type="dxa"/>
                  <w:vAlign w:val="center"/>
                </w:tcPr>
                <w:p w14:paraId="3A048B8B">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10</w:t>
                  </w:r>
                </w:p>
              </w:tc>
              <w:tc>
                <w:tcPr>
                  <w:tcW w:w="1105" w:type="dxa"/>
                  <w:vAlign w:val="center"/>
                </w:tcPr>
                <w:p w14:paraId="64A82D7E">
                  <w:pPr>
                    <w:widowControl/>
                    <w:wordWrap/>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0.0316</w:t>
                  </w:r>
                </w:p>
              </w:tc>
              <w:tc>
                <w:tcPr>
                  <w:tcW w:w="1150" w:type="dxa"/>
                  <w:vAlign w:val="center"/>
                </w:tcPr>
                <w:p w14:paraId="2E65D676">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w:t>
                  </w:r>
                </w:p>
              </w:tc>
              <w:tc>
                <w:tcPr>
                  <w:tcW w:w="1150" w:type="dxa"/>
                  <w:vAlign w:val="center"/>
                </w:tcPr>
                <w:p w14:paraId="5AA04C37">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达标</w:t>
                  </w:r>
                </w:p>
              </w:tc>
            </w:tr>
          </w:tbl>
          <w:p w14:paraId="2B46B672">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由上表可知，项目排气筒DA001 VOCs有组织排放可以达到广东省《固定污染源挥发性有机物综合排放标准》（DB 44/2367-2022）表1 TVOC最高允许浓度限值</w:t>
            </w:r>
            <w:r>
              <w:rPr>
                <w:rFonts w:hint="default" w:ascii="Times New Roman" w:hAnsi="Times New Roman" w:cs="Times New Roman"/>
                <w:color w:val="auto"/>
                <w:szCs w:val="21"/>
              </w:rPr>
              <w:t>，颗粒物有组织排放可以达到广东省地方标准《大气污染物排放限值》第二时段二级标准浓度限值，</w:t>
            </w:r>
            <w:r>
              <w:rPr>
                <w:rFonts w:hint="default" w:ascii="Times New Roman" w:hAnsi="Times New Roman" w:cs="Times New Roman"/>
                <w:color w:val="auto"/>
                <w:szCs w:val="21"/>
                <w:lang w:val="en-US" w:eastAsia="zh-CN"/>
              </w:rPr>
              <w:t>排气筒DA002非甲烷总烃有组织排放可以达到</w:t>
            </w:r>
            <w:r>
              <w:rPr>
                <w:rFonts w:hint="default" w:ascii="Times New Roman" w:hAnsi="Times New Roman" w:cs="Times New Roman"/>
                <w:color w:val="auto"/>
                <w:sz w:val="24"/>
                <w:szCs w:val="24"/>
                <w:lang w:val="en-US" w:eastAsia="zh-CN"/>
              </w:rPr>
              <w:t>《橡胶制品工业污染物排放标准》（GB27632-2011）表5中新建企业大气污染物排放限值，</w:t>
            </w:r>
            <w:r>
              <w:rPr>
                <w:rFonts w:hint="default" w:ascii="Times New Roman" w:hAnsi="Times New Roman" w:cs="Times New Roman"/>
                <w:color w:val="auto"/>
                <w:szCs w:val="21"/>
              </w:rPr>
              <w:t>对周边环境造成的影响较小</w:t>
            </w:r>
            <w:r>
              <w:rPr>
                <w:rFonts w:hint="default" w:ascii="Times New Roman" w:hAnsi="Times New Roman" w:cs="Times New Roman"/>
                <w:bCs/>
                <w:color w:val="auto"/>
                <w:szCs w:val="22"/>
              </w:rPr>
              <w:t>。</w:t>
            </w:r>
          </w:p>
          <w:p w14:paraId="1780F246">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根据《橡胶制品工业污染物排放标准》(GB27632-2011)要求</w:t>
            </w:r>
            <w:r>
              <w:rPr>
                <w:rFonts w:hint="default" w:ascii="Times New Roman" w:hAnsi="Times New Roman"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lang w:val="en-US" w:eastAsia="zh-CN" w:bidi="ar-SA"/>
              </w:rPr>
              <w:t>大气污染物排放浓度限值适用于单位胶料实际排气量不高于单位胶料基准排气量的情况。若单位胶料实际排气量超过单位胶料基准排气量，须将实测大气污染物浓度换算为大气污染物基准气量排放浓度，并以大气污染物基准气量排放浓度作为判定排放是否达标的依据。</w:t>
            </w:r>
            <w:r>
              <w:rPr>
                <w:rFonts w:hint="default" w:ascii="Times New Roman" w:hAnsi="Times New Roman" w:cs="Times New Roman"/>
                <w:b w:val="0"/>
                <w:bCs w:val="0"/>
                <w:color w:val="auto"/>
                <w:kern w:val="2"/>
                <w:sz w:val="24"/>
                <w:szCs w:val="24"/>
                <w:lang w:val="en-US" w:eastAsia="zh-CN" w:bidi="ar-SA"/>
              </w:rPr>
              <w:t>”</w:t>
            </w:r>
          </w:p>
          <w:p w14:paraId="6FDEFB6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大气污染物基准气量排放浓度换算公式为：</w:t>
            </w:r>
          </w:p>
          <w:p w14:paraId="635931F7">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position w:val="-28"/>
                <w:sz w:val="24"/>
                <w:szCs w:val="24"/>
                <w:lang w:val="en-US" w:eastAsia="zh-CN" w:bidi="ar-SA"/>
              </w:rPr>
              <w:object>
                <v:shape id="_x0000_i1031" o:spt="75" type="#_x0000_t75" style="height:39.25pt;width:119pt;" o:ole="t" filled="f" o:preferrelative="t" stroked="f" coordsize="21600,21600">
                  <v:path/>
                  <v:fill on="f" focussize="0,0"/>
                  <v:stroke on="f"/>
                  <v:imagedata r:id="rId31" o:title=""/>
                  <o:lock v:ext="edit" aspectratio="t"/>
                  <w10:wrap type="none"/>
                  <w10:anchorlock/>
                </v:shape>
                <o:OLEObject Type="Embed" ProgID="Equation.KSEE3" ShapeID="_x0000_i1031" DrawAspect="Content" ObjectID="_1468075731" r:id="rId30">
                  <o:LockedField>false</o:LockedField>
                </o:OLEObject>
              </w:object>
            </w:r>
          </w:p>
          <w:p w14:paraId="74A390E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式中：ρ</w:t>
            </w:r>
            <w:r>
              <w:rPr>
                <w:rFonts w:hint="default" w:ascii="Times New Roman" w:hAnsi="Times New Roman" w:eastAsia="宋体" w:cs="Times New Roman"/>
                <w:b w:val="0"/>
                <w:bCs w:val="0"/>
                <w:color w:val="auto"/>
                <w:kern w:val="2"/>
                <w:sz w:val="24"/>
                <w:szCs w:val="24"/>
                <w:vertAlign w:val="subscript"/>
                <w:lang w:val="en-US" w:eastAsia="zh-CN" w:bidi="ar-SA"/>
              </w:rPr>
              <w:t>基</w:t>
            </w:r>
            <w:r>
              <w:rPr>
                <w:rFonts w:hint="default" w:ascii="Times New Roman" w:hAnsi="Times New Roman" w:eastAsia="宋体" w:cs="Times New Roman"/>
                <w:b w:val="0"/>
                <w:bCs w:val="0"/>
                <w:color w:val="auto"/>
                <w:kern w:val="2"/>
                <w:sz w:val="24"/>
                <w:szCs w:val="24"/>
                <w:lang w:val="en-US" w:eastAsia="zh-CN" w:bidi="ar-SA"/>
              </w:rPr>
              <w:t>——大气污染物基准气量排放浓度，mg/m</w:t>
            </w:r>
            <w:r>
              <w:rPr>
                <w:rFonts w:hint="default" w:ascii="Times New Roman" w:hAnsi="Times New Roman" w:eastAsia="宋体" w:cs="Times New Roman"/>
                <w:b w:val="0"/>
                <w:bCs w:val="0"/>
                <w:color w:val="auto"/>
                <w:kern w:val="2"/>
                <w:sz w:val="24"/>
                <w:szCs w:val="24"/>
                <w:vertAlign w:val="superscript"/>
                <w:lang w:val="en-US" w:eastAsia="zh-CN" w:bidi="ar-SA"/>
              </w:rPr>
              <w:t>3</w:t>
            </w:r>
            <w:r>
              <w:rPr>
                <w:rFonts w:hint="default" w:ascii="Times New Roman" w:hAnsi="Times New Roman" w:eastAsia="宋体" w:cs="Times New Roman"/>
                <w:b w:val="0"/>
                <w:bCs w:val="0"/>
                <w:color w:val="auto"/>
                <w:kern w:val="2"/>
                <w:sz w:val="24"/>
                <w:szCs w:val="24"/>
                <w:lang w:val="en-US" w:eastAsia="zh-CN" w:bidi="ar-SA"/>
              </w:rPr>
              <w:t xml:space="preserve">； </w:t>
            </w:r>
          </w:p>
          <w:p w14:paraId="7BF52F96">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Q</w:t>
            </w:r>
            <w:r>
              <w:rPr>
                <w:rFonts w:hint="default" w:ascii="Times New Roman" w:hAnsi="Times New Roman" w:eastAsia="宋体" w:cs="Times New Roman"/>
                <w:b w:val="0"/>
                <w:bCs w:val="0"/>
                <w:color w:val="auto"/>
                <w:kern w:val="2"/>
                <w:sz w:val="24"/>
                <w:szCs w:val="24"/>
                <w:vertAlign w:val="subscript"/>
                <w:lang w:val="en-US" w:eastAsia="zh-CN" w:bidi="ar-SA"/>
              </w:rPr>
              <w:t>总</w:t>
            </w:r>
            <w:r>
              <w:rPr>
                <w:rFonts w:hint="default" w:ascii="Times New Roman" w:hAnsi="Times New Roman" w:eastAsia="宋体" w:cs="Times New Roman"/>
                <w:b w:val="0"/>
                <w:bCs w:val="0"/>
                <w:color w:val="auto"/>
                <w:kern w:val="2"/>
                <w:sz w:val="24"/>
                <w:szCs w:val="24"/>
                <w:lang w:val="en-US" w:eastAsia="zh-CN" w:bidi="ar-SA"/>
              </w:rPr>
              <w:t>——</w:t>
            </w:r>
            <w:r>
              <w:rPr>
                <w:rFonts w:hint="default" w:ascii="Times New Roman" w:hAnsi="Times New Roman" w:cs="Times New Roman"/>
                <w:b w:val="0"/>
                <w:bCs w:val="0"/>
                <w:color w:val="auto"/>
                <w:kern w:val="2"/>
                <w:sz w:val="24"/>
                <w:szCs w:val="24"/>
                <w:lang w:val="en-US" w:eastAsia="zh-CN" w:bidi="ar-SA"/>
              </w:rPr>
              <w:t>实际废气量</w:t>
            </w:r>
            <w:r>
              <w:rPr>
                <w:rFonts w:hint="default" w:ascii="Times New Roman" w:hAnsi="Times New Roman" w:eastAsia="宋体" w:cs="Times New Roman"/>
                <w:b w:val="0"/>
                <w:bCs w:val="0"/>
                <w:color w:val="auto"/>
                <w:kern w:val="2"/>
                <w:sz w:val="24"/>
                <w:szCs w:val="24"/>
                <w:lang w:val="en-US" w:eastAsia="zh-CN" w:bidi="ar-SA"/>
              </w:rPr>
              <w:t>，m</w:t>
            </w:r>
            <w:r>
              <w:rPr>
                <w:rFonts w:hint="default" w:ascii="Times New Roman" w:hAnsi="Times New Roman" w:eastAsia="宋体" w:cs="Times New Roman"/>
                <w:b w:val="0"/>
                <w:bCs w:val="0"/>
                <w:color w:val="auto"/>
                <w:kern w:val="2"/>
                <w:sz w:val="24"/>
                <w:szCs w:val="24"/>
                <w:vertAlign w:val="superscript"/>
                <w:lang w:val="en-US" w:eastAsia="zh-CN" w:bidi="ar-SA"/>
              </w:rPr>
              <w:t>3</w:t>
            </w:r>
            <w:r>
              <w:rPr>
                <w:rFonts w:hint="default" w:ascii="Times New Roman" w:hAnsi="Times New Roman" w:eastAsia="宋体" w:cs="Times New Roman"/>
                <w:b w:val="0"/>
                <w:bCs w:val="0"/>
                <w:color w:val="auto"/>
                <w:kern w:val="2"/>
                <w:sz w:val="24"/>
                <w:szCs w:val="24"/>
                <w:lang w:val="en-US" w:eastAsia="zh-CN" w:bidi="ar-SA"/>
              </w:rPr>
              <w:t xml:space="preserve">； </w:t>
            </w:r>
          </w:p>
          <w:p w14:paraId="5FEA9488">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Y</w:t>
            </w:r>
            <w:r>
              <w:rPr>
                <w:rFonts w:hint="default" w:ascii="Times New Roman" w:hAnsi="Times New Roman" w:eastAsia="宋体" w:cs="Times New Roman"/>
                <w:b w:val="0"/>
                <w:bCs w:val="0"/>
                <w:color w:val="auto"/>
                <w:kern w:val="2"/>
                <w:sz w:val="24"/>
                <w:szCs w:val="24"/>
                <w:vertAlign w:val="subscript"/>
                <w:lang w:val="en-US" w:eastAsia="zh-CN" w:bidi="ar-SA"/>
              </w:rPr>
              <w:t>i</w:t>
            </w:r>
            <w:r>
              <w:rPr>
                <w:rFonts w:hint="default" w:ascii="Times New Roman" w:hAnsi="Times New Roman" w:eastAsia="宋体" w:cs="Times New Roman"/>
                <w:b w:val="0"/>
                <w:bCs w:val="0"/>
                <w:color w:val="auto"/>
                <w:kern w:val="2"/>
                <w:sz w:val="24"/>
                <w:szCs w:val="24"/>
                <w:lang w:val="en-US" w:eastAsia="zh-CN" w:bidi="ar-SA"/>
              </w:rPr>
              <w:t xml:space="preserve">——第i种产品胶料消耗量；t； </w:t>
            </w:r>
          </w:p>
          <w:p w14:paraId="60465684">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Q</w:t>
            </w:r>
            <w:r>
              <w:rPr>
                <w:rFonts w:hint="default" w:ascii="Times New Roman" w:hAnsi="Times New Roman" w:eastAsia="宋体" w:cs="Times New Roman"/>
                <w:b w:val="0"/>
                <w:bCs w:val="0"/>
                <w:color w:val="auto"/>
                <w:kern w:val="2"/>
                <w:sz w:val="24"/>
                <w:szCs w:val="24"/>
                <w:vertAlign w:val="subscript"/>
                <w:lang w:val="en-US" w:eastAsia="zh-CN" w:bidi="ar-SA"/>
              </w:rPr>
              <w:t>i基</w:t>
            </w:r>
            <w:r>
              <w:rPr>
                <w:rFonts w:hint="default" w:ascii="Times New Roman" w:hAnsi="Times New Roman" w:eastAsia="宋体" w:cs="Times New Roman"/>
                <w:b w:val="0"/>
                <w:bCs w:val="0"/>
                <w:color w:val="auto"/>
                <w:kern w:val="2"/>
                <w:sz w:val="24"/>
                <w:szCs w:val="24"/>
                <w:lang w:val="en-US" w:eastAsia="zh-CN" w:bidi="ar-SA"/>
              </w:rPr>
              <w:t>——第i种产品的单位胶料基准排气量，m</w:t>
            </w:r>
            <w:r>
              <w:rPr>
                <w:rFonts w:hint="default" w:ascii="Times New Roman" w:hAnsi="Times New Roman" w:eastAsia="宋体" w:cs="Times New Roman"/>
                <w:b w:val="0"/>
                <w:bCs w:val="0"/>
                <w:color w:val="auto"/>
                <w:kern w:val="2"/>
                <w:sz w:val="24"/>
                <w:szCs w:val="24"/>
                <w:vertAlign w:val="superscript"/>
                <w:lang w:val="en-US" w:eastAsia="zh-CN" w:bidi="ar-SA"/>
              </w:rPr>
              <w:t>3</w:t>
            </w:r>
            <w:r>
              <w:rPr>
                <w:rFonts w:hint="default" w:ascii="Times New Roman" w:hAnsi="Times New Roman" w:eastAsia="宋体" w:cs="Times New Roman"/>
                <w:b w:val="0"/>
                <w:bCs w:val="0"/>
                <w:color w:val="auto"/>
                <w:kern w:val="2"/>
                <w:sz w:val="24"/>
                <w:szCs w:val="24"/>
                <w:lang w:val="en-US" w:eastAsia="zh-CN" w:bidi="ar-SA"/>
              </w:rPr>
              <w:t>/t胶</w:t>
            </w:r>
            <w:r>
              <w:rPr>
                <w:rFonts w:hint="default" w:ascii="Times New Roman" w:hAnsi="Times New Roman"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lang w:val="en-US" w:eastAsia="zh-CN" w:bidi="ar-SA"/>
              </w:rPr>
              <w:t>取2000m</w:t>
            </w:r>
            <w:r>
              <w:rPr>
                <w:rFonts w:hint="default" w:ascii="Times New Roman" w:hAnsi="Times New Roman" w:eastAsia="宋体" w:cs="Times New Roman"/>
                <w:b w:val="0"/>
                <w:bCs w:val="0"/>
                <w:color w:val="auto"/>
                <w:kern w:val="2"/>
                <w:sz w:val="24"/>
                <w:szCs w:val="24"/>
                <w:vertAlign w:val="superscript"/>
                <w:lang w:val="en-US" w:eastAsia="zh-CN" w:bidi="ar-SA"/>
              </w:rPr>
              <w:t>3</w:t>
            </w:r>
            <w:r>
              <w:rPr>
                <w:rFonts w:hint="default" w:ascii="Times New Roman" w:hAnsi="Times New Roman" w:eastAsia="宋体" w:cs="Times New Roman"/>
                <w:b w:val="0"/>
                <w:bCs w:val="0"/>
                <w:color w:val="auto"/>
                <w:kern w:val="2"/>
                <w:sz w:val="24"/>
                <w:szCs w:val="24"/>
                <w:lang w:val="en-US" w:eastAsia="zh-CN" w:bidi="ar-SA"/>
              </w:rPr>
              <w:t>/t胶</w:t>
            </w:r>
            <w:r>
              <w:rPr>
                <w:rFonts w:hint="default" w:ascii="Times New Roman" w:hAnsi="Times New Roman" w:cs="Times New Roman"/>
                <w:b w:val="0"/>
                <w:bCs w:val="0"/>
                <w:color w:val="auto"/>
                <w:kern w:val="2"/>
                <w:sz w:val="24"/>
                <w:szCs w:val="24"/>
                <w:lang w:val="en-US" w:eastAsia="zh-CN" w:bidi="ar-SA"/>
              </w:rPr>
              <w:t>；</w:t>
            </w:r>
          </w:p>
          <w:p w14:paraId="7DBA5E5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ρ</w:t>
            </w:r>
            <w:r>
              <w:rPr>
                <w:rFonts w:hint="default" w:ascii="Times New Roman" w:hAnsi="Times New Roman" w:eastAsia="宋体" w:cs="Times New Roman"/>
                <w:b w:val="0"/>
                <w:bCs w:val="0"/>
                <w:color w:val="auto"/>
                <w:kern w:val="2"/>
                <w:sz w:val="24"/>
                <w:szCs w:val="24"/>
                <w:vertAlign w:val="subscript"/>
                <w:lang w:val="en-US" w:eastAsia="zh-CN" w:bidi="ar-SA"/>
              </w:rPr>
              <w:t>实</w:t>
            </w:r>
            <w:r>
              <w:rPr>
                <w:rFonts w:hint="default" w:ascii="Times New Roman" w:hAnsi="Times New Roman" w:eastAsia="宋体" w:cs="Times New Roman"/>
                <w:b w:val="0"/>
                <w:bCs w:val="0"/>
                <w:color w:val="auto"/>
                <w:kern w:val="2"/>
                <w:sz w:val="24"/>
                <w:szCs w:val="24"/>
                <w:lang w:val="en-US" w:eastAsia="zh-CN" w:bidi="ar-SA"/>
              </w:rPr>
              <w:t>——</w:t>
            </w:r>
            <w:r>
              <w:rPr>
                <w:rFonts w:hint="default" w:ascii="Times New Roman" w:hAnsi="Times New Roman" w:cs="Times New Roman"/>
                <w:b w:val="0"/>
                <w:bCs w:val="0"/>
                <w:color w:val="auto"/>
                <w:kern w:val="2"/>
                <w:sz w:val="24"/>
                <w:szCs w:val="24"/>
                <w:lang w:val="en-US" w:eastAsia="zh-CN" w:bidi="ar-SA"/>
              </w:rPr>
              <w:t>实际</w:t>
            </w:r>
            <w:r>
              <w:rPr>
                <w:rFonts w:hint="default" w:ascii="Times New Roman" w:hAnsi="Times New Roman" w:eastAsia="宋体" w:cs="Times New Roman"/>
                <w:b w:val="0"/>
                <w:bCs w:val="0"/>
                <w:color w:val="auto"/>
                <w:kern w:val="2"/>
                <w:sz w:val="24"/>
                <w:szCs w:val="24"/>
                <w:lang w:val="en-US" w:eastAsia="zh-CN" w:bidi="ar-SA"/>
              </w:rPr>
              <w:t>大气污染物排放浓度，mg/m</w:t>
            </w:r>
            <w:r>
              <w:rPr>
                <w:rFonts w:hint="default" w:ascii="Times New Roman" w:hAnsi="Times New Roman" w:eastAsia="宋体" w:cs="Times New Roman"/>
                <w:b w:val="0"/>
                <w:bCs w:val="0"/>
                <w:color w:val="auto"/>
                <w:kern w:val="2"/>
                <w:sz w:val="24"/>
                <w:szCs w:val="24"/>
                <w:vertAlign w:val="superscript"/>
                <w:lang w:val="en-US" w:eastAsia="zh-CN" w:bidi="ar-SA"/>
              </w:rPr>
              <w:t>3</w:t>
            </w:r>
            <w:r>
              <w:rPr>
                <w:rFonts w:hint="default" w:ascii="Times New Roman" w:hAnsi="Times New Roman" w:eastAsia="宋体" w:cs="Times New Roman"/>
                <w:b w:val="0"/>
                <w:bCs w:val="0"/>
                <w:color w:val="auto"/>
                <w:kern w:val="2"/>
                <w:sz w:val="24"/>
                <w:szCs w:val="24"/>
                <w:lang w:val="en-US" w:eastAsia="zh-CN" w:bidi="ar-SA"/>
              </w:rPr>
              <w:t xml:space="preserve">。 </w:t>
            </w:r>
          </w:p>
          <w:p w14:paraId="7B319201">
            <w:pPr>
              <w:pStyle w:val="30"/>
              <w:spacing w:line="240" w:lineRule="auto"/>
              <w:ind w:left="0" w:leftChars="0" w:firstLine="0" w:firstLineChars="0"/>
              <w:jc w:val="center"/>
              <w:rPr>
                <w:rFonts w:hint="default" w:ascii="Times New Roman" w:hAnsi="Times New Roman" w:eastAsia="宋体" w:cs="Times New Roman"/>
                <w:b/>
                <w:color w:val="auto"/>
                <w:kern w:val="2"/>
                <w:sz w:val="24"/>
                <w:szCs w:val="24"/>
                <w:lang w:val="en-US" w:eastAsia="zh-CN" w:bidi="ar-SA"/>
              </w:rPr>
            </w:pPr>
          </w:p>
          <w:p w14:paraId="62CDAEDC">
            <w:pPr>
              <w:pStyle w:val="30"/>
              <w:spacing w:line="240" w:lineRule="auto"/>
              <w:ind w:left="0" w:leftChars="0" w:firstLine="0" w:firstLineChars="0"/>
              <w:jc w:val="center"/>
              <w:rPr>
                <w:rFonts w:hint="default" w:ascii="Times New Roman" w:hAnsi="Times New Roman" w:eastAsia="宋体" w:cs="Times New Roman"/>
                <w:b/>
                <w:color w:val="auto"/>
                <w:kern w:val="2"/>
                <w:sz w:val="24"/>
                <w:szCs w:val="24"/>
                <w:lang w:val="en-US" w:eastAsia="zh-CN" w:bidi="ar-SA"/>
              </w:rPr>
            </w:pPr>
          </w:p>
          <w:p w14:paraId="185B3153">
            <w:pPr>
              <w:pStyle w:val="30"/>
              <w:spacing w:line="240" w:lineRule="auto"/>
              <w:ind w:left="0" w:leftChars="0" w:firstLine="0" w:firstLineChars="0"/>
              <w:jc w:val="center"/>
              <w:rPr>
                <w:rFonts w:hint="default" w:ascii="Times New Roman" w:hAnsi="Times New Roman" w:eastAsia="宋体" w:cs="Times New Roman"/>
                <w:b/>
                <w:color w:val="auto"/>
                <w:kern w:val="2"/>
                <w:sz w:val="24"/>
                <w:szCs w:val="24"/>
                <w:lang w:val="en-US" w:eastAsia="zh-CN" w:bidi="ar-SA"/>
              </w:rPr>
            </w:pPr>
          </w:p>
          <w:p w14:paraId="53626923">
            <w:pPr>
              <w:pStyle w:val="30"/>
              <w:spacing w:line="240" w:lineRule="auto"/>
              <w:ind w:left="0" w:leftChars="0" w:firstLine="0" w:firstLineChars="0"/>
              <w:jc w:val="center"/>
              <w:rPr>
                <w:rFonts w:hint="default" w:ascii="Times New Roman" w:hAnsi="Times New Roman" w:cs="Times New Roman"/>
                <w:b/>
                <w:bCs/>
                <w:color w:val="auto"/>
                <w:lang w:val="en-US" w:eastAsia="zh-CN"/>
              </w:rPr>
            </w:pPr>
            <w:r>
              <w:rPr>
                <w:rFonts w:hint="default" w:ascii="Times New Roman" w:hAnsi="Times New Roman" w:eastAsia="宋体" w:cs="Times New Roman"/>
                <w:b/>
                <w:color w:val="auto"/>
                <w:kern w:val="2"/>
                <w:sz w:val="24"/>
                <w:szCs w:val="24"/>
                <w:lang w:val="en-US" w:eastAsia="zh-CN" w:bidi="ar-SA"/>
              </w:rPr>
              <w:t>表</w:t>
            </w:r>
            <w:r>
              <w:rPr>
                <w:rFonts w:hint="default" w:ascii="Times New Roman" w:hAnsi="Times New Roman" w:cs="Times New Roman"/>
                <w:b/>
                <w:color w:val="auto"/>
                <w:kern w:val="2"/>
                <w:sz w:val="24"/>
                <w:szCs w:val="24"/>
                <w:lang w:val="en-US" w:eastAsia="zh-CN" w:bidi="ar-SA"/>
              </w:rPr>
              <w:t>4-8</w:t>
            </w:r>
            <w:r>
              <w:rPr>
                <w:rFonts w:hint="default" w:ascii="Times New Roman" w:hAnsi="Times New Roman" w:eastAsia="宋体" w:cs="Times New Roman"/>
                <w:b/>
                <w:color w:val="auto"/>
                <w:kern w:val="2"/>
                <w:sz w:val="24"/>
                <w:szCs w:val="24"/>
                <w:lang w:val="en-US" w:eastAsia="zh-CN" w:bidi="ar-SA"/>
              </w:rPr>
              <w:t xml:space="preserve"> </w:t>
            </w:r>
            <w:bookmarkStart w:id="19" w:name="废气排放达标情况一览表"/>
            <w:r>
              <w:rPr>
                <w:rFonts w:hint="default" w:ascii="Times New Roman" w:hAnsi="Times New Roman" w:cs="Times New Roman"/>
                <w:b/>
                <w:bCs/>
                <w:color w:val="auto"/>
                <w:kern w:val="2"/>
                <w:sz w:val="24"/>
                <w:szCs w:val="24"/>
                <w:lang w:val="en-US" w:eastAsia="zh-CN" w:bidi="ar-SA"/>
              </w:rPr>
              <w:t>废气排放达标情况一览表</w:t>
            </w:r>
            <w:bookmarkEnd w:id="19"/>
          </w:p>
          <w:tbl>
            <w:tblPr>
              <w:tblStyle w:val="23"/>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973"/>
              <w:gridCol w:w="855"/>
              <w:gridCol w:w="1124"/>
              <w:gridCol w:w="900"/>
              <w:gridCol w:w="1335"/>
              <w:gridCol w:w="1155"/>
              <w:gridCol w:w="898"/>
              <w:gridCol w:w="678"/>
            </w:tblGrid>
            <w:tr w14:paraId="7DEB5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577" w:type="dxa"/>
                  <w:vAlign w:val="center"/>
                </w:tcPr>
                <w:p w14:paraId="69803796">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排气筒</w:t>
                  </w:r>
                </w:p>
              </w:tc>
              <w:tc>
                <w:tcPr>
                  <w:tcW w:w="973" w:type="dxa"/>
                  <w:vAlign w:val="center"/>
                </w:tcPr>
                <w:p w14:paraId="3AE769BA">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污染源</w:t>
                  </w:r>
                </w:p>
              </w:tc>
              <w:tc>
                <w:tcPr>
                  <w:tcW w:w="855" w:type="dxa"/>
                  <w:vAlign w:val="center"/>
                </w:tcPr>
                <w:p w14:paraId="6737217A">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污染物</w:t>
                  </w:r>
                </w:p>
              </w:tc>
              <w:tc>
                <w:tcPr>
                  <w:tcW w:w="1124" w:type="dxa"/>
                  <w:vAlign w:val="center"/>
                </w:tcPr>
                <w:p w14:paraId="4610BB94">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实际废气量（</w:t>
                  </w:r>
                  <w:r>
                    <w:rPr>
                      <w:rFonts w:hint="default" w:ascii="Times New Roman" w:hAnsi="Times New Roman" w:eastAsia="宋体" w:cs="Times New Roman"/>
                      <w:b/>
                      <w:bCs/>
                      <w:color w:val="auto"/>
                      <w:kern w:val="2"/>
                      <w:sz w:val="24"/>
                      <w:szCs w:val="24"/>
                      <w:lang w:val="en-US" w:eastAsia="zh-CN" w:bidi="ar-SA"/>
                    </w:rPr>
                    <w:t>m</w:t>
                  </w:r>
                  <w:r>
                    <w:rPr>
                      <w:rFonts w:hint="default" w:ascii="Times New Roman" w:hAnsi="Times New Roman" w:eastAsia="宋体" w:cs="Times New Roman"/>
                      <w:b/>
                      <w:bCs/>
                      <w:color w:val="auto"/>
                      <w:kern w:val="2"/>
                      <w:sz w:val="24"/>
                      <w:szCs w:val="24"/>
                      <w:vertAlign w:val="superscript"/>
                      <w:lang w:val="en-US" w:eastAsia="zh-CN" w:bidi="ar-SA"/>
                    </w:rPr>
                    <w:t>3</w:t>
                  </w:r>
                  <w:r>
                    <w:rPr>
                      <w:rFonts w:hint="default" w:ascii="Times New Roman" w:hAnsi="Times New Roman" w:eastAsia="宋体" w:cs="Times New Roman"/>
                      <w:b/>
                      <w:bCs/>
                      <w:color w:val="auto"/>
                      <w:kern w:val="2"/>
                      <w:sz w:val="21"/>
                      <w:szCs w:val="21"/>
                      <w:vertAlign w:val="baseline"/>
                      <w:lang w:val="en-US" w:eastAsia="zh-CN" w:bidi="ar-SA"/>
                    </w:rPr>
                    <w:t>）</w:t>
                  </w:r>
                </w:p>
              </w:tc>
              <w:tc>
                <w:tcPr>
                  <w:tcW w:w="900" w:type="dxa"/>
                  <w:vAlign w:val="center"/>
                </w:tcPr>
                <w:p w14:paraId="1FFC8081">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胶料消耗量</w:t>
                  </w:r>
                  <w:r>
                    <w:rPr>
                      <w:rFonts w:hint="default" w:ascii="Times New Roman" w:hAnsi="Times New Roman" w:cs="Times New Roman"/>
                      <w:b/>
                      <w:bCs/>
                      <w:color w:val="auto"/>
                      <w:kern w:val="2"/>
                      <w:sz w:val="21"/>
                      <w:szCs w:val="21"/>
                      <w:vertAlign w:val="baseline"/>
                      <w:lang w:val="en-US" w:eastAsia="zh-CN" w:bidi="ar-SA"/>
                    </w:rPr>
                    <w:t>（</w:t>
                  </w:r>
                  <w:r>
                    <w:rPr>
                      <w:rFonts w:hint="default" w:ascii="Times New Roman" w:hAnsi="Times New Roman" w:eastAsia="宋体" w:cs="Times New Roman"/>
                      <w:b/>
                      <w:bCs/>
                      <w:color w:val="auto"/>
                      <w:kern w:val="2"/>
                      <w:sz w:val="24"/>
                      <w:szCs w:val="24"/>
                      <w:lang w:val="en-US" w:eastAsia="zh-CN" w:bidi="ar-SA"/>
                    </w:rPr>
                    <w:t>t</w:t>
                  </w:r>
                  <w:r>
                    <w:rPr>
                      <w:rFonts w:hint="default" w:ascii="Times New Roman" w:hAnsi="Times New Roman" w:cs="Times New Roman"/>
                      <w:b/>
                      <w:bCs/>
                      <w:color w:val="auto"/>
                      <w:kern w:val="2"/>
                      <w:sz w:val="24"/>
                      <w:szCs w:val="24"/>
                      <w:lang w:val="en-US" w:eastAsia="zh-CN" w:bidi="ar-SA"/>
                    </w:rPr>
                    <w:t>/h</w:t>
                  </w:r>
                  <w:r>
                    <w:rPr>
                      <w:rFonts w:hint="default" w:ascii="Times New Roman" w:hAnsi="Times New Roman" w:cs="Times New Roman"/>
                      <w:b/>
                      <w:bCs/>
                      <w:color w:val="auto"/>
                      <w:kern w:val="2"/>
                      <w:sz w:val="21"/>
                      <w:szCs w:val="21"/>
                      <w:vertAlign w:val="baseline"/>
                      <w:lang w:val="en-US" w:eastAsia="zh-CN" w:bidi="ar-SA"/>
                    </w:rPr>
                    <w:t>）</w:t>
                  </w:r>
                </w:p>
              </w:tc>
              <w:tc>
                <w:tcPr>
                  <w:tcW w:w="1335" w:type="dxa"/>
                  <w:vAlign w:val="center"/>
                </w:tcPr>
                <w:p w14:paraId="0D32B043">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实际大气污染物排放浓度</w:t>
                  </w:r>
                  <w:r>
                    <w:rPr>
                      <w:rFonts w:hint="default" w:ascii="Times New Roman" w:hAnsi="Times New Roman" w:cs="Times New Roman"/>
                      <w:b/>
                      <w:bCs/>
                      <w:color w:val="auto"/>
                      <w:kern w:val="2"/>
                      <w:sz w:val="21"/>
                      <w:szCs w:val="21"/>
                      <w:vertAlign w:val="baseline"/>
                      <w:lang w:val="en-US" w:eastAsia="zh-CN" w:bidi="ar-SA"/>
                    </w:rPr>
                    <w:t>（</w:t>
                  </w:r>
                  <w:r>
                    <w:rPr>
                      <w:rFonts w:hint="default" w:ascii="Times New Roman" w:hAnsi="Times New Roman" w:eastAsia="宋体" w:cs="Times New Roman"/>
                      <w:b/>
                      <w:bCs/>
                      <w:color w:val="auto"/>
                      <w:kern w:val="2"/>
                      <w:sz w:val="21"/>
                      <w:szCs w:val="21"/>
                      <w:lang w:val="en-US" w:eastAsia="zh-CN" w:bidi="ar-SA"/>
                    </w:rPr>
                    <w:t>mg/m</w:t>
                  </w:r>
                  <w:r>
                    <w:rPr>
                      <w:rFonts w:hint="default" w:ascii="Times New Roman" w:hAnsi="Times New Roman" w:eastAsia="宋体" w:cs="Times New Roman"/>
                      <w:b/>
                      <w:bCs/>
                      <w:color w:val="auto"/>
                      <w:kern w:val="2"/>
                      <w:sz w:val="21"/>
                      <w:szCs w:val="21"/>
                      <w:vertAlign w:val="superscript"/>
                      <w:lang w:val="en-US" w:eastAsia="zh-CN" w:bidi="ar-SA"/>
                    </w:rPr>
                    <w:t>3</w:t>
                  </w:r>
                  <w:r>
                    <w:rPr>
                      <w:rFonts w:hint="default" w:ascii="Times New Roman" w:hAnsi="Times New Roman" w:cs="Times New Roman"/>
                      <w:b/>
                      <w:bCs/>
                      <w:color w:val="auto"/>
                      <w:kern w:val="2"/>
                      <w:sz w:val="21"/>
                      <w:szCs w:val="21"/>
                      <w:vertAlign w:val="baseline"/>
                      <w:lang w:val="en-US" w:eastAsia="zh-CN" w:bidi="ar-SA"/>
                    </w:rPr>
                    <w:t>）</w:t>
                  </w:r>
                </w:p>
              </w:tc>
              <w:tc>
                <w:tcPr>
                  <w:tcW w:w="1155" w:type="dxa"/>
                  <w:vAlign w:val="center"/>
                </w:tcPr>
                <w:p w14:paraId="6C06DD91">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基准气量排放浓度</w:t>
                  </w:r>
                  <w:r>
                    <w:rPr>
                      <w:rFonts w:hint="default" w:ascii="Times New Roman" w:hAnsi="Times New Roman" w:cs="Times New Roman"/>
                      <w:b/>
                      <w:bCs/>
                      <w:color w:val="auto"/>
                      <w:kern w:val="2"/>
                      <w:sz w:val="21"/>
                      <w:szCs w:val="21"/>
                      <w:vertAlign w:val="baseline"/>
                      <w:lang w:val="en-US" w:eastAsia="zh-CN" w:bidi="ar-SA"/>
                    </w:rPr>
                    <w:t>（</w:t>
                  </w:r>
                  <w:r>
                    <w:rPr>
                      <w:rFonts w:hint="default" w:ascii="Times New Roman" w:hAnsi="Times New Roman" w:eastAsia="宋体" w:cs="Times New Roman"/>
                      <w:b/>
                      <w:bCs/>
                      <w:color w:val="auto"/>
                      <w:kern w:val="2"/>
                      <w:sz w:val="21"/>
                      <w:szCs w:val="21"/>
                      <w:lang w:val="en-US" w:eastAsia="zh-CN" w:bidi="ar-SA"/>
                    </w:rPr>
                    <w:t>mg/m</w:t>
                  </w:r>
                  <w:r>
                    <w:rPr>
                      <w:rFonts w:hint="default" w:ascii="Times New Roman" w:hAnsi="Times New Roman" w:eastAsia="宋体" w:cs="Times New Roman"/>
                      <w:b/>
                      <w:bCs/>
                      <w:color w:val="auto"/>
                      <w:kern w:val="2"/>
                      <w:sz w:val="21"/>
                      <w:szCs w:val="21"/>
                      <w:vertAlign w:val="superscript"/>
                      <w:lang w:val="en-US" w:eastAsia="zh-CN" w:bidi="ar-SA"/>
                    </w:rPr>
                    <w:t>3</w:t>
                  </w:r>
                  <w:r>
                    <w:rPr>
                      <w:rFonts w:hint="default" w:ascii="Times New Roman" w:hAnsi="Times New Roman" w:cs="Times New Roman"/>
                      <w:b/>
                      <w:bCs/>
                      <w:color w:val="auto"/>
                      <w:kern w:val="2"/>
                      <w:sz w:val="21"/>
                      <w:szCs w:val="21"/>
                      <w:vertAlign w:val="baseline"/>
                      <w:lang w:val="en-US" w:eastAsia="zh-CN" w:bidi="ar-SA"/>
                    </w:rPr>
                    <w:t>）</w:t>
                  </w:r>
                </w:p>
              </w:tc>
              <w:tc>
                <w:tcPr>
                  <w:tcW w:w="898" w:type="dxa"/>
                  <w:vAlign w:val="center"/>
                </w:tcPr>
                <w:p w14:paraId="216DC053">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排放标准（</w:t>
                  </w:r>
                  <w:r>
                    <w:rPr>
                      <w:rFonts w:hint="default" w:ascii="Times New Roman" w:hAnsi="Times New Roman" w:eastAsia="宋体" w:cs="Times New Roman"/>
                      <w:b/>
                      <w:bCs/>
                      <w:color w:val="auto"/>
                      <w:kern w:val="2"/>
                      <w:sz w:val="21"/>
                      <w:szCs w:val="21"/>
                      <w:lang w:val="en-US" w:eastAsia="zh-CN" w:bidi="ar-SA"/>
                    </w:rPr>
                    <w:t>mg/m</w:t>
                  </w:r>
                  <w:r>
                    <w:rPr>
                      <w:rFonts w:hint="default" w:ascii="Times New Roman" w:hAnsi="Times New Roman" w:eastAsia="宋体" w:cs="Times New Roman"/>
                      <w:b/>
                      <w:bCs/>
                      <w:color w:val="auto"/>
                      <w:kern w:val="2"/>
                      <w:sz w:val="21"/>
                      <w:szCs w:val="21"/>
                      <w:vertAlign w:val="superscript"/>
                      <w:lang w:val="en-US" w:eastAsia="zh-CN" w:bidi="ar-SA"/>
                    </w:rPr>
                    <w:t>3</w:t>
                  </w:r>
                  <w:r>
                    <w:rPr>
                      <w:rFonts w:hint="default" w:ascii="Times New Roman" w:hAnsi="Times New Roman" w:cs="Times New Roman"/>
                      <w:b/>
                      <w:bCs/>
                      <w:color w:val="auto"/>
                      <w:kern w:val="2"/>
                      <w:sz w:val="21"/>
                      <w:szCs w:val="21"/>
                      <w:vertAlign w:val="baseline"/>
                      <w:lang w:val="en-US" w:eastAsia="zh-CN" w:bidi="ar-SA"/>
                    </w:rPr>
                    <w:t>）</w:t>
                  </w:r>
                </w:p>
              </w:tc>
              <w:tc>
                <w:tcPr>
                  <w:tcW w:w="678" w:type="dxa"/>
                  <w:vAlign w:val="center"/>
                </w:tcPr>
                <w:p w14:paraId="36271275">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达标情况</w:t>
                  </w:r>
                </w:p>
              </w:tc>
            </w:tr>
            <w:tr w14:paraId="0857C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577" w:type="dxa"/>
                  <w:vAlign w:val="center"/>
                </w:tcPr>
                <w:p w14:paraId="7C9D8D50">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DA001</w:t>
                  </w:r>
                </w:p>
              </w:tc>
              <w:tc>
                <w:tcPr>
                  <w:tcW w:w="973" w:type="dxa"/>
                  <w:vAlign w:val="center"/>
                </w:tcPr>
                <w:p w14:paraId="07B13E7A">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密炼</w:t>
                  </w:r>
                </w:p>
              </w:tc>
              <w:tc>
                <w:tcPr>
                  <w:tcW w:w="855" w:type="dxa"/>
                  <w:vMerge w:val="restart"/>
                  <w:vAlign w:val="center"/>
                </w:tcPr>
                <w:p w14:paraId="1D343B6A">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非甲烷总烃</w:t>
                  </w:r>
                </w:p>
              </w:tc>
              <w:tc>
                <w:tcPr>
                  <w:tcW w:w="1124" w:type="dxa"/>
                  <w:vAlign w:val="center"/>
                </w:tcPr>
                <w:p w14:paraId="5FD74057">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16500</w:t>
                  </w:r>
                </w:p>
              </w:tc>
              <w:tc>
                <w:tcPr>
                  <w:tcW w:w="900" w:type="dxa"/>
                  <w:vAlign w:val="center"/>
                </w:tcPr>
                <w:p w14:paraId="4FD2D744">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0.127</w:t>
                  </w:r>
                </w:p>
              </w:tc>
              <w:tc>
                <w:tcPr>
                  <w:tcW w:w="1335" w:type="dxa"/>
                  <w:vAlign w:val="center"/>
                </w:tcPr>
                <w:p w14:paraId="6966F527">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0.133</w:t>
                  </w:r>
                </w:p>
              </w:tc>
              <w:tc>
                <w:tcPr>
                  <w:tcW w:w="1155" w:type="dxa"/>
                  <w:vAlign w:val="center"/>
                </w:tcPr>
                <w:p w14:paraId="1CB2585A">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8.63</w:t>
                  </w:r>
                </w:p>
              </w:tc>
              <w:tc>
                <w:tcPr>
                  <w:tcW w:w="898" w:type="dxa"/>
                  <w:vAlign w:val="center"/>
                </w:tcPr>
                <w:p w14:paraId="37BF61FF">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10</w:t>
                  </w:r>
                </w:p>
              </w:tc>
              <w:tc>
                <w:tcPr>
                  <w:tcW w:w="678" w:type="dxa"/>
                  <w:vAlign w:val="center"/>
                </w:tcPr>
                <w:p w14:paraId="7F1DB3F6">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达标</w:t>
                  </w:r>
                </w:p>
              </w:tc>
            </w:tr>
            <w:tr w14:paraId="10FC9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577" w:type="dxa"/>
                  <w:vAlign w:val="center"/>
                </w:tcPr>
                <w:p w14:paraId="0CCAACE8">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DA001</w:t>
                  </w:r>
                </w:p>
              </w:tc>
              <w:tc>
                <w:tcPr>
                  <w:tcW w:w="973" w:type="dxa"/>
                  <w:vAlign w:val="center"/>
                </w:tcPr>
                <w:p w14:paraId="52374409">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硫化</w:t>
                  </w:r>
                </w:p>
              </w:tc>
              <w:tc>
                <w:tcPr>
                  <w:tcW w:w="855" w:type="dxa"/>
                  <w:vMerge w:val="continue"/>
                  <w:vAlign w:val="center"/>
                </w:tcPr>
                <w:p w14:paraId="3DA4ACAE">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1124" w:type="dxa"/>
                  <w:shd w:val="clear" w:color="auto" w:fill="auto"/>
                  <w:vAlign w:val="center"/>
                </w:tcPr>
                <w:p w14:paraId="0E400983">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16500</w:t>
                  </w:r>
                </w:p>
              </w:tc>
              <w:tc>
                <w:tcPr>
                  <w:tcW w:w="900" w:type="dxa"/>
                  <w:vAlign w:val="center"/>
                </w:tcPr>
                <w:p w14:paraId="0540D718">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0.129</w:t>
                  </w:r>
                </w:p>
              </w:tc>
              <w:tc>
                <w:tcPr>
                  <w:tcW w:w="1335" w:type="dxa"/>
                  <w:vAlign w:val="center"/>
                </w:tcPr>
                <w:p w14:paraId="7A466059">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0.145</w:t>
                  </w:r>
                </w:p>
              </w:tc>
              <w:tc>
                <w:tcPr>
                  <w:tcW w:w="1155" w:type="dxa"/>
                  <w:vAlign w:val="center"/>
                </w:tcPr>
                <w:p w14:paraId="3A8553B0">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9.27</w:t>
                  </w:r>
                </w:p>
              </w:tc>
              <w:tc>
                <w:tcPr>
                  <w:tcW w:w="898" w:type="dxa"/>
                  <w:vAlign w:val="center"/>
                </w:tcPr>
                <w:p w14:paraId="749C3F9D">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10</w:t>
                  </w:r>
                </w:p>
              </w:tc>
              <w:tc>
                <w:tcPr>
                  <w:tcW w:w="678" w:type="dxa"/>
                  <w:vAlign w:val="center"/>
                </w:tcPr>
                <w:p w14:paraId="2CF42DE0">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达标</w:t>
                  </w:r>
                </w:p>
              </w:tc>
            </w:tr>
            <w:tr w14:paraId="2861B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77" w:type="dxa"/>
                  <w:vAlign w:val="center"/>
                </w:tcPr>
                <w:p w14:paraId="7A3EC548">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DA002</w:t>
                  </w:r>
                </w:p>
              </w:tc>
              <w:tc>
                <w:tcPr>
                  <w:tcW w:w="973" w:type="dxa"/>
                  <w:vAlign w:val="center"/>
                </w:tcPr>
                <w:p w14:paraId="330CEB67">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液态成型</w:t>
                  </w:r>
                </w:p>
              </w:tc>
              <w:tc>
                <w:tcPr>
                  <w:tcW w:w="855" w:type="dxa"/>
                  <w:vMerge w:val="continue"/>
                  <w:vAlign w:val="center"/>
                </w:tcPr>
                <w:p w14:paraId="35A4C4BE">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1124" w:type="dxa"/>
                  <w:vAlign w:val="center"/>
                </w:tcPr>
                <w:p w14:paraId="6C7591EB">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32400</w:t>
                  </w:r>
                </w:p>
              </w:tc>
              <w:tc>
                <w:tcPr>
                  <w:tcW w:w="900" w:type="dxa"/>
                  <w:vAlign w:val="center"/>
                </w:tcPr>
                <w:p w14:paraId="7FB115CA">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0.05</w:t>
                  </w:r>
                </w:p>
              </w:tc>
              <w:tc>
                <w:tcPr>
                  <w:tcW w:w="1335" w:type="dxa"/>
                  <w:vAlign w:val="center"/>
                </w:tcPr>
                <w:p w14:paraId="65766BE5">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0.021</w:t>
                  </w:r>
                </w:p>
              </w:tc>
              <w:tc>
                <w:tcPr>
                  <w:tcW w:w="1155" w:type="dxa"/>
                  <w:vAlign w:val="center"/>
                </w:tcPr>
                <w:p w14:paraId="7C795B45">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6.156</w:t>
                  </w:r>
                </w:p>
              </w:tc>
              <w:tc>
                <w:tcPr>
                  <w:tcW w:w="898" w:type="dxa"/>
                  <w:vAlign w:val="center"/>
                </w:tcPr>
                <w:p w14:paraId="4D2449AE">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10</w:t>
                  </w:r>
                </w:p>
              </w:tc>
              <w:tc>
                <w:tcPr>
                  <w:tcW w:w="678" w:type="dxa"/>
                  <w:vAlign w:val="center"/>
                </w:tcPr>
                <w:p w14:paraId="5DB24D7F">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达标</w:t>
                  </w:r>
                </w:p>
              </w:tc>
            </w:tr>
            <w:tr w14:paraId="64AF3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495" w:type="dxa"/>
                  <w:gridSpan w:val="9"/>
                  <w:vAlign w:val="center"/>
                </w:tcPr>
                <w:p w14:paraId="0A170C7B">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jc w:val="left"/>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注：密炼工序胶料用量为610t/a，硫化工序胶料用量为620t/a，液态成型工序胶料使用量为240t/a，年工作时间为300×16=4800小时，因此计算得出密炼胶料消耗量为0.127t/h，硫化工序胶料消耗量为0.129t/h，液态成型工序胶料消耗量为0.05t/h，密炼及硫化工序胶料消耗量共0.114t/h。</w:t>
                  </w:r>
                </w:p>
              </w:tc>
            </w:tr>
          </w:tbl>
          <w:p w14:paraId="4AF035EA">
            <w:pPr>
              <w:wordWrap/>
              <w:adjustRightInd w:val="0"/>
              <w:snapToGrid w:val="0"/>
              <w:ind w:firstLine="482" w:firstLineChars="200"/>
              <w:rPr>
                <w:rFonts w:hint="default" w:ascii="Times New Roman" w:hAnsi="Times New Roman" w:cs="Times New Roman"/>
                <w:b/>
                <w:bCs/>
                <w:color w:val="auto"/>
                <w:lang w:val="en-US" w:eastAsia="zh-CN"/>
              </w:rPr>
            </w:pPr>
            <w:r>
              <w:rPr>
                <w:rFonts w:hint="default" w:ascii="Times New Roman" w:hAnsi="Times New Roman" w:cs="Times New Roman"/>
                <w:b/>
                <w:bCs/>
                <w:color w:val="auto"/>
                <w:szCs w:val="22"/>
                <w:lang w:val="en-US" w:eastAsia="zh-CN"/>
              </w:rPr>
              <w:t>2）无组织排放</w:t>
            </w:r>
          </w:p>
          <w:p w14:paraId="06CA69CB">
            <w:pPr>
              <w:keepNext w:val="0"/>
              <w:keepLines w:val="0"/>
              <w:suppressLineNumbers w:val="0"/>
              <w:wordWrap w:val="0"/>
              <w:spacing w:before="0" w:beforeAutospacing="0" w:after="0" w:afterAutospacing="0"/>
              <w:ind w:left="0" w:right="0"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lang w:val="en-US" w:eastAsia="zh-CN"/>
              </w:rPr>
              <w:t>项目</w:t>
            </w:r>
            <w:r>
              <w:rPr>
                <w:rFonts w:hint="default" w:ascii="Times New Roman" w:hAnsi="Times New Roman" w:cs="Times New Roman"/>
                <w:color w:val="auto"/>
                <w:lang w:val="en-US" w:eastAsia="zh-CN"/>
              </w:rPr>
              <w:t>喷漆工序废气经水帘柜预处理后与调漆、烘烤、移印、密炼及硫化等工序废气收集至“水喷淋+干式过滤+二级活性炭吸附”装置处理后引至排气筒DA001排放。项目注塑废气、液态成型废气</w:t>
            </w:r>
            <w:r>
              <w:rPr>
                <w:rFonts w:hint="default" w:ascii="Times New Roman" w:hAnsi="Times New Roman" w:cs="Times New Roman"/>
                <w:color w:val="auto"/>
                <w:szCs w:val="22"/>
                <w:lang w:val="en-US" w:eastAsia="zh-CN"/>
              </w:rPr>
              <w:t>收集至</w:t>
            </w:r>
            <w:r>
              <w:rPr>
                <w:rFonts w:hint="default" w:ascii="Times New Roman" w:hAnsi="Times New Roman" w:cs="Times New Roman"/>
                <w:color w:val="auto"/>
                <w:szCs w:val="22"/>
              </w:rPr>
              <w:t>“水喷淋塔+干式过滤棉+</w:t>
            </w:r>
            <w:r>
              <w:rPr>
                <w:rFonts w:hint="default" w:ascii="Times New Roman" w:hAnsi="Times New Roman" w:cs="Times New Roman"/>
                <w:color w:val="auto"/>
                <w:szCs w:val="22"/>
                <w:lang w:eastAsia="zh-CN"/>
              </w:rPr>
              <w:t>二级活性炭</w:t>
            </w:r>
            <w:r>
              <w:rPr>
                <w:rFonts w:hint="default" w:ascii="Times New Roman" w:hAnsi="Times New Roman" w:cs="Times New Roman"/>
                <w:color w:val="auto"/>
                <w:szCs w:val="22"/>
              </w:rPr>
              <w:t>吸附装置”处理后引至排气筒DA00</w:t>
            </w:r>
            <w:r>
              <w:rPr>
                <w:rFonts w:hint="default" w:ascii="Times New Roman" w:hAnsi="Times New Roman" w:cs="Times New Roman"/>
                <w:color w:val="auto"/>
                <w:szCs w:val="22"/>
                <w:lang w:val="en-US" w:eastAsia="zh-CN"/>
              </w:rPr>
              <w:t>2</w:t>
            </w:r>
            <w:r>
              <w:rPr>
                <w:rFonts w:hint="default" w:ascii="Times New Roman" w:hAnsi="Times New Roman" w:cs="Times New Roman"/>
                <w:color w:val="auto"/>
                <w:szCs w:val="22"/>
              </w:rPr>
              <w:t>排放</w:t>
            </w:r>
            <w:r>
              <w:rPr>
                <w:rFonts w:hint="default" w:ascii="Times New Roman" w:hAnsi="Times New Roman" w:cs="Times New Roman"/>
                <w:color w:val="auto"/>
                <w:szCs w:val="22"/>
                <w:lang w:val="en-US" w:eastAsia="zh-CN"/>
              </w:rPr>
              <w:t>，</w:t>
            </w:r>
            <w:r>
              <w:rPr>
                <w:rFonts w:hint="default" w:ascii="Times New Roman" w:hAnsi="Times New Roman" w:cs="Times New Roman"/>
                <w:color w:val="auto"/>
                <w:szCs w:val="22"/>
              </w:rPr>
              <w:t>未被收集的有机废气</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lang w:val="en-US" w:eastAsia="zh-CN"/>
              </w:rPr>
              <w:t>VOCs、非甲烷总烃、颗粒物、臭气</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lang w:val="en-US" w:eastAsia="zh-CN"/>
              </w:rPr>
              <w:t>以及机加工（油雾）和破碎颗粒物、电火花加工过程废气（颗粒物、非甲烷总烃）在车间无组织排放</w:t>
            </w:r>
            <w:r>
              <w:rPr>
                <w:rFonts w:hint="default" w:ascii="Times New Roman" w:hAnsi="Times New Roman" w:cs="Times New Roman"/>
                <w:color w:val="auto"/>
                <w:szCs w:val="22"/>
              </w:rPr>
              <w:t>。根据产排污分析，</w:t>
            </w:r>
            <w:r>
              <w:rPr>
                <w:rFonts w:hint="default" w:ascii="Times New Roman" w:hAnsi="Times New Roman" w:cs="Times New Roman"/>
                <w:color w:val="auto"/>
                <w:szCs w:val="22"/>
                <w:lang w:val="en-US" w:eastAsia="zh-CN"/>
              </w:rPr>
              <w:t>厂界</w:t>
            </w:r>
            <w:r>
              <w:rPr>
                <w:rFonts w:hint="default" w:ascii="Times New Roman" w:hAnsi="Times New Roman" w:cs="Times New Roman"/>
                <w:color w:val="auto"/>
                <w:szCs w:val="22"/>
              </w:rPr>
              <w:t>颗粒物无组织排放量为</w:t>
            </w:r>
            <w:r>
              <w:rPr>
                <w:rFonts w:hint="default" w:ascii="Times New Roman" w:hAnsi="Times New Roman" w:cs="Times New Roman"/>
                <w:color w:val="auto"/>
                <w:szCs w:val="22"/>
                <w:lang w:val="en-US" w:eastAsia="zh-CN"/>
              </w:rPr>
              <w:t>0.241</w:t>
            </w:r>
            <w:r>
              <w:rPr>
                <w:rFonts w:hint="default" w:ascii="Times New Roman" w:hAnsi="Times New Roman" w:cs="Times New Roman"/>
                <w:color w:val="auto"/>
                <w:szCs w:val="22"/>
              </w:rPr>
              <w:t>t/a，排放速率为</w:t>
            </w:r>
            <w:r>
              <w:rPr>
                <w:rFonts w:hint="default" w:ascii="Times New Roman" w:hAnsi="Times New Roman" w:cs="Times New Roman"/>
                <w:color w:val="auto"/>
                <w:szCs w:val="22"/>
                <w:lang w:val="en-US" w:eastAsia="zh-CN"/>
              </w:rPr>
              <w:t>0.0533</w:t>
            </w:r>
            <w:r>
              <w:rPr>
                <w:rFonts w:hint="default" w:ascii="Times New Roman" w:hAnsi="Times New Roman" w:cs="Times New Roman"/>
                <w:color w:val="auto"/>
                <w:szCs w:val="22"/>
              </w:rPr>
              <w:t>kg/h，</w:t>
            </w:r>
            <w:r>
              <w:rPr>
                <w:rFonts w:hint="default" w:ascii="Times New Roman" w:hAnsi="Times New Roman" w:cs="Times New Roman"/>
                <w:color w:val="auto"/>
                <w:szCs w:val="22"/>
                <w:lang w:val="en-US" w:eastAsia="zh-CN"/>
              </w:rPr>
              <w:t>厂界</w:t>
            </w:r>
            <w:r>
              <w:rPr>
                <w:rFonts w:hint="default" w:ascii="Times New Roman" w:hAnsi="Times New Roman" w:cs="Times New Roman"/>
                <w:color w:val="auto"/>
                <w:szCs w:val="22"/>
              </w:rPr>
              <w:t>VOCs无组织排放量为</w:t>
            </w:r>
            <w:r>
              <w:rPr>
                <w:rFonts w:hint="default" w:ascii="Times New Roman" w:hAnsi="Times New Roman" w:cs="Times New Roman"/>
                <w:color w:val="auto"/>
                <w:szCs w:val="22"/>
                <w:lang w:val="en-US" w:eastAsia="zh-CN"/>
              </w:rPr>
              <w:t>0.132</w:t>
            </w:r>
            <w:r>
              <w:rPr>
                <w:rFonts w:hint="default" w:ascii="Times New Roman" w:hAnsi="Times New Roman" w:cs="Times New Roman"/>
                <w:color w:val="auto"/>
                <w:szCs w:val="22"/>
              </w:rPr>
              <w:t>t/a，排放速率为</w:t>
            </w:r>
            <w:r>
              <w:rPr>
                <w:rFonts w:hint="default" w:ascii="Times New Roman" w:hAnsi="Times New Roman" w:cs="Times New Roman"/>
                <w:color w:val="auto"/>
                <w:szCs w:val="22"/>
                <w:lang w:val="en-US" w:eastAsia="zh-CN"/>
              </w:rPr>
              <w:t>0.0274</w:t>
            </w:r>
            <w:r>
              <w:rPr>
                <w:rFonts w:hint="default" w:ascii="Times New Roman" w:hAnsi="Times New Roman" w:cs="Times New Roman"/>
                <w:color w:val="auto"/>
                <w:szCs w:val="22"/>
              </w:rPr>
              <w:t>kg/h，</w:t>
            </w:r>
            <w:r>
              <w:rPr>
                <w:rFonts w:hint="default" w:ascii="Times New Roman" w:hAnsi="Times New Roman" w:cs="Times New Roman"/>
                <w:color w:val="auto"/>
                <w:szCs w:val="22"/>
                <w:lang w:val="en-US" w:eastAsia="zh-CN"/>
              </w:rPr>
              <w:t>厂界非甲烷总烃</w:t>
            </w:r>
            <w:r>
              <w:rPr>
                <w:rFonts w:hint="default" w:ascii="Times New Roman" w:hAnsi="Times New Roman" w:cs="Times New Roman"/>
                <w:color w:val="auto"/>
                <w:szCs w:val="22"/>
              </w:rPr>
              <w:t>无组织排放量为</w:t>
            </w:r>
            <w:r>
              <w:rPr>
                <w:rFonts w:hint="default" w:ascii="Times New Roman" w:hAnsi="Times New Roman" w:cs="Times New Roman"/>
                <w:color w:val="auto"/>
                <w:szCs w:val="22"/>
                <w:lang w:val="en-US" w:eastAsia="zh-CN"/>
              </w:rPr>
              <w:t>0.695</w:t>
            </w:r>
            <w:r>
              <w:rPr>
                <w:rFonts w:hint="default" w:ascii="Times New Roman" w:hAnsi="Times New Roman" w:cs="Times New Roman"/>
                <w:color w:val="auto"/>
                <w:szCs w:val="22"/>
              </w:rPr>
              <w:t>t/a，排放速率为</w:t>
            </w:r>
            <w:r>
              <w:rPr>
                <w:rFonts w:hint="default" w:ascii="Times New Roman" w:hAnsi="Times New Roman" w:cs="Times New Roman"/>
                <w:color w:val="auto"/>
                <w:szCs w:val="22"/>
                <w:lang w:val="en-US" w:eastAsia="zh-CN"/>
              </w:rPr>
              <w:t>0.1499</w:t>
            </w:r>
            <w:r>
              <w:rPr>
                <w:rFonts w:hint="default" w:ascii="Times New Roman" w:hAnsi="Times New Roman" w:cs="Times New Roman"/>
                <w:color w:val="auto"/>
                <w:szCs w:val="22"/>
              </w:rPr>
              <w:t>kg/h，预计</w:t>
            </w:r>
            <w:r>
              <w:rPr>
                <w:rFonts w:hint="default" w:ascii="Times New Roman" w:hAnsi="Times New Roman" w:cs="Times New Roman"/>
                <w:bCs/>
                <w:color w:val="auto"/>
                <w:sz w:val="24"/>
                <w:szCs w:val="24"/>
                <w:lang w:val="en-US" w:eastAsia="zh-CN" w:bidi="ar"/>
              </w:rPr>
              <w:t>厂界颗粒物无组织排放可达到</w:t>
            </w:r>
            <w:r>
              <w:rPr>
                <w:rFonts w:hint="default" w:ascii="Times New Roman" w:hAnsi="Times New Roman" w:eastAsia="宋体" w:cs="Times New Roman"/>
                <w:b w:val="0"/>
                <w:bCs/>
                <w:color w:val="auto"/>
                <w:kern w:val="2"/>
                <w:sz w:val="24"/>
                <w:szCs w:val="24"/>
                <w:highlight w:val="none"/>
                <w:lang w:val="en-US" w:eastAsia="zh-CN" w:bidi="ar-SA"/>
              </w:rPr>
              <w:t>广东省《大气污染物排放限值》（DB44/27-2001）第二时段无组织排放浓度限、</w:t>
            </w:r>
            <w:r>
              <w:rPr>
                <w:rFonts w:hint="default" w:ascii="Times New Roman" w:hAnsi="Times New Roman" w:cs="Times New Roman"/>
                <w:bCs/>
                <w:color w:val="auto"/>
                <w:lang w:eastAsia="zh-CN" w:bidi="ar"/>
              </w:rPr>
              <w:t>《</w:t>
            </w:r>
            <w:r>
              <w:rPr>
                <w:rFonts w:hint="default" w:ascii="Times New Roman" w:hAnsi="Times New Roman" w:cs="Times New Roman"/>
                <w:bCs/>
                <w:color w:val="auto"/>
                <w:lang w:bidi="ar"/>
              </w:rPr>
              <w:t>合成树脂工业污染物排放标准》（GB31572-2015，含2024年修改单）表</w:t>
            </w:r>
            <w:r>
              <w:rPr>
                <w:rFonts w:hint="default" w:ascii="Times New Roman" w:hAnsi="Times New Roman" w:cs="Times New Roman"/>
                <w:bCs/>
                <w:color w:val="auto"/>
                <w:lang w:val="en-US" w:eastAsia="zh-CN" w:bidi="ar"/>
              </w:rPr>
              <w:t>9企业边界大气污染物浓度限值两者较严值；厂界非甲烷总烃</w:t>
            </w:r>
            <w:r>
              <w:rPr>
                <w:rFonts w:hint="default" w:ascii="Times New Roman" w:hAnsi="Times New Roman" w:cs="Times New Roman"/>
                <w:bCs/>
                <w:color w:val="auto"/>
                <w:sz w:val="24"/>
                <w:szCs w:val="24"/>
                <w:lang w:val="en-US" w:eastAsia="zh-CN" w:bidi="ar"/>
              </w:rPr>
              <w:t>无组织排放可达到</w:t>
            </w:r>
            <w:r>
              <w:rPr>
                <w:rFonts w:hint="default" w:ascii="Times New Roman" w:hAnsi="Times New Roman" w:eastAsia="宋体" w:cs="Times New Roman"/>
                <w:bCs/>
                <w:color w:val="auto"/>
                <w:sz w:val="24"/>
                <w:szCs w:val="24"/>
                <w:lang w:val="en-US" w:eastAsia="zh-CN" w:bidi="ar"/>
              </w:rPr>
              <w:t>《合成树脂工业污染物排放标准》（GB31572-2015，含2024年修改单）表9企业边界大气污染物浓度限值、</w:t>
            </w:r>
            <w:r>
              <w:rPr>
                <w:rFonts w:hint="default" w:ascii="Times New Roman" w:hAnsi="Times New Roman" w:eastAsia="宋体" w:cs="Times New Roman"/>
                <w:b w:val="0"/>
                <w:bCs/>
                <w:color w:val="auto"/>
                <w:kern w:val="2"/>
                <w:sz w:val="24"/>
                <w:szCs w:val="24"/>
                <w:highlight w:val="none"/>
                <w:lang w:val="en-US" w:eastAsia="zh-CN" w:bidi="ar-SA"/>
              </w:rPr>
              <w:t>广东省《大气污染物排放限值》（DB44/27-2001）第二时段无组织排放浓度限值和《橡胶制品工业污染物排放标准》（GB27632-2011）表6厂界无组织排放限值较严值</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bCs/>
                <w:color w:val="auto"/>
                <w:sz w:val="24"/>
                <w:szCs w:val="24"/>
                <w:lang w:val="en-US" w:eastAsia="zh-CN" w:bidi="ar"/>
              </w:rPr>
              <w:t>总VOCs无组织</w:t>
            </w:r>
            <w:r>
              <w:rPr>
                <w:rFonts w:hint="default" w:ascii="Times New Roman" w:hAnsi="Times New Roman" w:cs="Times New Roman"/>
                <w:bCs/>
                <w:color w:val="auto"/>
                <w:sz w:val="24"/>
                <w:szCs w:val="24"/>
                <w:lang w:val="en-US" w:eastAsia="zh-CN" w:bidi="ar"/>
              </w:rPr>
              <w:t>排放可达到</w:t>
            </w:r>
            <w:r>
              <w:rPr>
                <w:rFonts w:hint="default" w:ascii="Times New Roman" w:hAnsi="Times New Roman" w:eastAsia="宋体" w:cs="Times New Roman"/>
                <w:bCs/>
                <w:color w:val="auto"/>
                <w:sz w:val="24"/>
                <w:szCs w:val="24"/>
                <w:lang w:val="en-US" w:eastAsia="zh-CN" w:bidi="ar"/>
              </w:rPr>
              <w:t>《印刷行业挥发性有机化合物排放标准》（DB44/815-2010）和广东省地方标准《家具制造行业挥发性有机化合物排放标准》（DB44/814-2010）两者较严值</w:t>
            </w:r>
            <w:r>
              <w:rPr>
                <w:rFonts w:hint="default" w:ascii="Times New Roman" w:hAnsi="Times New Roman" w:eastAsia="宋体" w:cs="Times New Roman"/>
                <w:b w:val="0"/>
                <w:bCs/>
                <w:color w:val="auto"/>
                <w:kern w:val="2"/>
                <w:sz w:val="24"/>
                <w:szCs w:val="24"/>
                <w:highlight w:val="none"/>
                <w:lang w:val="en-US" w:eastAsia="zh-CN" w:bidi="ar-SA"/>
              </w:rPr>
              <w:t>，</w:t>
            </w:r>
            <w:r>
              <w:rPr>
                <w:rFonts w:hint="default" w:ascii="Times New Roman" w:hAnsi="Times New Roman" w:eastAsia="宋体" w:cs="Times New Roman"/>
                <w:bCs/>
                <w:color w:val="auto"/>
                <w:sz w:val="24"/>
                <w:szCs w:val="24"/>
                <w:lang w:val="en-US" w:eastAsia="zh-CN" w:bidi="ar"/>
              </w:rPr>
              <w:t>臭气浓度无组织排放执行《恶臭污染物排放标准》（GB14554-93）表1恶臭污染物厂界标准值中新改扩建二级标准值；</w:t>
            </w:r>
            <w:r>
              <w:rPr>
                <w:rFonts w:hint="default" w:ascii="Times New Roman" w:hAnsi="Times New Roman" w:cs="Times New Roman"/>
                <w:color w:val="auto"/>
                <w:szCs w:val="32"/>
              </w:rPr>
              <w:t>VOCs厂区内无组织排放可以达到</w:t>
            </w:r>
            <w:r>
              <w:rPr>
                <w:rFonts w:hint="default" w:ascii="Times New Roman" w:hAnsi="Times New Roman" w:cs="Times New Roman"/>
                <w:color w:val="auto"/>
                <w:szCs w:val="22"/>
              </w:rPr>
              <w:t>广东省《固定污染源挥发性有机物综合排放标准》（DB 44/2367-2022）表3厂区内VOCs无组织排放限值</w:t>
            </w:r>
            <w:r>
              <w:rPr>
                <w:rFonts w:hint="default" w:ascii="Times New Roman" w:hAnsi="Times New Roman" w:cs="Times New Roman"/>
                <w:color w:val="auto"/>
                <w:szCs w:val="32"/>
              </w:rPr>
              <w:t>，</w:t>
            </w:r>
            <w:r>
              <w:rPr>
                <w:rFonts w:hint="default" w:ascii="Times New Roman" w:hAnsi="Times New Roman" w:cs="Times New Roman"/>
                <w:color w:val="auto"/>
                <w:szCs w:val="21"/>
              </w:rPr>
              <w:t>对周边环境造成的影响较小。</w:t>
            </w:r>
          </w:p>
          <w:p w14:paraId="2D33F51A">
            <w:pPr>
              <w:ind w:firstLine="480" w:firstLineChars="200"/>
              <w:rPr>
                <w:rFonts w:hint="default" w:ascii="Times New Roman" w:hAnsi="Times New Roman" w:cs="Times New Roman"/>
                <w:color w:val="auto"/>
                <w:szCs w:val="22"/>
              </w:rPr>
            </w:pPr>
            <w:r>
              <w:rPr>
                <w:rFonts w:hint="default" w:ascii="Times New Roman" w:hAnsi="Times New Roman" w:cs="Times New Roman"/>
                <w:bCs/>
                <w:color w:val="auto"/>
                <w:szCs w:val="22"/>
              </w:rPr>
              <w:t>综上所述，项目建成后废气排放</w:t>
            </w:r>
            <w:r>
              <w:rPr>
                <w:rFonts w:hint="default" w:ascii="Times New Roman" w:hAnsi="Times New Roman" w:cs="Times New Roman"/>
                <w:color w:val="auto"/>
                <w:szCs w:val="21"/>
              </w:rPr>
              <w:t>对周边环境造成的影响较小</w:t>
            </w:r>
            <w:r>
              <w:rPr>
                <w:rFonts w:hint="default" w:ascii="Times New Roman" w:hAnsi="Times New Roman" w:cs="Times New Roman"/>
                <w:bCs/>
                <w:color w:val="auto"/>
                <w:szCs w:val="22"/>
              </w:rPr>
              <w:t>。</w:t>
            </w:r>
          </w:p>
          <w:p w14:paraId="4574A3EF">
            <w:pPr>
              <w:wordWrap/>
              <w:adjustRightInd w:val="0"/>
              <w:snapToGrid w:val="0"/>
              <w:ind w:firstLine="482" w:firstLineChars="200"/>
              <w:rPr>
                <w:rFonts w:hint="default" w:ascii="Times New Roman" w:hAnsi="Times New Roman" w:cs="Times New Roman"/>
                <w:b/>
                <w:color w:val="auto"/>
                <w:kern w:val="21"/>
              </w:rPr>
            </w:pPr>
            <w:r>
              <w:rPr>
                <w:rFonts w:hint="default" w:ascii="Times New Roman" w:hAnsi="Times New Roman" w:cs="Times New Roman"/>
                <w:b/>
                <w:bCs/>
                <w:color w:val="auto"/>
                <w:szCs w:val="22"/>
              </w:rPr>
              <w:t>（4）</w:t>
            </w:r>
            <w:r>
              <w:rPr>
                <w:rFonts w:hint="default" w:ascii="Times New Roman" w:hAnsi="Times New Roman" w:cs="Times New Roman"/>
                <w:b/>
                <w:color w:val="auto"/>
                <w:kern w:val="21"/>
              </w:rPr>
              <w:t>非正常工况</w:t>
            </w:r>
          </w:p>
          <w:p w14:paraId="428FED57">
            <w:pPr>
              <w:wordWrap/>
              <w:adjustRightInd w:val="0"/>
              <w:snapToGrid w:val="0"/>
              <w:ind w:firstLine="480" w:firstLineChars="200"/>
              <w:rPr>
                <w:rFonts w:hint="default" w:ascii="Times New Roman" w:hAnsi="Times New Roman" w:cs="Times New Roman"/>
                <w:b/>
                <w:color w:val="auto"/>
                <w:kern w:val="21"/>
              </w:rPr>
            </w:pPr>
            <w:r>
              <w:rPr>
                <w:rFonts w:hint="default" w:ascii="Times New Roman" w:hAnsi="Times New Roman" w:cs="Times New Roman"/>
                <w:color w:val="auto"/>
                <w:lang w:bidi="ar"/>
              </w:rPr>
              <w:t>非正常情况指生产过程中生产设备开停、检修、工艺设备运转异常等非正常工况或污染防治设施非正常状况，以及污染物排放控制达不到应有效率等情况下的排放。本次评价考虑废气处理设施在非正常状况条件下</w:t>
            </w:r>
            <w:r>
              <w:rPr>
                <w:rFonts w:hint="default" w:ascii="Times New Roman" w:hAnsi="Times New Roman" w:cs="Times New Roman"/>
                <w:color w:val="auto"/>
                <w:lang w:val="en-US" w:eastAsia="zh-CN" w:bidi="ar"/>
              </w:rPr>
              <w:t>处理效率按20%进行</w:t>
            </w:r>
            <w:r>
              <w:rPr>
                <w:rFonts w:hint="default" w:ascii="Times New Roman" w:hAnsi="Times New Roman" w:cs="Times New Roman"/>
                <w:color w:val="auto"/>
                <w:lang w:bidi="ar"/>
              </w:rPr>
              <w:t>。</w:t>
            </w:r>
            <w:r>
              <w:rPr>
                <w:rFonts w:hint="default" w:ascii="Times New Roman" w:hAnsi="Times New Roman" w:cs="Times New Roman"/>
                <w:bCs/>
                <w:color w:val="auto"/>
                <w:kern w:val="21"/>
              </w:rPr>
              <w:t>项目污染源非正常工况下污染物排放情况见下表。</w:t>
            </w:r>
          </w:p>
          <w:p w14:paraId="3EF1B4F6">
            <w:pPr>
              <w:wordWrap/>
              <w:adjustRightInd w:val="0"/>
              <w:snapToGrid w:val="0"/>
              <w:spacing w:line="240" w:lineRule="auto"/>
              <w:ind w:firstLine="482" w:firstLineChars="200"/>
              <w:jc w:val="center"/>
              <w:rPr>
                <w:rFonts w:hint="default" w:ascii="Times New Roman" w:hAnsi="Times New Roman" w:cs="Times New Roman"/>
                <w:b/>
                <w:color w:val="auto"/>
                <w:kern w:val="21"/>
              </w:rPr>
            </w:pPr>
            <w:r>
              <w:rPr>
                <w:rFonts w:hint="default" w:ascii="Times New Roman" w:hAnsi="Times New Roman" w:cs="Times New Roman"/>
                <w:b/>
                <w:color w:val="auto"/>
                <w:kern w:val="21"/>
              </w:rPr>
              <w:t>表</w:t>
            </w:r>
            <w:r>
              <w:rPr>
                <w:rFonts w:hint="default" w:ascii="Times New Roman" w:hAnsi="Times New Roman" w:cs="Times New Roman"/>
                <w:b/>
                <w:color w:val="auto"/>
                <w:kern w:val="21"/>
                <w:lang w:val="en-US" w:eastAsia="zh-CN"/>
              </w:rPr>
              <w:t>4-9</w:t>
            </w:r>
            <w:r>
              <w:rPr>
                <w:rFonts w:hint="default" w:ascii="Times New Roman" w:hAnsi="Times New Roman" w:cs="Times New Roman"/>
                <w:b/>
                <w:color w:val="auto"/>
                <w:kern w:val="21"/>
              </w:rPr>
              <w:t xml:space="preserve"> 污染源非正常排放核算表</w:t>
            </w:r>
          </w:p>
          <w:tbl>
            <w:tblPr>
              <w:tblStyle w:val="23"/>
              <w:tblW w:w="8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193"/>
              <w:gridCol w:w="900"/>
              <w:gridCol w:w="1241"/>
              <w:gridCol w:w="1071"/>
              <w:gridCol w:w="915"/>
              <w:gridCol w:w="884"/>
              <w:gridCol w:w="1398"/>
            </w:tblGrid>
            <w:tr w14:paraId="60207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834" w:type="dxa"/>
                  <w:vAlign w:val="center"/>
                </w:tcPr>
                <w:p w14:paraId="3BEF0D62">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污染源</w:t>
                  </w:r>
                </w:p>
              </w:tc>
              <w:tc>
                <w:tcPr>
                  <w:tcW w:w="1193" w:type="dxa"/>
                  <w:vAlign w:val="center"/>
                </w:tcPr>
                <w:p w14:paraId="48DEE159">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非正常排放原因</w:t>
                  </w:r>
                </w:p>
              </w:tc>
              <w:tc>
                <w:tcPr>
                  <w:tcW w:w="900" w:type="dxa"/>
                  <w:vAlign w:val="center"/>
                </w:tcPr>
                <w:p w14:paraId="686D8063">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w:t>
                  </w:r>
                </w:p>
              </w:tc>
              <w:tc>
                <w:tcPr>
                  <w:tcW w:w="1241" w:type="dxa"/>
                  <w:vAlign w:val="center"/>
                </w:tcPr>
                <w:p w14:paraId="6A52913C">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非正常排放浓度（mg/m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w:t>
                  </w:r>
                </w:p>
              </w:tc>
              <w:tc>
                <w:tcPr>
                  <w:tcW w:w="1071" w:type="dxa"/>
                  <w:vAlign w:val="center"/>
                </w:tcPr>
                <w:p w14:paraId="394AB75B">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非正常排放速率（kg/h）</w:t>
                  </w:r>
                </w:p>
              </w:tc>
              <w:tc>
                <w:tcPr>
                  <w:tcW w:w="915" w:type="dxa"/>
                  <w:vAlign w:val="center"/>
                </w:tcPr>
                <w:p w14:paraId="0FBE9285">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单次持续时间/h</w:t>
                  </w:r>
                </w:p>
              </w:tc>
              <w:tc>
                <w:tcPr>
                  <w:tcW w:w="884" w:type="dxa"/>
                  <w:vAlign w:val="center"/>
                </w:tcPr>
                <w:p w14:paraId="62F3029D">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年发生频次/次</w:t>
                  </w:r>
                </w:p>
              </w:tc>
              <w:tc>
                <w:tcPr>
                  <w:tcW w:w="1398" w:type="dxa"/>
                  <w:vAlign w:val="center"/>
                </w:tcPr>
                <w:p w14:paraId="17921867">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应对措施</w:t>
                  </w:r>
                </w:p>
              </w:tc>
            </w:tr>
            <w:tr w14:paraId="17602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834" w:type="dxa"/>
                  <w:vMerge w:val="restart"/>
                  <w:vAlign w:val="center"/>
                </w:tcPr>
                <w:p w14:paraId="067EEF17">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调漆喷漆及烘烤、密炼及硫化、移印</w:t>
                  </w:r>
                </w:p>
              </w:tc>
              <w:tc>
                <w:tcPr>
                  <w:tcW w:w="1193" w:type="dxa"/>
                  <w:vMerge w:val="restart"/>
                  <w:vAlign w:val="center"/>
                </w:tcPr>
                <w:p w14:paraId="2D3EBB33">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“水喷淋塔+干式过滤棉+</w:t>
                  </w:r>
                  <w:r>
                    <w:rPr>
                      <w:rFonts w:hint="default" w:ascii="Times New Roman" w:hAnsi="Times New Roman" w:cs="Times New Roman"/>
                      <w:bCs/>
                      <w:color w:val="auto"/>
                      <w:kern w:val="21"/>
                      <w:sz w:val="21"/>
                      <w:szCs w:val="21"/>
                      <w:lang w:eastAsia="zh-CN"/>
                    </w:rPr>
                    <w:t>二级活性炭</w:t>
                  </w:r>
                  <w:r>
                    <w:rPr>
                      <w:rFonts w:hint="default" w:ascii="Times New Roman" w:hAnsi="Times New Roman" w:cs="Times New Roman"/>
                      <w:bCs/>
                      <w:color w:val="auto"/>
                      <w:kern w:val="21"/>
                      <w:sz w:val="21"/>
                      <w:szCs w:val="21"/>
                    </w:rPr>
                    <w:t>吸附装置”故障</w:t>
                  </w:r>
                </w:p>
              </w:tc>
              <w:tc>
                <w:tcPr>
                  <w:tcW w:w="900" w:type="dxa"/>
                  <w:vAlign w:val="center"/>
                </w:tcPr>
                <w:p w14:paraId="30BF12FB">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VOCs</w:t>
                  </w:r>
                </w:p>
              </w:tc>
              <w:tc>
                <w:tcPr>
                  <w:tcW w:w="1241" w:type="dxa"/>
                  <w:vAlign w:val="center"/>
                </w:tcPr>
                <w:p w14:paraId="6BDD1100">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2.336</w:t>
                  </w:r>
                </w:p>
              </w:tc>
              <w:tc>
                <w:tcPr>
                  <w:tcW w:w="1071" w:type="dxa"/>
                  <w:vAlign w:val="center"/>
                </w:tcPr>
                <w:p w14:paraId="14FA06DE">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0.051</w:t>
                  </w:r>
                </w:p>
              </w:tc>
              <w:tc>
                <w:tcPr>
                  <w:tcW w:w="915" w:type="dxa"/>
                  <w:vAlign w:val="center"/>
                </w:tcPr>
                <w:p w14:paraId="39E82D07">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w:t>
                  </w:r>
                </w:p>
              </w:tc>
              <w:tc>
                <w:tcPr>
                  <w:tcW w:w="884" w:type="dxa"/>
                  <w:vAlign w:val="center"/>
                </w:tcPr>
                <w:p w14:paraId="4C55AC6D">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w:t>
                  </w:r>
                </w:p>
              </w:tc>
              <w:tc>
                <w:tcPr>
                  <w:tcW w:w="1398" w:type="dxa"/>
                  <w:vMerge w:val="restart"/>
                  <w:vAlign w:val="center"/>
                </w:tcPr>
                <w:p w14:paraId="4A02F95E">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加强治理设施的维护保养，做好日常巡查</w:t>
                  </w:r>
                </w:p>
              </w:tc>
            </w:tr>
            <w:tr w14:paraId="3D0C5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834" w:type="dxa"/>
                  <w:vMerge w:val="continue"/>
                  <w:vAlign w:val="center"/>
                </w:tcPr>
                <w:p w14:paraId="3B24BF26">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1193" w:type="dxa"/>
                  <w:vMerge w:val="continue"/>
                  <w:vAlign w:val="center"/>
                </w:tcPr>
                <w:p w14:paraId="21351C4B">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00" w:type="dxa"/>
                  <w:vAlign w:val="center"/>
                </w:tcPr>
                <w:p w14:paraId="11044F87">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非甲烷总烃</w:t>
                  </w:r>
                </w:p>
              </w:tc>
              <w:tc>
                <w:tcPr>
                  <w:tcW w:w="1241" w:type="dxa"/>
                  <w:vAlign w:val="center"/>
                </w:tcPr>
                <w:p w14:paraId="77EB0F12">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0.89</w:t>
                  </w:r>
                </w:p>
              </w:tc>
              <w:tc>
                <w:tcPr>
                  <w:tcW w:w="1071" w:type="dxa"/>
                  <w:vAlign w:val="center"/>
                </w:tcPr>
                <w:p w14:paraId="2BD14BE8">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0.0147</w:t>
                  </w:r>
                </w:p>
              </w:tc>
              <w:tc>
                <w:tcPr>
                  <w:tcW w:w="915" w:type="dxa"/>
                  <w:vAlign w:val="center"/>
                </w:tcPr>
                <w:p w14:paraId="0A830E04">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1</w:t>
                  </w:r>
                </w:p>
              </w:tc>
              <w:tc>
                <w:tcPr>
                  <w:tcW w:w="884" w:type="dxa"/>
                  <w:vAlign w:val="center"/>
                </w:tcPr>
                <w:p w14:paraId="34E1AE89">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1</w:t>
                  </w:r>
                </w:p>
              </w:tc>
              <w:tc>
                <w:tcPr>
                  <w:tcW w:w="1398" w:type="dxa"/>
                  <w:vMerge w:val="continue"/>
                  <w:vAlign w:val="center"/>
                </w:tcPr>
                <w:p w14:paraId="102A5570">
                  <w:pPr>
                    <w:wordWrap/>
                    <w:adjustRightInd w:val="0"/>
                    <w:snapToGrid w:val="0"/>
                    <w:spacing w:line="240" w:lineRule="auto"/>
                    <w:jc w:val="center"/>
                    <w:rPr>
                      <w:rFonts w:hint="default" w:ascii="Times New Roman" w:hAnsi="Times New Roman" w:cs="Times New Roman"/>
                      <w:bCs/>
                      <w:color w:val="auto"/>
                      <w:kern w:val="21"/>
                      <w:sz w:val="21"/>
                      <w:szCs w:val="21"/>
                    </w:rPr>
                  </w:pPr>
                </w:p>
              </w:tc>
            </w:tr>
            <w:tr w14:paraId="7E5BC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834" w:type="dxa"/>
                  <w:vMerge w:val="continue"/>
                  <w:vAlign w:val="center"/>
                </w:tcPr>
                <w:p w14:paraId="229B6661">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1193" w:type="dxa"/>
                  <w:vMerge w:val="continue"/>
                  <w:vAlign w:val="center"/>
                </w:tcPr>
                <w:p w14:paraId="3BEC5361">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00" w:type="dxa"/>
                  <w:vAlign w:val="center"/>
                </w:tcPr>
                <w:p w14:paraId="0728AD44">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颗粒物</w:t>
                  </w:r>
                </w:p>
              </w:tc>
              <w:tc>
                <w:tcPr>
                  <w:tcW w:w="1241" w:type="dxa"/>
                  <w:vAlign w:val="center"/>
                </w:tcPr>
                <w:p w14:paraId="3508A6F7">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2.5</w:t>
                  </w:r>
                </w:p>
              </w:tc>
              <w:tc>
                <w:tcPr>
                  <w:tcW w:w="1071" w:type="dxa"/>
                  <w:vAlign w:val="center"/>
                </w:tcPr>
                <w:p w14:paraId="6E57A3C2">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0.041</w:t>
                  </w:r>
                </w:p>
              </w:tc>
              <w:tc>
                <w:tcPr>
                  <w:tcW w:w="915" w:type="dxa"/>
                  <w:vAlign w:val="center"/>
                </w:tcPr>
                <w:p w14:paraId="2CF2BF97">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w:t>
                  </w:r>
                </w:p>
              </w:tc>
              <w:tc>
                <w:tcPr>
                  <w:tcW w:w="884" w:type="dxa"/>
                  <w:vAlign w:val="center"/>
                </w:tcPr>
                <w:p w14:paraId="662E0746">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w:t>
                  </w:r>
                </w:p>
              </w:tc>
              <w:tc>
                <w:tcPr>
                  <w:tcW w:w="1398" w:type="dxa"/>
                  <w:vMerge w:val="continue"/>
                  <w:vAlign w:val="center"/>
                </w:tcPr>
                <w:p w14:paraId="6CA8E7A5">
                  <w:pPr>
                    <w:wordWrap/>
                    <w:adjustRightInd w:val="0"/>
                    <w:snapToGrid w:val="0"/>
                    <w:spacing w:line="240" w:lineRule="auto"/>
                    <w:jc w:val="center"/>
                    <w:rPr>
                      <w:rFonts w:hint="default" w:ascii="Times New Roman" w:hAnsi="Times New Roman" w:cs="Times New Roman"/>
                      <w:bCs/>
                      <w:color w:val="auto"/>
                      <w:kern w:val="21"/>
                      <w:sz w:val="21"/>
                      <w:szCs w:val="21"/>
                    </w:rPr>
                  </w:pPr>
                </w:p>
              </w:tc>
            </w:tr>
            <w:tr w14:paraId="64335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834" w:type="dxa"/>
                  <w:vAlign w:val="center"/>
                </w:tcPr>
                <w:p w14:paraId="230A3F25">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lang w:val="en-US" w:eastAsia="zh-CN"/>
                    </w:rPr>
                    <w:t>密炼及硫化、液态成型</w:t>
                  </w:r>
                </w:p>
              </w:tc>
              <w:tc>
                <w:tcPr>
                  <w:tcW w:w="1193" w:type="dxa"/>
                  <w:vAlign w:val="center"/>
                </w:tcPr>
                <w:p w14:paraId="1E2614BF">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lang w:eastAsia="zh-CN"/>
                    </w:rPr>
                    <w:t>“</w:t>
                  </w:r>
                  <w:r>
                    <w:rPr>
                      <w:rFonts w:hint="default" w:ascii="Times New Roman" w:hAnsi="Times New Roman" w:cs="Times New Roman"/>
                      <w:bCs/>
                      <w:color w:val="auto"/>
                      <w:kern w:val="21"/>
                      <w:sz w:val="21"/>
                      <w:szCs w:val="21"/>
                      <w:lang w:val="en-US" w:eastAsia="zh-CN"/>
                    </w:rPr>
                    <w:t>二级活性炭吸附装置</w:t>
                  </w:r>
                  <w:r>
                    <w:rPr>
                      <w:rFonts w:hint="default" w:ascii="Times New Roman" w:hAnsi="Times New Roman" w:cs="Times New Roman"/>
                      <w:bCs/>
                      <w:color w:val="auto"/>
                      <w:kern w:val="21"/>
                      <w:sz w:val="21"/>
                      <w:szCs w:val="21"/>
                      <w:lang w:eastAsia="zh-CN"/>
                    </w:rPr>
                    <w:t>”</w:t>
                  </w:r>
                  <w:r>
                    <w:rPr>
                      <w:rFonts w:hint="default" w:ascii="Times New Roman" w:hAnsi="Times New Roman" w:cs="Times New Roman"/>
                      <w:bCs/>
                      <w:color w:val="auto"/>
                      <w:kern w:val="21"/>
                      <w:sz w:val="21"/>
                      <w:szCs w:val="21"/>
                      <w:lang w:val="en-US" w:eastAsia="zh-CN"/>
                    </w:rPr>
                    <w:t>故障</w:t>
                  </w:r>
                </w:p>
              </w:tc>
              <w:tc>
                <w:tcPr>
                  <w:tcW w:w="900" w:type="dxa"/>
                  <w:vAlign w:val="center"/>
                </w:tcPr>
                <w:p w14:paraId="76FC5283">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lang w:val="en-US" w:eastAsia="zh-CN"/>
                    </w:rPr>
                    <w:t>非甲烷总烃</w:t>
                  </w:r>
                </w:p>
              </w:tc>
              <w:tc>
                <w:tcPr>
                  <w:tcW w:w="1241" w:type="dxa"/>
                  <w:vAlign w:val="center"/>
                </w:tcPr>
                <w:p w14:paraId="7A3BF678">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3.1</w:t>
                  </w:r>
                </w:p>
              </w:tc>
              <w:tc>
                <w:tcPr>
                  <w:tcW w:w="1071" w:type="dxa"/>
                  <w:vAlign w:val="center"/>
                </w:tcPr>
                <w:p w14:paraId="1496070C">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0.101</w:t>
                  </w:r>
                </w:p>
              </w:tc>
              <w:tc>
                <w:tcPr>
                  <w:tcW w:w="915" w:type="dxa"/>
                  <w:vAlign w:val="center"/>
                </w:tcPr>
                <w:p w14:paraId="040EAE3F">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w:t>
                  </w:r>
                </w:p>
              </w:tc>
              <w:tc>
                <w:tcPr>
                  <w:tcW w:w="884" w:type="dxa"/>
                  <w:vAlign w:val="center"/>
                </w:tcPr>
                <w:p w14:paraId="47AACBB7">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w:t>
                  </w:r>
                </w:p>
              </w:tc>
              <w:tc>
                <w:tcPr>
                  <w:tcW w:w="1398" w:type="dxa"/>
                  <w:vMerge w:val="continue"/>
                  <w:vAlign w:val="center"/>
                </w:tcPr>
                <w:p w14:paraId="1EBEA7D2">
                  <w:pPr>
                    <w:wordWrap/>
                    <w:adjustRightInd w:val="0"/>
                    <w:snapToGrid w:val="0"/>
                    <w:spacing w:line="240" w:lineRule="auto"/>
                    <w:jc w:val="center"/>
                    <w:rPr>
                      <w:rFonts w:hint="default" w:ascii="Times New Roman" w:hAnsi="Times New Roman" w:cs="Times New Roman"/>
                      <w:bCs/>
                      <w:color w:val="auto"/>
                      <w:kern w:val="21"/>
                      <w:sz w:val="21"/>
                      <w:szCs w:val="21"/>
                    </w:rPr>
                  </w:pPr>
                </w:p>
              </w:tc>
            </w:tr>
          </w:tbl>
          <w:p w14:paraId="1005FA18">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（5）可行性分析</w:t>
            </w:r>
          </w:p>
          <w:p w14:paraId="63C9FCD8">
            <w:pPr>
              <w:wordWrap/>
              <w:autoSpaceDE w:val="0"/>
              <w:autoSpaceDN w:val="0"/>
              <w:adjustRightInd w:val="0"/>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喷漆工序废气经水帘柜预处理后与烘烤、移印、密炼、硫化等工序废气收集至“水喷淋+干式过滤+二级活性炭吸附”装置处理后引至排气筒DA001排放，注塑、</w:t>
            </w:r>
            <w:r>
              <w:rPr>
                <w:rFonts w:hint="default" w:ascii="Times New Roman" w:hAnsi="Times New Roman" w:cs="Times New Roman"/>
                <w:color w:val="auto"/>
                <w:szCs w:val="22"/>
                <w:lang w:eastAsia="zh-CN"/>
              </w:rPr>
              <w:t>液态成型</w:t>
            </w:r>
            <w:r>
              <w:rPr>
                <w:rFonts w:hint="default" w:ascii="Times New Roman" w:hAnsi="Times New Roman" w:cs="Times New Roman"/>
                <w:color w:val="auto"/>
                <w:szCs w:val="22"/>
              </w:rPr>
              <w:t>工序废气经集气罩收集至“水喷淋+干式过滤+二级活性炭吸附”装置处理后引至排气筒DA002排放。</w:t>
            </w:r>
          </w:p>
          <w:p w14:paraId="657816C0">
            <w:pPr>
              <w:wordWrap/>
              <w:autoSpaceDE w:val="0"/>
              <w:autoSpaceDN w:val="0"/>
              <w:adjustRightInd w:val="0"/>
              <w:ind w:firstLine="480" w:firstLineChars="200"/>
              <w:rPr>
                <w:rFonts w:hint="default" w:ascii="Times New Roman" w:hAnsi="Times New Roman" w:cs="Times New Roman"/>
                <w:color w:val="auto"/>
                <w:szCs w:val="22"/>
              </w:rPr>
            </w:pPr>
            <w:r>
              <w:rPr>
                <w:rFonts w:hint="default" w:ascii="Times New Roman" w:hAnsi="Times New Roman" w:cs="Times New Roman"/>
                <w:color w:val="auto"/>
                <w:sz w:val="24"/>
                <w:szCs w:val="24"/>
                <w:lang w:val="en-US" w:eastAsia="zh-CN" w:bidi="ar-SA"/>
              </w:rPr>
              <w:t>根据项目生产工艺，</w:t>
            </w:r>
            <w:r>
              <w:rPr>
                <w:rFonts w:hint="default" w:ascii="Times New Roman" w:hAnsi="Times New Roman" w:eastAsia="宋体" w:cs="Times New Roman"/>
                <w:color w:val="auto"/>
                <w:sz w:val="24"/>
                <w:szCs w:val="24"/>
                <w:lang w:val="en-US" w:eastAsia="zh-CN" w:bidi="ar-SA"/>
              </w:rPr>
              <w:t>参照《排污许可证申请与核发技术规范 橡胶和塑料制品工业》（HJ1122-2020），</w:t>
            </w:r>
            <w:r>
              <w:rPr>
                <w:rFonts w:hint="default" w:ascii="Times New Roman" w:hAnsi="Times New Roman" w:cs="Times New Roman"/>
                <w:color w:val="auto"/>
                <w:sz w:val="24"/>
                <w:szCs w:val="24"/>
                <w:lang w:val="en-US" w:eastAsia="zh-CN" w:bidi="ar-SA"/>
              </w:rPr>
              <w:t>项目废气处理设施可行性情况见下表</w:t>
            </w:r>
            <w:r>
              <w:rPr>
                <w:rFonts w:hint="default" w:ascii="Times New Roman" w:hAnsi="Times New Roman" w:cs="Times New Roman"/>
                <w:color w:val="auto"/>
                <w:szCs w:val="22"/>
              </w:rPr>
              <w:t>。</w:t>
            </w:r>
          </w:p>
          <w:p w14:paraId="15BDA419">
            <w:pPr>
              <w:spacing w:line="240" w:lineRule="auto"/>
              <w:jc w:val="center"/>
              <w:rPr>
                <w:rFonts w:hint="default" w:ascii="Times New Roman" w:hAnsi="Times New Roman" w:cs="Times New Roman"/>
                <w:b/>
                <w:color w:val="auto"/>
                <w:spacing w:val="-10"/>
                <w:szCs w:val="22"/>
              </w:rPr>
            </w:pPr>
            <w:bookmarkStart w:id="20" w:name="_Toc66187261"/>
            <w:bookmarkStart w:id="21" w:name="_Toc66192285"/>
            <w:r>
              <w:rPr>
                <w:rFonts w:hint="default" w:ascii="Times New Roman" w:hAnsi="Times New Roman" w:cs="Times New Roman"/>
                <w:b/>
                <w:color w:val="auto"/>
                <w:szCs w:val="32"/>
              </w:rPr>
              <w:t>表</w:t>
            </w:r>
            <w:r>
              <w:rPr>
                <w:rFonts w:hint="default" w:ascii="Times New Roman" w:hAnsi="Times New Roman" w:cs="Times New Roman"/>
                <w:b/>
                <w:color w:val="auto"/>
                <w:szCs w:val="32"/>
                <w:lang w:val="en-US" w:eastAsia="zh-CN"/>
              </w:rPr>
              <w:t>4-10</w:t>
            </w:r>
            <w:r>
              <w:rPr>
                <w:rFonts w:hint="default" w:ascii="Times New Roman" w:hAnsi="Times New Roman" w:cs="Times New Roman"/>
                <w:b/>
                <w:color w:val="auto"/>
                <w:szCs w:val="32"/>
              </w:rPr>
              <w:t xml:space="preserve">  项目废气处理设施可行性情况一览表</w:t>
            </w:r>
            <w:bookmarkEnd w:id="20"/>
            <w:bookmarkEnd w:id="21"/>
          </w:p>
          <w:tbl>
            <w:tblPr>
              <w:tblStyle w:val="22"/>
              <w:tblW w:w="8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780"/>
              <w:gridCol w:w="1170"/>
              <w:gridCol w:w="735"/>
              <w:gridCol w:w="1035"/>
              <w:gridCol w:w="675"/>
              <w:gridCol w:w="1793"/>
              <w:gridCol w:w="644"/>
              <w:gridCol w:w="873"/>
            </w:tblGrid>
            <w:tr w14:paraId="61269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467" w:type="pct"/>
                  <w:vMerge w:val="restart"/>
                  <w:vAlign w:val="center"/>
                </w:tcPr>
                <w:p w14:paraId="5317E4D4">
                  <w:pPr>
                    <w:spacing w:line="240" w:lineRule="auto"/>
                    <w:jc w:val="center"/>
                    <w:rPr>
                      <w:rFonts w:hint="default" w:ascii="Times New Roman" w:hAnsi="Times New Roman" w:eastAsia="宋体" w:cs="Times New Roman"/>
                      <w:b/>
                      <w:bCs/>
                      <w:color w:val="auto"/>
                      <w:kern w:val="11"/>
                      <w:sz w:val="21"/>
                      <w:szCs w:val="21"/>
                      <w:lang w:val="en-US" w:eastAsia="zh-CN"/>
                    </w:rPr>
                  </w:pPr>
                  <w:r>
                    <w:rPr>
                      <w:rFonts w:hint="default" w:ascii="Times New Roman" w:hAnsi="Times New Roman" w:cs="Times New Roman"/>
                      <w:b/>
                      <w:bCs/>
                      <w:color w:val="auto"/>
                      <w:kern w:val="11"/>
                      <w:sz w:val="21"/>
                      <w:szCs w:val="21"/>
                      <w:lang w:val="en-US" w:eastAsia="zh-CN"/>
                    </w:rPr>
                    <w:t>排污单位类别</w:t>
                  </w:r>
                </w:p>
              </w:tc>
              <w:tc>
                <w:tcPr>
                  <w:tcW w:w="458" w:type="pct"/>
                  <w:vMerge w:val="restart"/>
                  <w:vAlign w:val="center"/>
                </w:tcPr>
                <w:p w14:paraId="6C83DA70">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主要生产单元</w:t>
                  </w:r>
                </w:p>
              </w:tc>
              <w:tc>
                <w:tcPr>
                  <w:tcW w:w="688" w:type="pct"/>
                  <w:vMerge w:val="restart"/>
                  <w:vAlign w:val="center"/>
                </w:tcPr>
                <w:p w14:paraId="42EF3970">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生产设施</w:t>
                  </w:r>
                </w:p>
              </w:tc>
              <w:tc>
                <w:tcPr>
                  <w:tcW w:w="432" w:type="pct"/>
                  <w:vMerge w:val="restart"/>
                  <w:vAlign w:val="center"/>
                </w:tcPr>
                <w:p w14:paraId="6F4F6936">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废气产污环节</w:t>
                  </w:r>
                </w:p>
              </w:tc>
              <w:tc>
                <w:tcPr>
                  <w:tcW w:w="608" w:type="pct"/>
                  <w:vMerge w:val="restart"/>
                  <w:vAlign w:val="center"/>
                </w:tcPr>
                <w:p w14:paraId="24DECF8E">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污染物种类</w:t>
                  </w:r>
                </w:p>
              </w:tc>
              <w:tc>
                <w:tcPr>
                  <w:tcW w:w="397" w:type="pct"/>
                  <w:vMerge w:val="restart"/>
                  <w:vAlign w:val="center"/>
                </w:tcPr>
                <w:p w14:paraId="242AE002">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排放形式</w:t>
                  </w:r>
                </w:p>
              </w:tc>
              <w:tc>
                <w:tcPr>
                  <w:tcW w:w="1433" w:type="pct"/>
                  <w:gridSpan w:val="2"/>
                  <w:vAlign w:val="center"/>
                </w:tcPr>
                <w:p w14:paraId="6CDBB318">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污染防治设施</w:t>
                  </w:r>
                </w:p>
              </w:tc>
              <w:tc>
                <w:tcPr>
                  <w:tcW w:w="513" w:type="pct"/>
                  <w:vMerge w:val="restart"/>
                  <w:vAlign w:val="center"/>
                </w:tcPr>
                <w:p w14:paraId="0B024DF3">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排放口类型</w:t>
                  </w:r>
                </w:p>
              </w:tc>
            </w:tr>
            <w:tr w14:paraId="384EE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467" w:type="pct"/>
                  <w:vMerge w:val="continue"/>
                  <w:vAlign w:val="center"/>
                </w:tcPr>
                <w:p w14:paraId="4E0AA00F">
                  <w:pPr>
                    <w:spacing w:line="240" w:lineRule="auto"/>
                    <w:jc w:val="center"/>
                    <w:rPr>
                      <w:rFonts w:hint="default" w:ascii="Times New Roman" w:hAnsi="Times New Roman" w:cs="Times New Roman"/>
                      <w:b/>
                      <w:bCs/>
                      <w:color w:val="auto"/>
                      <w:kern w:val="11"/>
                      <w:sz w:val="21"/>
                      <w:szCs w:val="21"/>
                    </w:rPr>
                  </w:pPr>
                </w:p>
              </w:tc>
              <w:tc>
                <w:tcPr>
                  <w:tcW w:w="458" w:type="pct"/>
                  <w:vMerge w:val="continue"/>
                  <w:vAlign w:val="center"/>
                </w:tcPr>
                <w:p w14:paraId="0BADF592">
                  <w:pPr>
                    <w:spacing w:line="240" w:lineRule="auto"/>
                    <w:jc w:val="center"/>
                    <w:rPr>
                      <w:rFonts w:hint="default" w:ascii="Times New Roman" w:hAnsi="Times New Roman" w:cs="Times New Roman"/>
                      <w:b/>
                      <w:bCs/>
                      <w:color w:val="auto"/>
                      <w:kern w:val="11"/>
                      <w:sz w:val="21"/>
                      <w:szCs w:val="21"/>
                    </w:rPr>
                  </w:pPr>
                </w:p>
              </w:tc>
              <w:tc>
                <w:tcPr>
                  <w:tcW w:w="688" w:type="pct"/>
                  <w:vMerge w:val="continue"/>
                  <w:vAlign w:val="center"/>
                </w:tcPr>
                <w:p w14:paraId="0D34E059">
                  <w:pPr>
                    <w:spacing w:line="240" w:lineRule="auto"/>
                    <w:jc w:val="center"/>
                    <w:rPr>
                      <w:rFonts w:hint="default" w:ascii="Times New Roman" w:hAnsi="Times New Roman" w:cs="Times New Roman"/>
                      <w:b/>
                      <w:bCs/>
                      <w:color w:val="auto"/>
                      <w:kern w:val="11"/>
                      <w:sz w:val="21"/>
                      <w:szCs w:val="21"/>
                    </w:rPr>
                  </w:pPr>
                </w:p>
              </w:tc>
              <w:tc>
                <w:tcPr>
                  <w:tcW w:w="432" w:type="pct"/>
                  <w:vMerge w:val="continue"/>
                  <w:vAlign w:val="center"/>
                </w:tcPr>
                <w:p w14:paraId="2782F5A7">
                  <w:pPr>
                    <w:spacing w:line="240" w:lineRule="auto"/>
                    <w:jc w:val="center"/>
                    <w:rPr>
                      <w:rFonts w:hint="default" w:ascii="Times New Roman" w:hAnsi="Times New Roman" w:cs="Times New Roman"/>
                      <w:b/>
                      <w:bCs/>
                      <w:color w:val="auto"/>
                      <w:kern w:val="11"/>
                      <w:sz w:val="21"/>
                      <w:szCs w:val="21"/>
                    </w:rPr>
                  </w:pPr>
                </w:p>
              </w:tc>
              <w:tc>
                <w:tcPr>
                  <w:tcW w:w="608" w:type="pct"/>
                  <w:vMerge w:val="continue"/>
                  <w:vAlign w:val="center"/>
                </w:tcPr>
                <w:p w14:paraId="630DBF3A">
                  <w:pPr>
                    <w:spacing w:line="240" w:lineRule="auto"/>
                    <w:jc w:val="center"/>
                    <w:rPr>
                      <w:rFonts w:hint="default" w:ascii="Times New Roman" w:hAnsi="Times New Roman" w:cs="Times New Roman"/>
                      <w:b/>
                      <w:bCs/>
                      <w:color w:val="auto"/>
                      <w:kern w:val="11"/>
                      <w:sz w:val="21"/>
                      <w:szCs w:val="21"/>
                    </w:rPr>
                  </w:pPr>
                </w:p>
              </w:tc>
              <w:tc>
                <w:tcPr>
                  <w:tcW w:w="397" w:type="pct"/>
                  <w:vMerge w:val="continue"/>
                  <w:vAlign w:val="center"/>
                </w:tcPr>
                <w:p w14:paraId="27C8194D">
                  <w:pPr>
                    <w:spacing w:line="240" w:lineRule="auto"/>
                    <w:jc w:val="center"/>
                    <w:rPr>
                      <w:rFonts w:hint="default" w:ascii="Times New Roman" w:hAnsi="Times New Roman" w:cs="Times New Roman"/>
                      <w:b/>
                      <w:bCs/>
                      <w:color w:val="auto"/>
                      <w:kern w:val="11"/>
                      <w:sz w:val="21"/>
                      <w:szCs w:val="21"/>
                    </w:rPr>
                  </w:pPr>
                </w:p>
              </w:tc>
              <w:tc>
                <w:tcPr>
                  <w:tcW w:w="1054" w:type="pct"/>
                  <w:vAlign w:val="center"/>
                </w:tcPr>
                <w:p w14:paraId="0F55544A">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污染防治设施名称及工艺</w:t>
                  </w:r>
                </w:p>
              </w:tc>
              <w:tc>
                <w:tcPr>
                  <w:tcW w:w="378" w:type="pct"/>
                  <w:vAlign w:val="center"/>
                </w:tcPr>
                <w:p w14:paraId="5C059525">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是否为可行性技术</w:t>
                  </w:r>
                </w:p>
              </w:tc>
              <w:tc>
                <w:tcPr>
                  <w:tcW w:w="513" w:type="pct"/>
                  <w:vMerge w:val="continue"/>
                  <w:vAlign w:val="center"/>
                </w:tcPr>
                <w:p w14:paraId="5A0FFCB2">
                  <w:pPr>
                    <w:spacing w:line="240" w:lineRule="auto"/>
                    <w:jc w:val="center"/>
                    <w:rPr>
                      <w:rFonts w:hint="default" w:ascii="Times New Roman" w:hAnsi="Times New Roman" w:cs="Times New Roman"/>
                      <w:b/>
                      <w:bCs/>
                      <w:color w:val="auto"/>
                      <w:kern w:val="11"/>
                      <w:sz w:val="21"/>
                      <w:szCs w:val="21"/>
                    </w:rPr>
                  </w:pPr>
                </w:p>
              </w:tc>
            </w:tr>
            <w:tr w14:paraId="6F80E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467" w:type="pct"/>
                  <w:vMerge w:val="restart"/>
                  <w:vAlign w:val="center"/>
                </w:tcPr>
                <w:p w14:paraId="24E49E5A">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其他橡胶制品制造</w:t>
                  </w:r>
                </w:p>
              </w:tc>
              <w:tc>
                <w:tcPr>
                  <w:tcW w:w="458" w:type="pct"/>
                  <w:vAlign w:val="center"/>
                </w:tcPr>
                <w:p w14:paraId="2A668685">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密炼</w:t>
                  </w:r>
                </w:p>
              </w:tc>
              <w:tc>
                <w:tcPr>
                  <w:tcW w:w="688" w:type="pct"/>
                  <w:vAlign w:val="center"/>
                </w:tcPr>
                <w:p w14:paraId="7041DD0A">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密炼机</w:t>
                  </w:r>
                </w:p>
              </w:tc>
              <w:tc>
                <w:tcPr>
                  <w:tcW w:w="432" w:type="pct"/>
                  <w:vAlign w:val="center"/>
                </w:tcPr>
                <w:p w14:paraId="0793292A">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密炼废气</w:t>
                  </w:r>
                </w:p>
              </w:tc>
              <w:tc>
                <w:tcPr>
                  <w:tcW w:w="608" w:type="pct"/>
                  <w:vAlign w:val="center"/>
                </w:tcPr>
                <w:p w14:paraId="7D6B7D29">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非甲烷总烃、臭气浓度</w:t>
                  </w:r>
                </w:p>
              </w:tc>
              <w:tc>
                <w:tcPr>
                  <w:tcW w:w="397" w:type="pct"/>
                  <w:vAlign w:val="center"/>
                </w:tcPr>
                <w:p w14:paraId="0DC007DC">
                  <w:pPr>
                    <w:spacing w:line="240" w:lineRule="auto"/>
                    <w:jc w:val="center"/>
                    <w:rPr>
                      <w:rFonts w:hint="default" w:ascii="Times New Roman" w:hAnsi="Times New Roman" w:eastAsia="宋体"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有组织</w:t>
                  </w:r>
                </w:p>
              </w:tc>
              <w:tc>
                <w:tcPr>
                  <w:tcW w:w="1054" w:type="pct"/>
                  <w:vAlign w:val="center"/>
                </w:tcPr>
                <w:p w14:paraId="2FBA555A">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除尘、喷淋、吸附、热力燃烧、催化燃烧、低温等离子体、UV 光氧化/光催化、生物法、以上组合技术</w:t>
                  </w:r>
                </w:p>
              </w:tc>
              <w:tc>
                <w:tcPr>
                  <w:tcW w:w="378" w:type="pct"/>
                  <w:vAlign w:val="center"/>
                </w:tcPr>
                <w:p w14:paraId="7730DA00">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sym w:font="Wingdings 2" w:char="0052"/>
                  </w:r>
                  <w:r>
                    <w:rPr>
                      <w:rFonts w:hint="default" w:ascii="Times New Roman" w:hAnsi="Times New Roman" w:cs="Times New Roman"/>
                      <w:color w:val="auto"/>
                      <w:kern w:val="11"/>
                      <w:sz w:val="21"/>
                      <w:szCs w:val="21"/>
                    </w:rPr>
                    <w:t>是</w:t>
                  </w:r>
                </w:p>
                <w:p w14:paraId="3E310308">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sym w:font="Wingdings 2" w:char="00A3"/>
                  </w:r>
                  <w:r>
                    <w:rPr>
                      <w:rFonts w:hint="default" w:ascii="Times New Roman" w:hAnsi="Times New Roman" w:cs="Times New Roman"/>
                      <w:color w:val="auto"/>
                      <w:kern w:val="11"/>
                      <w:sz w:val="21"/>
                      <w:szCs w:val="21"/>
                    </w:rPr>
                    <w:t>否</w:t>
                  </w:r>
                </w:p>
              </w:tc>
              <w:tc>
                <w:tcPr>
                  <w:tcW w:w="513" w:type="pct"/>
                  <w:vAlign w:val="center"/>
                </w:tcPr>
                <w:p w14:paraId="56370BF7">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w:t>
                  </w:r>
                </w:p>
              </w:tc>
            </w:tr>
            <w:tr w14:paraId="336C3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467" w:type="pct"/>
                  <w:vMerge w:val="continue"/>
                  <w:vAlign w:val="center"/>
                </w:tcPr>
                <w:p w14:paraId="10954DFC">
                  <w:pPr>
                    <w:spacing w:line="240" w:lineRule="auto"/>
                    <w:jc w:val="center"/>
                    <w:rPr>
                      <w:rFonts w:hint="default" w:ascii="Times New Roman" w:hAnsi="Times New Roman" w:cs="Times New Roman"/>
                      <w:color w:val="auto"/>
                      <w:kern w:val="11"/>
                      <w:sz w:val="21"/>
                      <w:szCs w:val="21"/>
                      <w:lang w:val="en-US" w:eastAsia="zh-CN"/>
                    </w:rPr>
                  </w:pPr>
                </w:p>
              </w:tc>
              <w:tc>
                <w:tcPr>
                  <w:tcW w:w="458" w:type="pct"/>
                  <w:vAlign w:val="center"/>
                </w:tcPr>
                <w:p w14:paraId="72E816FA">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硫化</w:t>
                  </w:r>
                </w:p>
              </w:tc>
              <w:tc>
                <w:tcPr>
                  <w:tcW w:w="688" w:type="pct"/>
                  <w:vAlign w:val="center"/>
                </w:tcPr>
                <w:p w14:paraId="4EF164D7">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硫化机</w:t>
                  </w:r>
                </w:p>
              </w:tc>
              <w:tc>
                <w:tcPr>
                  <w:tcW w:w="432" w:type="pct"/>
                  <w:vAlign w:val="center"/>
                </w:tcPr>
                <w:p w14:paraId="2A7D83C0">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硫化废气</w:t>
                  </w:r>
                </w:p>
              </w:tc>
              <w:tc>
                <w:tcPr>
                  <w:tcW w:w="608" w:type="pct"/>
                  <w:vAlign w:val="center"/>
                </w:tcPr>
                <w:p w14:paraId="2E7E030E">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非甲烷总烃、臭气浓度</w:t>
                  </w:r>
                </w:p>
              </w:tc>
              <w:tc>
                <w:tcPr>
                  <w:tcW w:w="397" w:type="pct"/>
                  <w:vAlign w:val="center"/>
                </w:tcPr>
                <w:p w14:paraId="7D4D2039">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有组织</w:t>
                  </w:r>
                </w:p>
              </w:tc>
              <w:tc>
                <w:tcPr>
                  <w:tcW w:w="1054" w:type="pct"/>
                  <w:vAlign w:val="center"/>
                </w:tcPr>
                <w:p w14:paraId="16C19F1B">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喷淋、吸附、热力燃烧、催化燃烧、低温等离子体、UV 光氧化/光催化、生物法、以上组合技术</w:t>
                  </w:r>
                </w:p>
              </w:tc>
              <w:tc>
                <w:tcPr>
                  <w:tcW w:w="644" w:type="dxa"/>
                  <w:vAlign w:val="center"/>
                </w:tcPr>
                <w:p w14:paraId="6644A098">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sym w:font="Wingdings 2" w:char="0052"/>
                  </w:r>
                  <w:r>
                    <w:rPr>
                      <w:rFonts w:hint="default" w:ascii="Times New Roman" w:hAnsi="Times New Roman" w:cs="Times New Roman"/>
                      <w:color w:val="auto"/>
                      <w:kern w:val="11"/>
                      <w:sz w:val="21"/>
                      <w:szCs w:val="21"/>
                    </w:rPr>
                    <w:t>是</w:t>
                  </w:r>
                </w:p>
                <w:p w14:paraId="6B74A804">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sym w:font="Wingdings 2" w:char="00A3"/>
                  </w:r>
                  <w:r>
                    <w:rPr>
                      <w:rFonts w:hint="default" w:ascii="Times New Roman" w:hAnsi="Times New Roman" w:cs="Times New Roman"/>
                      <w:color w:val="auto"/>
                      <w:kern w:val="11"/>
                      <w:sz w:val="21"/>
                      <w:szCs w:val="21"/>
                    </w:rPr>
                    <w:t>否</w:t>
                  </w:r>
                </w:p>
              </w:tc>
              <w:tc>
                <w:tcPr>
                  <w:tcW w:w="873" w:type="dxa"/>
                  <w:vAlign w:val="center"/>
                </w:tcPr>
                <w:p w14:paraId="7004FF1B">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w:t>
                  </w:r>
                </w:p>
              </w:tc>
            </w:tr>
            <w:tr w14:paraId="64AA1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467" w:type="pct"/>
                  <w:vAlign w:val="center"/>
                </w:tcPr>
                <w:p w14:paraId="33A2A8C9">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生产公用单元</w:t>
                  </w:r>
                </w:p>
              </w:tc>
              <w:tc>
                <w:tcPr>
                  <w:tcW w:w="458" w:type="pct"/>
                  <w:vAlign w:val="center"/>
                </w:tcPr>
                <w:p w14:paraId="0EBC3298">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喷涂</w:t>
                  </w:r>
                </w:p>
              </w:tc>
              <w:tc>
                <w:tcPr>
                  <w:tcW w:w="688" w:type="pct"/>
                  <w:vAlign w:val="center"/>
                </w:tcPr>
                <w:p w14:paraId="02EA4EF7">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密炼/·喷粉室（段）、</w:t>
                  </w:r>
                </w:p>
                <w:p w14:paraId="1A9F93F1">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流平段、烘干室（段）</w:t>
                  </w:r>
                </w:p>
              </w:tc>
              <w:tc>
                <w:tcPr>
                  <w:tcW w:w="432" w:type="pct"/>
                  <w:vAlign w:val="center"/>
                </w:tcPr>
                <w:p w14:paraId="7EA60706">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挥发废气</w:t>
                  </w:r>
                </w:p>
              </w:tc>
              <w:tc>
                <w:tcPr>
                  <w:tcW w:w="608" w:type="pct"/>
                  <w:vAlign w:val="center"/>
                </w:tcPr>
                <w:p w14:paraId="7242FAA0">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非甲烷总烃</w:t>
                  </w:r>
                </w:p>
              </w:tc>
              <w:tc>
                <w:tcPr>
                  <w:tcW w:w="397" w:type="pct"/>
                  <w:vAlign w:val="center"/>
                </w:tcPr>
                <w:p w14:paraId="0B75CDFE">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有组织</w:t>
                  </w:r>
                </w:p>
              </w:tc>
              <w:tc>
                <w:tcPr>
                  <w:tcW w:w="1054" w:type="pct"/>
                  <w:vAlign w:val="center"/>
                </w:tcPr>
                <w:p w14:paraId="49C93DEE">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除尘、喷淋、吸附、热力燃烧、催化燃烧、低温等离子体、UV光氧化/光催化、生物法、以上组合技术</w:t>
                  </w:r>
                </w:p>
              </w:tc>
              <w:tc>
                <w:tcPr>
                  <w:tcW w:w="378" w:type="pct"/>
                  <w:vAlign w:val="center"/>
                </w:tcPr>
                <w:p w14:paraId="2D50810A">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sym w:font="Wingdings 2" w:char="0052"/>
                  </w:r>
                  <w:r>
                    <w:rPr>
                      <w:rFonts w:hint="default" w:ascii="Times New Roman" w:hAnsi="Times New Roman" w:cs="Times New Roman"/>
                      <w:color w:val="auto"/>
                      <w:kern w:val="11"/>
                      <w:sz w:val="21"/>
                      <w:szCs w:val="21"/>
                    </w:rPr>
                    <w:t>是</w:t>
                  </w:r>
                </w:p>
                <w:p w14:paraId="66C95882">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sym w:font="Wingdings 2" w:char="00A3"/>
                  </w:r>
                  <w:r>
                    <w:rPr>
                      <w:rFonts w:hint="default" w:ascii="Times New Roman" w:hAnsi="Times New Roman" w:cs="Times New Roman"/>
                      <w:color w:val="auto"/>
                      <w:kern w:val="11"/>
                      <w:sz w:val="21"/>
                      <w:szCs w:val="21"/>
                    </w:rPr>
                    <w:t>否</w:t>
                  </w:r>
                </w:p>
              </w:tc>
              <w:tc>
                <w:tcPr>
                  <w:tcW w:w="513" w:type="pct"/>
                  <w:vAlign w:val="center"/>
                </w:tcPr>
                <w:p w14:paraId="3A7A091A">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w:t>
                  </w:r>
                </w:p>
              </w:tc>
            </w:tr>
            <w:tr w14:paraId="4B07E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794" w:type="dxa"/>
                  <w:vAlign w:val="center"/>
                </w:tcPr>
                <w:p w14:paraId="4F8092EF">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塑料零件及其他塑料制品</w:t>
                  </w:r>
                </w:p>
              </w:tc>
              <w:tc>
                <w:tcPr>
                  <w:tcW w:w="780" w:type="dxa"/>
                  <w:vAlign w:val="center"/>
                </w:tcPr>
                <w:p w14:paraId="67D77916">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注塑成型</w:t>
                  </w:r>
                </w:p>
              </w:tc>
              <w:tc>
                <w:tcPr>
                  <w:tcW w:w="1170" w:type="dxa"/>
                  <w:vAlign w:val="center"/>
                </w:tcPr>
                <w:p w14:paraId="55F72189">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注塑机</w:t>
                  </w:r>
                </w:p>
              </w:tc>
              <w:tc>
                <w:tcPr>
                  <w:tcW w:w="735" w:type="dxa"/>
                  <w:vAlign w:val="center"/>
                </w:tcPr>
                <w:p w14:paraId="020D421B">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挥发废气</w:t>
                  </w:r>
                </w:p>
              </w:tc>
              <w:tc>
                <w:tcPr>
                  <w:tcW w:w="1035" w:type="dxa"/>
                  <w:vAlign w:val="center"/>
                </w:tcPr>
                <w:p w14:paraId="24870789">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非甲烷总烃、臭气浓度</w:t>
                  </w:r>
                </w:p>
              </w:tc>
              <w:tc>
                <w:tcPr>
                  <w:tcW w:w="675" w:type="dxa"/>
                  <w:vAlign w:val="center"/>
                </w:tcPr>
                <w:p w14:paraId="66D15A06">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有组织</w:t>
                  </w:r>
                </w:p>
              </w:tc>
              <w:tc>
                <w:tcPr>
                  <w:tcW w:w="1793" w:type="dxa"/>
                  <w:vAlign w:val="center"/>
                </w:tcPr>
                <w:p w14:paraId="7284D865">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喷淋；</w:t>
                  </w:r>
                  <w:r>
                    <w:rPr>
                      <w:rFonts w:hint="default" w:ascii="Times New Roman" w:hAnsi="Times New Roman" w:cs="Times New Roman"/>
                      <w:b w:val="0"/>
                      <w:bCs w:val="0"/>
                      <w:color w:val="auto"/>
                      <w:kern w:val="11"/>
                      <w:sz w:val="21"/>
                      <w:szCs w:val="21"/>
                    </w:rPr>
                    <w:t>吸附</w:t>
                  </w:r>
                  <w:r>
                    <w:rPr>
                      <w:rFonts w:hint="default" w:ascii="Times New Roman" w:hAnsi="Times New Roman" w:cs="Times New Roman"/>
                      <w:color w:val="auto"/>
                      <w:kern w:val="11"/>
                      <w:sz w:val="21"/>
                      <w:szCs w:val="21"/>
                    </w:rPr>
                    <w:t>；吸附浓缩+热力燃烧/催化燃烧</w:t>
                  </w:r>
                </w:p>
              </w:tc>
              <w:tc>
                <w:tcPr>
                  <w:tcW w:w="644" w:type="dxa"/>
                  <w:vAlign w:val="center"/>
                </w:tcPr>
                <w:p w14:paraId="4CF3EB67">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sym w:font="Wingdings 2" w:char="0052"/>
                  </w:r>
                  <w:r>
                    <w:rPr>
                      <w:rFonts w:hint="default" w:ascii="Times New Roman" w:hAnsi="Times New Roman" w:cs="Times New Roman"/>
                      <w:color w:val="auto"/>
                      <w:kern w:val="11"/>
                      <w:sz w:val="21"/>
                      <w:szCs w:val="21"/>
                    </w:rPr>
                    <w:t>是</w:t>
                  </w:r>
                </w:p>
                <w:p w14:paraId="66C6DB74">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sym w:font="Wingdings 2" w:char="00A3"/>
                  </w:r>
                  <w:r>
                    <w:rPr>
                      <w:rFonts w:hint="default" w:ascii="Times New Roman" w:hAnsi="Times New Roman" w:cs="Times New Roman"/>
                      <w:color w:val="auto"/>
                      <w:kern w:val="11"/>
                      <w:sz w:val="21"/>
                      <w:szCs w:val="21"/>
                    </w:rPr>
                    <w:t>否</w:t>
                  </w:r>
                </w:p>
              </w:tc>
              <w:tc>
                <w:tcPr>
                  <w:tcW w:w="873" w:type="dxa"/>
                  <w:vAlign w:val="center"/>
                </w:tcPr>
                <w:p w14:paraId="4C97F43E">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一般排放口</w:t>
                  </w:r>
                </w:p>
              </w:tc>
            </w:tr>
          </w:tbl>
          <w:p w14:paraId="533EDB18">
            <w:pPr>
              <w:bidi w:val="0"/>
              <w:ind w:firstLine="482" w:firstLineChars="200"/>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①活性炭吸附装置</w:t>
            </w:r>
          </w:p>
          <w:p w14:paraId="44D10F85">
            <w:pPr>
              <w:wordWrap/>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t>表</w:t>
            </w:r>
            <w:r>
              <w:rPr>
                <w:rFonts w:hint="default" w:ascii="Times New Roman" w:hAnsi="Times New Roman" w:cs="Times New Roman"/>
                <w:b/>
                <w:bCs/>
                <w:color w:val="auto"/>
                <w:lang w:val="en-US" w:eastAsia="zh-CN"/>
              </w:rPr>
              <w:t>4-11</w:t>
            </w:r>
            <w:r>
              <w:rPr>
                <w:rFonts w:hint="default" w:ascii="Times New Roman" w:hAnsi="Times New Roman" w:cs="Times New Roman"/>
                <w:b/>
                <w:bCs/>
                <w:color w:val="auto"/>
              </w:rPr>
              <w:t xml:space="preserve"> 项目</w:t>
            </w:r>
            <w:bookmarkStart w:id="22" w:name="活性炭吸附装置主要参数"/>
            <w:r>
              <w:rPr>
                <w:rFonts w:hint="default" w:ascii="Times New Roman" w:hAnsi="Times New Roman" w:cs="Times New Roman"/>
                <w:b/>
                <w:bCs/>
                <w:color w:val="auto"/>
              </w:rPr>
              <w:t>活性炭吸附装置主要参数</w:t>
            </w:r>
            <w:bookmarkEnd w:id="22"/>
            <w:r>
              <w:rPr>
                <w:rFonts w:hint="default" w:ascii="Times New Roman" w:hAnsi="Times New Roman" w:cs="Times New Roman"/>
                <w:b/>
                <w:bCs/>
                <w:color w:val="auto"/>
              </w:rPr>
              <w:t>一览表</w:t>
            </w:r>
          </w:p>
          <w:tbl>
            <w:tblPr>
              <w:tblStyle w:val="22"/>
              <w:tblW w:w="8538" w:type="dxa"/>
              <w:jc w:val="center"/>
              <w:tblLayout w:type="fixed"/>
              <w:tblCellMar>
                <w:top w:w="0" w:type="dxa"/>
                <w:left w:w="108" w:type="dxa"/>
                <w:bottom w:w="0" w:type="dxa"/>
                <w:right w:w="108" w:type="dxa"/>
              </w:tblCellMar>
            </w:tblPr>
            <w:tblGrid>
              <w:gridCol w:w="1757"/>
              <w:gridCol w:w="1746"/>
              <w:gridCol w:w="1727"/>
              <w:gridCol w:w="1609"/>
              <w:gridCol w:w="1699"/>
            </w:tblGrid>
            <w:tr w14:paraId="032D2C7F">
              <w:tblPrEx>
                <w:tblCellMar>
                  <w:top w:w="0" w:type="dxa"/>
                  <w:left w:w="108" w:type="dxa"/>
                  <w:bottom w:w="0" w:type="dxa"/>
                  <w:right w:w="108" w:type="dxa"/>
                </w:tblCellMar>
              </w:tblPrEx>
              <w:trPr>
                <w:trHeight w:val="24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26C41539">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对应排气筒编号</w:t>
                  </w:r>
                </w:p>
              </w:tc>
              <w:tc>
                <w:tcPr>
                  <w:tcW w:w="3473" w:type="dxa"/>
                  <w:gridSpan w:val="2"/>
                  <w:tcBorders>
                    <w:top w:val="single" w:color="000000" w:sz="4" w:space="0"/>
                    <w:left w:val="single" w:color="000000" w:sz="4" w:space="0"/>
                    <w:bottom w:val="single" w:color="000000" w:sz="4" w:space="0"/>
                    <w:right w:val="single" w:color="000000" w:sz="4" w:space="0"/>
                  </w:tcBorders>
                  <w:noWrap w:val="0"/>
                  <w:vAlign w:val="center"/>
                </w:tcPr>
                <w:p w14:paraId="45EFB9BF">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DA001</w:t>
                  </w:r>
                </w:p>
              </w:tc>
              <w:tc>
                <w:tcPr>
                  <w:tcW w:w="3308" w:type="dxa"/>
                  <w:gridSpan w:val="2"/>
                  <w:tcBorders>
                    <w:top w:val="single" w:color="000000" w:sz="4" w:space="0"/>
                    <w:left w:val="single" w:color="000000" w:sz="4" w:space="0"/>
                    <w:bottom w:val="single" w:color="000000" w:sz="4" w:space="0"/>
                    <w:right w:val="single" w:color="000000" w:sz="4" w:space="0"/>
                  </w:tcBorders>
                  <w:noWrap w:val="0"/>
                  <w:vAlign w:val="center"/>
                </w:tcPr>
                <w:p w14:paraId="16887054">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DA002</w:t>
                  </w:r>
                </w:p>
              </w:tc>
            </w:tr>
            <w:tr w14:paraId="7BAA5861">
              <w:tblPrEx>
                <w:tblCellMar>
                  <w:top w:w="0" w:type="dxa"/>
                  <w:left w:w="108" w:type="dxa"/>
                  <w:bottom w:w="0" w:type="dxa"/>
                  <w:right w:w="108" w:type="dxa"/>
                </w:tblCellMar>
              </w:tblPrEx>
              <w:trPr>
                <w:trHeight w:val="24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15EBC692">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系统处理风量Q</w:t>
                  </w:r>
                </w:p>
              </w:tc>
              <w:tc>
                <w:tcPr>
                  <w:tcW w:w="3473" w:type="dxa"/>
                  <w:gridSpan w:val="2"/>
                  <w:tcBorders>
                    <w:top w:val="single" w:color="000000" w:sz="4" w:space="0"/>
                    <w:left w:val="single" w:color="000000" w:sz="4" w:space="0"/>
                    <w:bottom w:val="single" w:color="000000" w:sz="4" w:space="0"/>
                    <w:right w:val="single" w:color="000000" w:sz="4" w:space="0"/>
                  </w:tcBorders>
                  <w:noWrap w:val="0"/>
                  <w:vAlign w:val="center"/>
                </w:tcPr>
                <w:p w14:paraId="254C7168">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lang w:val="en-US" w:eastAsia="zh-CN" w:bidi="ar"/>
                    </w:rPr>
                    <w:t>16500</w:t>
                  </w:r>
                  <w:r>
                    <w:rPr>
                      <w:rFonts w:hint="default" w:ascii="Times New Roman" w:hAnsi="Times New Roman" w:eastAsia="宋体" w:cs="Times New Roman"/>
                      <w:color w:val="auto"/>
                      <w:kern w:val="0"/>
                      <w:sz w:val="21"/>
                      <w:szCs w:val="21"/>
                      <w:lang w:bidi="ar"/>
                    </w:rPr>
                    <w:t>m</w:t>
                  </w:r>
                  <w:r>
                    <w:rPr>
                      <w:rFonts w:hint="default" w:ascii="Times New Roman" w:hAnsi="Times New Roman" w:eastAsia="宋体" w:cs="Times New Roman"/>
                      <w:color w:val="auto"/>
                      <w:kern w:val="0"/>
                      <w:sz w:val="21"/>
                      <w:szCs w:val="21"/>
                      <w:vertAlign w:val="superscript"/>
                      <w:lang w:bidi="ar"/>
                    </w:rPr>
                    <w:t>3</w:t>
                  </w:r>
                  <w:r>
                    <w:rPr>
                      <w:rFonts w:hint="default" w:ascii="Times New Roman" w:hAnsi="Times New Roman" w:eastAsia="宋体" w:cs="Times New Roman"/>
                      <w:color w:val="auto"/>
                      <w:kern w:val="0"/>
                      <w:sz w:val="21"/>
                      <w:szCs w:val="21"/>
                      <w:lang w:bidi="ar"/>
                    </w:rPr>
                    <w:t>/h</w:t>
                  </w:r>
                </w:p>
              </w:tc>
              <w:tc>
                <w:tcPr>
                  <w:tcW w:w="3308" w:type="dxa"/>
                  <w:gridSpan w:val="2"/>
                  <w:tcBorders>
                    <w:top w:val="single" w:color="000000" w:sz="4" w:space="0"/>
                    <w:left w:val="single" w:color="000000" w:sz="4" w:space="0"/>
                    <w:bottom w:val="single" w:color="000000" w:sz="4" w:space="0"/>
                    <w:right w:val="single" w:color="000000" w:sz="4" w:space="0"/>
                  </w:tcBorders>
                  <w:noWrap w:val="0"/>
                  <w:vAlign w:val="center"/>
                </w:tcPr>
                <w:p w14:paraId="78F5FB30">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32400</w:t>
                  </w:r>
                  <w:r>
                    <w:rPr>
                      <w:rFonts w:hint="default" w:ascii="Times New Roman" w:hAnsi="Times New Roman" w:eastAsia="宋体" w:cs="Times New Roman"/>
                      <w:color w:val="auto"/>
                      <w:kern w:val="0"/>
                      <w:sz w:val="21"/>
                      <w:szCs w:val="21"/>
                      <w:lang w:bidi="ar"/>
                    </w:rPr>
                    <w:t>m</w:t>
                  </w:r>
                  <w:r>
                    <w:rPr>
                      <w:rFonts w:hint="default" w:ascii="Times New Roman" w:hAnsi="Times New Roman" w:eastAsia="宋体" w:cs="Times New Roman"/>
                      <w:color w:val="auto"/>
                      <w:kern w:val="0"/>
                      <w:sz w:val="21"/>
                      <w:szCs w:val="21"/>
                      <w:vertAlign w:val="superscript"/>
                      <w:lang w:bidi="ar"/>
                    </w:rPr>
                    <w:t>3</w:t>
                  </w:r>
                  <w:r>
                    <w:rPr>
                      <w:rFonts w:hint="default" w:ascii="Times New Roman" w:hAnsi="Times New Roman" w:eastAsia="宋体" w:cs="Times New Roman"/>
                      <w:color w:val="auto"/>
                      <w:kern w:val="0"/>
                      <w:sz w:val="21"/>
                      <w:szCs w:val="21"/>
                      <w:lang w:bidi="ar"/>
                    </w:rPr>
                    <w:t>/h</w:t>
                  </w:r>
                </w:p>
              </w:tc>
            </w:tr>
            <w:tr w14:paraId="26CBD8BE">
              <w:tblPrEx>
                <w:tblCellMar>
                  <w:top w:w="0" w:type="dxa"/>
                  <w:left w:w="108" w:type="dxa"/>
                  <w:bottom w:w="0" w:type="dxa"/>
                  <w:right w:w="108" w:type="dxa"/>
                </w:tblCellMar>
              </w:tblPrEx>
              <w:trPr>
                <w:trHeight w:val="24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2E23FB02">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数量</w:t>
                  </w:r>
                </w:p>
              </w:tc>
              <w:tc>
                <w:tcPr>
                  <w:tcW w:w="3473" w:type="dxa"/>
                  <w:gridSpan w:val="2"/>
                  <w:tcBorders>
                    <w:top w:val="single" w:color="000000" w:sz="4" w:space="0"/>
                    <w:left w:val="single" w:color="000000" w:sz="4" w:space="0"/>
                    <w:bottom w:val="single" w:color="000000" w:sz="4" w:space="0"/>
                    <w:right w:val="single" w:color="000000" w:sz="4" w:space="0"/>
                  </w:tcBorders>
                  <w:noWrap w:val="0"/>
                  <w:vAlign w:val="center"/>
                </w:tcPr>
                <w:p w14:paraId="0CA26C02">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bidi="ar"/>
                    </w:rPr>
                    <w:t>1套</w:t>
                  </w:r>
                </w:p>
              </w:tc>
              <w:tc>
                <w:tcPr>
                  <w:tcW w:w="3308" w:type="dxa"/>
                  <w:gridSpan w:val="2"/>
                  <w:tcBorders>
                    <w:top w:val="single" w:color="000000" w:sz="4" w:space="0"/>
                    <w:left w:val="single" w:color="000000" w:sz="4" w:space="0"/>
                    <w:bottom w:val="single" w:color="000000" w:sz="4" w:space="0"/>
                    <w:right w:val="single" w:color="000000" w:sz="4" w:space="0"/>
                  </w:tcBorders>
                  <w:noWrap w:val="0"/>
                  <w:vAlign w:val="center"/>
                </w:tcPr>
                <w:p w14:paraId="5A3C3728">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1套</w:t>
                  </w:r>
                </w:p>
              </w:tc>
            </w:tr>
            <w:tr w14:paraId="0A015750">
              <w:tblPrEx>
                <w:tblCellMar>
                  <w:top w:w="0" w:type="dxa"/>
                  <w:left w:w="108" w:type="dxa"/>
                  <w:bottom w:w="0" w:type="dxa"/>
                  <w:right w:w="108" w:type="dxa"/>
                </w:tblCellMar>
              </w:tblPrEx>
              <w:trPr>
                <w:trHeight w:val="475"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27A6DAC4">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塔体尺寸</w:t>
                  </w:r>
                  <w:r>
                    <w:rPr>
                      <w:rFonts w:hint="default" w:ascii="Times New Roman" w:hAnsi="Times New Roman" w:eastAsia="宋体" w:cs="Times New Roman"/>
                      <w:b/>
                      <w:bCs/>
                      <w:color w:val="auto"/>
                      <w:sz w:val="21"/>
                      <w:szCs w:val="21"/>
                    </w:rPr>
                    <w:t>（长L×宽B×高H）</w:t>
                  </w:r>
                </w:p>
              </w:tc>
              <w:tc>
                <w:tcPr>
                  <w:tcW w:w="1746" w:type="dxa"/>
                  <w:tcBorders>
                    <w:top w:val="single" w:color="000000" w:sz="4" w:space="0"/>
                    <w:left w:val="single" w:color="000000" w:sz="4" w:space="0"/>
                    <w:bottom w:val="single" w:color="000000" w:sz="4" w:space="0"/>
                    <w:right w:val="single" w:color="000000" w:sz="4" w:space="0"/>
                  </w:tcBorders>
                  <w:noWrap w:val="0"/>
                  <w:vAlign w:val="center"/>
                </w:tcPr>
                <w:p w14:paraId="565111DB">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lang w:val="en-US" w:eastAsia="zh-CN" w:bidi="ar"/>
                    </w:rPr>
                    <w:t>1.8</w:t>
                  </w:r>
                  <w:r>
                    <w:rPr>
                      <w:rFonts w:hint="default" w:ascii="Times New Roman" w:hAnsi="Times New Roman" w:eastAsia="宋体" w:cs="Times New Roman"/>
                      <w:color w:val="auto"/>
                      <w:kern w:val="0"/>
                      <w:sz w:val="21"/>
                      <w:szCs w:val="21"/>
                      <w:lang w:bidi="ar"/>
                    </w:rPr>
                    <w:t>m×</w:t>
                  </w:r>
                  <w:r>
                    <w:rPr>
                      <w:rFonts w:hint="default" w:ascii="Times New Roman" w:hAnsi="Times New Roman" w:cs="Times New Roman"/>
                      <w:color w:val="auto"/>
                      <w:kern w:val="0"/>
                      <w:sz w:val="21"/>
                      <w:szCs w:val="21"/>
                      <w:lang w:val="en-US" w:eastAsia="zh-CN" w:bidi="ar"/>
                    </w:rPr>
                    <w:t>1.8</w:t>
                  </w:r>
                  <w:r>
                    <w:rPr>
                      <w:rFonts w:hint="default" w:ascii="Times New Roman" w:hAnsi="Times New Roman" w:eastAsia="宋体" w:cs="Times New Roman"/>
                      <w:color w:val="auto"/>
                      <w:kern w:val="0"/>
                      <w:sz w:val="21"/>
                      <w:szCs w:val="21"/>
                      <w:lang w:bidi="ar"/>
                    </w:rPr>
                    <w:t>m×</w:t>
                  </w:r>
                  <w:r>
                    <w:rPr>
                      <w:rFonts w:hint="default" w:ascii="Times New Roman" w:hAnsi="Times New Roman" w:cs="Times New Roman"/>
                      <w:color w:val="auto"/>
                      <w:kern w:val="0"/>
                      <w:sz w:val="21"/>
                      <w:szCs w:val="21"/>
                      <w:lang w:val="en-US" w:eastAsia="zh-CN" w:bidi="ar"/>
                    </w:rPr>
                    <w:t>0.8</w:t>
                  </w:r>
                  <w:r>
                    <w:rPr>
                      <w:rFonts w:hint="default" w:ascii="Times New Roman" w:hAnsi="Times New Roman" w:eastAsia="宋体" w:cs="Times New Roman"/>
                      <w:color w:val="auto"/>
                      <w:kern w:val="0"/>
                      <w:sz w:val="21"/>
                      <w:szCs w:val="21"/>
                      <w:lang w:bidi="ar"/>
                    </w:rPr>
                    <w:t>m</w:t>
                  </w:r>
                </w:p>
              </w:tc>
              <w:tc>
                <w:tcPr>
                  <w:tcW w:w="1727" w:type="dxa"/>
                  <w:tcBorders>
                    <w:top w:val="single" w:color="000000" w:sz="4" w:space="0"/>
                    <w:left w:val="single" w:color="000000" w:sz="4" w:space="0"/>
                    <w:bottom w:val="single" w:color="000000" w:sz="4" w:space="0"/>
                    <w:right w:val="single" w:color="000000" w:sz="4" w:space="0"/>
                  </w:tcBorders>
                  <w:noWrap w:val="0"/>
                  <w:vAlign w:val="center"/>
                </w:tcPr>
                <w:p w14:paraId="5565E7A9">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lang w:val="en-US" w:eastAsia="zh-CN" w:bidi="ar"/>
                    </w:rPr>
                    <w:t>1.8</w:t>
                  </w:r>
                  <w:r>
                    <w:rPr>
                      <w:rFonts w:hint="default" w:ascii="Times New Roman" w:hAnsi="Times New Roman" w:eastAsia="宋体" w:cs="Times New Roman"/>
                      <w:color w:val="auto"/>
                      <w:kern w:val="0"/>
                      <w:sz w:val="21"/>
                      <w:szCs w:val="21"/>
                      <w:lang w:bidi="ar"/>
                    </w:rPr>
                    <w:t>m×</w:t>
                  </w:r>
                  <w:r>
                    <w:rPr>
                      <w:rFonts w:hint="default" w:ascii="Times New Roman" w:hAnsi="Times New Roman" w:cs="Times New Roman"/>
                      <w:color w:val="auto"/>
                      <w:kern w:val="0"/>
                      <w:sz w:val="21"/>
                      <w:szCs w:val="21"/>
                      <w:lang w:val="en-US" w:eastAsia="zh-CN" w:bidi="ar"/>
                    </w:rPr>
                    <w:t>1.8</w:t>
                  </w:r>
                  <w:r>
                    <w:rPr>
                      <w:rFonts w:hint="default" w:ascii="Times New Roman" w:hAnsi="Times New Roman" w:eastAsia="宋体" w:cs="Times New Roman"/>
                      <w:color w:val="auto"/>
                      <w:kern w:val="0"/>
                      <w:sz w:val="21"/>
                      <w:szCs w:val="21"/>
                      <w:lang w:bidi="ar"/>
                    </w:rPr>
                    <w:t>m×</w:t>
                  </w:r>
                  <w:r>
                    <w:rPr>
                      <w:rFonts w:hint="default" w:ascii="Times New Roman" w:hAnsi="Times New Roman" w:cs="Times New Roman"/>
                      <w:color w:val="auto"/>
                      <w:kern w:val="0"/>
                      <w:sz w:val="21"/>
                      <w:szCs w:val="21"/>
                      <w:lang w:val="en-US" w:eastAsia="zh-CN" w:bidi="ar"/>
                    </w:rPr>
                    <w:t>0.8</w:t>
                  </w:r>
                  <w:r>
                    <w:rPr>
                      <w:rFonts w:hint="default" w:ascii="Times New Roman" w:hAnsi="Times New Roman" w:eastAsia="宋体" w:cs="Times New Roman"/>
                      <w:color w:val="auto"/>
                      <w:kern w:val="0"/>
                      <w:sz w:val="21"/>
                      <w:szCs w:val="21"/>
                      <w:lang w:bidi="ar"/>
                    </w:rPr>
                    <w:t>m</w:t>
                  </w:r>
                </w:p>
              </w:tc>
              <w:tc>
                <w:tcPr>
                  <w:tcW w:w="1609" w:type="dxa"/>
                  <w:tcBorders>
                    <w:top w:val="single" w:color="000000" w:sz="4" w:space="0"/>
                    <w:left w:val="single" w:color="000000" w:sz="4" w:space="0"/>
                    <w:bottom w:val="single" w:color="000000" w:sz="4" w:space="0"/>
                    <w:right w:val="single" w:color="000000" w:sz="4" w:space="0"/>
                  </w:tcBorders>
                  <w:noWrap w:val="0"/>
                  <w:vAlign w:val="center"/>
                </w:tcPr>
                <w:p w14:paraId="5A393A4B">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2.3</w:t>
                  </w:r>
                  <w:r>
                    <w:rPr>
                      <w:rFonts w:hint="default" w:ascii="Times New Roman" w:hAnsi="Times New Roman" w:eastAsia="宋体" w:cs="Times New Roman"/>
                      <w:color w:val="auto"/>
                      <w:kern w:val="0"/>
                      <w:sz w:val="21"/>
                      <w:szCs w:val="21"/>
                      <w:lang w:bidi="ar"/>
                    </w:rPr>
                    <w:t>m×</w:t>
                  </w:r>
                  <w:r>
                    <w:rPr>
                      <w:rFonts w:hint="default" w:ascii="Times New Roman" w:hAnsi="Times New Roman" w:cs="Times New Roman"/>
                      <w:color w:val="auto"/>
                      <w:kern w:val="0"/>
                      <w:sz w:val="21"/>
                      <w:szCs w:val="21"/>
                      <w:lang w:val="en-US" w:eastAsia="zh-CN" w:bidi="ar"/>
                    </w:rPr>
                    <w:t>2.3</w:t>
                  </w:r>
                  <w:r>
                    <w:rPr>
                      <w:rFonts w:hint="default" w:ascii="Times New Roman" w:hAnsi="Times New Roman" w:eastAsia="宋体" w:cs="Times New Roman"/>
                      <w:color w:val="auto"/>
                      <w:kern w:val="0"/>
                      <w:sz w:val="21"/>
                      <w:szCs w:val="21"/>
                      <w:lang w:bidi="ar"/>
                    </w:rPr>
                    <w:t>m×</w:t>
                  </w:r>
                  <w:r>
                    <w:rPr>
                      <w:rFonts w:hint="default" w:ascii="Times New Roman" w:hAnsi="Times New Roman" w:cs="Times New Roman"/>
                      <w:color w:val="auto"/>
                      <w:kern w:val="0"/>
                      <w:sz w:val="21"/>
                      <w:szCs w:val="21"/>
                      <w:lang w:val="en-US" w:eastAsia="zh-CN" w:bidi="ar"/>
                    </w:rPr>
                    <w:t>1.5m</w:t>
                  </w:r>
                </w:p>
              </w:tc>
              <w:tc>
                <w:tcPr>
                  <w:tcW w:w="1699" w:type="dxa"/>
                  <w:tcBorders>
                    <w:top w:val="single" w:color="000000" w:sz="4" w:space="0"/>
                    <w:left w:val="single" w:color="000000" w:sz="4" w:space="0"/>
                    <w:bottom w:val="single" w:color="000000" w:sz="4" w:space="0"/>
                    <w:right w:val="single" w:color="000000" w:sz="4" w:space="0"/>
                  </w:tcBorders>
                  <w:noWrap w:val="0"/>
                  <w:vAlign w:val="center"/>
                </w:tcPr>
                <w:p w14:paraId="49DE75F8">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2.3</w:t>
                  </w:r>
                  <w:r>
                    <w:rPr>
                      <w:rFonts w:hint="default" w:ascii="Times New Roman" w:hAnsi="Times New Roman" w:eastAsia="宋体" w:cs="Times New Roman"/>
                      <w:color w:val="auto"/>
                      <w:kern w:val="0"/>
                      <w:sz w:val="21"/>
                      <w:szCs w:val="21"/>
                      <w:lang w:bidi="ar"/>
                    </w:rPr>
                    <w:t>m×</w:t>
                  </w:r>
                  <w:r>
                    <w:rPr>
                      <w:rFonts w:hint="default" w:ascii="Times New Roman" w:hAnsi="Times New Roman" w:cs="Times New Roman"/>
                      <w:color w:val="auto"/>
                      <w:kern w:val="0"/>
                      <w:sz w:val="21"/>
                      <w:szCs w:val="21"/>
                      <w:lang w:val="en-US" w:eastAsia="zh-CN" w:bidi="ar"/>
                    </w:rPr>
                    <w:t>2.3</w:t>
                  </w:r>
                  <w:r>
                    <w:rPr>
                      <w:rFonts w:hint="default" w:ascii="Times New Roman" w:hAnsi="Times New Roman" w:eastAsia="宋体" w:cs="Times New Roman"/>
                      <w:color w:val="auto"/>
                      <w:kern w:val="0"/>
                      <w:sz w:val="21"/>
                      <w:szCs w:val="21"/>
                      <w:lang w:bidi="ar"/>
                    </w:rPr>
                    <w:t>m×</w:t>
                  </w:r>
                  <w:r>
                    <w:rPr>
                      <w:rFonts w:hint="default" w:ascii="Times New Roman" w:hAnsi="Times New Roman" w:cs="Times New Roman"/>
                      <w:color w:val="auto"/>
                      <w:kern w:val="0"/>
                      <w:sz w:val="21"/>
                      <w:szCs w:val="21"/>
                      <w:lang w:val="en-US" w:eastAsia="zh-CN" w:bidi="ar"/>
                    </w:rPr>
                    <w:t>1.5m</w:t>
                  </w:r>
                </w:p>
              </w:tc>
            </w:tr>
            <w:tr w14:paraId="2EA77011">
              <w:tblPrEx>
                <w:tblCellMar>
                  <w:top w:w="0" w:type="dxa"/>
                  <w:left w:w="108" w:type="dxa"/>
                  <w:bottom w:w="0" w:type="dxa"/>
                  <w:right w:w="108" w:type="dxa"/>
                </w:tblCellMar>
              </w:tblPrEx>
              <w:trPr>
                <w:trHeight w:val="24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529DCA3B">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吸附剂</w:t>
                  </w:r>
                </w:p>
              </w:tc>
              <w:tc>
                <w:tcPr>
                  <w:tcW w:w="1746" w:type="dxa"/>
                  <w:tcBorders>
                    <w:top w:val="single" w:color="000000" w:sz="4" w:space="0"/>
                    <w:left w:val="single" w:color="000000" w:sz="4" w:space="0"/>
                    <w:bottom w:val="single" w:color="000000" w:sz="4" w:space="0"/>
                    <w:right w:val="single" w:color="000000" w:sz="4" w:space="0"/>
                  </w:tcBorders>
                  <w:noWrap w:val="0"/>
                  <w:vAlign w:val="center"/>
                </w:tcPr>
                <w:p w14:paraId="2EEAE840">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bidi="ar"/>
                    </w:rPr>
                    <w:t>蜂窝式</w:t>
                  </w:r>
                </w:p>
              </w:tc>
              <w:tc>
                <w:tcPr>
                  <w:tcW w:w="1727" w:type="dxa"/>
                  <w:tcBorders>
                    <w:top w:val="single" w:color="000000" w:sz="4" w:space="0"/>
                    <w:left w:val="single" w:color="000000" w:sz="4" w:space="0"/>
                    <w:bottom w:val="single" w:color="000000" w:sz="4" w:space="0"/>
                    <w:right w:val="single" w:color="000000" w:sz="4" w:space="0"/>
                  </w:tcBorders>
                  <w:noWrap w:val="0"/>
                  <w:vAlign w:val="center"/>
                </w:tcPr>
                <w:p w14:paraId="3883BC86">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bidi="ar"/>
                    </w:rPr>
                    <w:t>蜂窝式</w:t>
                  </w:r>
                </w:p>
              </w:tc>
              <w:tc>
                <w:tcPr>
                  <w:tcW w:w="1609" w:type="dxa"/>
                  <w:tcBorders>
                    <w:top w:val="single" w:color="000000" w:sz="4" w:space="0"/>
                    <w:left w:val="single" w:color="000000" w:sz="4" w:space="0"/>
                    <w:bottom w:val="single" w:color="000000" w:sz="4" w:space="0"/>
                    <w:right w:val="single" w:color="000000" w:sz="4" w:space="0"/>
                  </w:tcBorders>
                  <w:noWrap w:val="0"/>
                  <w:vAlign w:val="center"/>
                </w:tcPr>
                <w:p w14:paraId="0FAC31D2">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蜂窝式</w:t>
                  </w:r>
                </w:p>
              </w:tc>
              <w:tc>
                <w:tcPr>
                  <w:tcW w:w="1699" w:type="dxa"/>
                  <w:tcBorders>
                    <w:top w:val="single" w:color="000000" w:sz="4" w:space="0"/>
                    <w:left w:val="single" w:color="000000" w:sz="4" w:space="0"/>
                    <w:bottom w:val="single" w:color="000000" w:sz="4" w:space="0"/>
                    <w:right w:val="single" w:color="000000" w:sz="4" w:space="0"/>
                  </w:tcBorders>
                  <w:noWrap w:val="0"/>
                  <w:vAlign w:val="center"/>
                </w:tcPr>
                <w:p w14:paraId="53A4A4C7">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蜂窝式</w:t>
                  </w:r>
                </w:p>
              </w:tc>
            </w:tr>
            <w:tr w14:paraId="26F46B06">
              <w:tblPrEx>
                <w:tblCellMar>
                  <w:top w:w="0" w:type="dxa"/>
                  <w:left w:w="108" w:type="dxa"/>
                  <w:bottom w:w="0" w:type="dxa"/>
                  <w:right w:w="108" w:type="dxa"/>
                </w:tblCellMar>
              </w:tblPrEx>
              <w:trPr>
                <w:trHeight w:val="24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778EAFFC">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孔隙率P</w:t>
                  </w:r>
                </w:p>
              </w:tc>
              <w:tc>
                <w:tcPr>
                  <w:tcW w:w="1746" w:type="dxa"/>
                  <w:tcBorders>
                    <w:top w:val="single" w:color="000000" w:sz="4" w:space="0"/>
                    <w:left w:val="single" w:color="000000" w:sz="4" w:space="0"/>
                    <w:bottom w:val="single" w:color="000000" w:sz="4" w:space="0"/>
                    <w:right w:val="single" w:color="000000" w:sz="4" w:space="0"/>
                  </w:tcBorders>
                  <w:noWrap w:val="0"/>
                  <w:vAlign w:val="center"/>
                </w:tcPr>
                <w:p w14:paraId="649CF16E">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75%</w:t>
                  </w:r>
                </w:p>
              </w:tc>
              <w:tc>
                <w:tcPr>
                  <w:tcW w:w="1727" w:type="dxa"/>
                  <w:tcBorders>
                    <w:top w:val="single" w:color="000000" w:sz="4" w:space="0"/>
                    <w:left w:val="single" w:color="000000" w:sz="4" w:space="0"/>
                    <w:bottom w:val="single" w:color="000000" w:sz="4" w:space="0"/>
                    <w:right w:val="single" w:color="000000" w:sz="4" w:space="0"/>
                  </w:tcBorders>
                  <w:noWrap w:val="0"/>
                  <w:vAlign w:val="center"/>
                </w:tcPr>
                <w:p w14:paraId="4A8E6C4C">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75%</w:t>
                  </w:r>
                </w:p>
              </w:tc>
              <w:tc>
                <w:tcPr>
                  <w:tcW w:w="1609" w:type="dxa"/>
                  <w:tcBorders>
                    <w:top w:val="single" w:color="000000" w:sz="4" w:space="0"/>
                    <w:left w:val="single" w:color="000000" w:sz="4" w:space="0"/>
                    <w:bottom w:val="single" w:color="000000" w:sz="4" w:space="0"/>
                    <w:right w:val="single" w:color="000000" w:sz="4" w:space="0"/>
                  </w:tcBorders>
                  <w:noWrap w:val="0"/>
                  <w:vAlign w:val="center"/>
                </w:tcPr>
                <w:p w14:paraId="7BF7CF22">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75</w:t>
                  </w:r>
                  <w:r>
                    <w:rPr>
                      <w:rFonts w:hint="default" w:ascii="Times New Roman" w:hAnsi="Times New Roman" w:eastAsia="宋体" w:cs="Times New Roman"/>
                      <w:color w:val="auto"/>
                      <w:kern w:val="0"/>
                      <w:sz w:val="21"/>
                      <w:szCs w:val="21"/>
                      <w:lang w:val="en-US" w:eastAsia="zh-CN" w:bidi="ar"/>
                    </w:rPr>
                    <w:t>%</w:t>
                  </w:r>
                </w:p>
              </w:tc>
              <w:tc>
                <w:tcPr>
                  <w:tcW w:w="1699" w:type="dxa"/>
                  <w:tcBorders>
                    <w:top w:val="single" w:color="000000" w:sz="4" w:space="0"/>
                    <w:left w:val="single" w:color="000000" w:sz="4" w:space="0"/>
                    <w:bottom w:val="single" w:color="000000" w:sz="4" w:space="0"/>
                    <w:right w:val="single" w:color="000000" w:sz="4" w:space="0"/>
                  </w:tcBorders>
                  <w:noWrap w:val="0"/>
                  <w:vAlign w:val="center"/>
                </w:tcPr>
                <w:p w14:paraId="4349ACBA">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75</w:t>
                  </w:r>
                  <w:r>
                    <w:rPr>
                      <w:rFonts w:hint="default" w:ascii="Times New Roman" w:hAnsi="Times New Roman" w:eastAsia="宋体" w:cs="Times New Roman"/>
                      <w:color w:val="auto"/>
                      <w:kern w:val="0"/>
                      <w:sz w:val="21"/>
                      <w:szCs w:val="21"/>
                      <w:lang w:val="en-US" w:eastAsia="zh-CN" w:bidi="ar"/>
                    </w:rPr>
                    <w:t>%</w:t>
                  </w:r>
                </w:p>
              </w:tc>
            </w:tr>
            <w:tr w14:paraId="6B274899">
              <w:tblPrEx>
                <w:tblCellMar>
                  <w:top w:w="0" w:type="dxa"/>
                  <w:left w:w="108" w:type="dxa"/>
                  <w:bottom w:w="0" w:type="dxa"/>
                  <w:right w:w="108" w:type="dxa"/>
                </w:tblCellMar>
              </w:tblPrEx>
              <w:trPr>
                <w:trHeight w:val="24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37D96C89">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吸附剂层数q</w:t>
                  </w:r>
                </w:p>
              </w:tc>
              <w:tc>
                <w:tcPr>
                  <w:tcW w:w="1746" w:type="dxa"/>
                  <w:tcBorders>
                    <w:top w:val="single" w:color="000000" w:sz="4" w:space="0"/>
                    <w:left w:val="single" w:color="000000" w:sz="4" w:space="0"/>
                    <w:bottom w:val="single" w:color="000000" w:sz="4" w:space="0"/>
                    <w:right w:val="single" w:color="000000" w:sz="4" w:space="0"/>
                  </w:tcBorders>
                  <w:noWrap w:val="0"/>
                  <w:vAlign w:val="center"/>
                </w:tcPr>
                <w:p w14:paraId="182B7788">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2</w:t>
                  </w:r>
                  <w:r>
                    <w:rPr>
                      <w:rFonts w:hint="default" w:ascii="Times New Roman" w:hAnsi="Times New Roman" w:eastAsia="宋体" w:cs="Times New Roman"/>
                      <w:color w:val="auto"/>
                      <w:kern w:val="0"/>
                      <w:sz w:val="21"/>
                      <w:szCs w:val="21"/>
                      <w:lang w:bidi="ar"/>
                    </w:rPr>
                    <w:t>层</w:t>
                  </w:r>
                </w:p>
              </w:tc>
              <w:tc>
                <w:tcPr>
                  <w:tcW w:w="1727" w:type="dxa"/>
                  <w:tcBorders>
                    <w:top w:val="single" w:color="000000" w:sz="4" w:space="0"/>
                    <w:left w:val="single" w:color="000000" w:sz="4" w:space="0"/>
                    <w:bottom w:val="single" w:color="000000" w:sz="4" w:space="0"/>
                    <w:right w:val="single" w:color="000000" w:sz="4" w:space="0"/>
                  </w:tcBorders>
                  <w:noWrap w:val="0"/>
                  <w:vAlign w:val="center"/>
                </w:tcPr>
                <w:p w14:paraId="3C531CF8">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2</w:t>
                  </w:r>
                  <w:r>
                    <w:rPr>
                      <w:rFonts w:hint="default" w:ascii="Times New Roman" w:hAnsi="Times New Roman" w:eastAsia="宋体" w:cs="Times New Roman"/>
                      <w:color w:val="auto"/>
                      <w:kern w:val="0"/>
                      <w:sz w:val="21"/>
                      <w:szCs w:val="21"/>
                      <w:lang w:bidi="ar"/>
                    </w:rPr>
                    <w:t>层</w:t>
                  </w:r>
                </w:p>
              </w:tc>
              <w:tc>
                <w:tcPr>
                  <w:tcW w:w="1609" w:type="dxa"/>
                  <w:tcBorders>
                    <w:top w:val="single" w:color="000000" w:sz="4" w:space="0"/>
                    <w:left w:val="single" w:color="000000" w:sz="4" w:space="0"/>
                    <w:bottom w:val="single" w:color="000000" w:sz="4" w:space="0"/>
                    <w:right w:val="single" w:color="000000" w:sz="4" w:space="0"/>
                  </w:tcBorders>
                  <w:noWrap w:val="0"/>
                  <w:vAlign w:val="center"/>
                </w:tcPr>
                <w:p w14:paraId="5A8AC554">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w:t>
                  </w:r>
                  <w:r>
                    <w:rPr>
                      <w:rFonts w:hint="default" w:ascii="Times New Roman" w:hAnsi="Times New Roman" w:eastAsia="宋体" w:cs="Times New Roman"/>
                      <w:color w:val="auto"/>
                      <w:kern w:val="0"/>
                      <w:sz w:val="21"/>
                      <w:szCs w:val="21"/>
                      <w:lang w:bidi="ar"/>
                    </w:rPr>
                    <w:t>层</w:t>
                  </w:r>
                </w:p>
              </w:tc>
              <w:tc>
                <w:tcPr>
                  <w:tcW w:w="1699" w:type="dxa"/>
                  <w:tcBorders>
                    <w:top w:val="single" w:color="000000" w:sz="4" w:space="0"/>
                    <w:left w:val="single" w:color="000000" w:sz="4" w:space="0"/>
                    <w:bottom w:val="single" w:color="000000" w:sz="4" w:space="0"/>
                    <w:right w:val="single" w:color="000000" w:sz="4" w:space="0"/>
                  </w:tcBorders>
                  <w:noWrap w:val="0"/>
                  <w:vAlign w:val="center"/>
                </w:tcPr>
                <w:p w14:paraId="163BE7D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w:t>
                  </w:r>
                  <w:r>
                    <w:rPr>
                      <w:rFonts w:hint="default" w:ascii="Times New Roman" w:hAnsi="Times New Roman" w:eastAsia="宋体" w:cs="Times New Roman"/>
                      <w:color w:val="auto"/>
                      <w:kern w:val="0"/>
                      <w:sz w:val="21"/>
                      <w:szCs w:val="21"/>
                      <w:lang w:bidi="ar"/>
                    </w:rPr>
                    <w:t>层</w:t>
                  </w:r>
                </w:p>
              </w:tc>
            </w:tr>
            <w:tr w14:paraId="042FA173">
              <w:tblPrEx>
                <w:tblCellMar>
                  <w:top w:w="0" w:type="dxa"/>
                  <w:left w:w="108" w:type="dxa"/>
                  <w:bottom w:w="0" w:type="dxa"/>
                  <w:right w:w="108" w:type="dxa"/>
                </w:tblCellMar>
              </w:tblPrEx>
              <w:trPr>
                <w:trHeight w:val="24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00398C01">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吸附剂</w:t>
                  </w:r>
                  <w:r>
                    <w:rPr>
                      <w:rFonts w:hint="default" w:ascii="Times New Roman" w:hAnsi="Times New Roman" w:eastAsia="宋体" w:cs="Times New Roman"/>
                      <w:b/>
                      <w:bCs/>
                      <w:color w:val="auto"/>
                      <w:sz w:val="21"/>
                      <w:szCs w:val="21"/>
                    </w:rPr>
                    <w:t>每层厚度 h</w:t>
                  </w:r>
                </w:p>
              </w:tc>
              <w:tc>
                <w:tcPr>
                  <w:tcW w:w="1746" w:type="dxa"/>
                  <w:tcBorders>
                    <w:top w:val="single" w:color="000000" w:sz="4" w:space="0"/>
                    <w:left w:val="single" w:color="000000" w:sz="4" w:space="0"/>
                    <w:bottom w:val="single" w:color="000000" w:sz="4" w:space="0"/>
                    <w:right w:val="single" w:color="000000" w:sz="4" w:space="0"/>
                  </w:tcBorders>
                  <w:noWrap w:val="0"/>
                  <w:vAlign w:val="center"/>
                </w:tcPr>
                <w:p w14:paraId="064A83CF">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lang w:val="en-US" w:eastAsia="zh-CN" w:bidi="ar"/>
                    </w:rPr>
                    <w:t>300</w:t>
                  </w:r>
                  <w:r>
                    <w:rPr>
                      <w:rFonts w:hint="default" w:ascii="Times New Roman" w:hAnsi="Times New Roman" w:eastAsia="宋体" w:cs="Times New Roman"/>
                      <w:color w:val="auto"/>
                      <w:kern w:val="0"/>
                      <w:sz w:val="21"/>
                      <w:szCs w:val="21"/>
                      <w:lang w:bidi="ar"/>
                    </w:rPr>
                    <w:t>mm</w:t>
                  </w:r>
                </w:p>
              </w:tc>
              <w:tc>
                <w:tcPr>
                  <w:tcW w:w="1727" w:type="dxa"/>
                  <w:tcBorders>
                    <w:top w:val="single" w:color="000000" w:sz="4" w:space="0"/>
                    <w:left w:val="single" w:color="000000" w:sz="4" w:space="0"/>
                    <w:bottom w:val="single" w:color="000000" w:sz="4" w:space="0"/>
                    <w:right w:val="single" w:color="000000" w:sz="4" w:space="0"/>
                  </w:tcBorders>
                  <w:noWrap w:val="0"/>
                  <w:vAlign w:val="center"/>
                </w:tcPr>
                <w:p w14:paraId="11D9E291">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lang w:val="en-US" w:eastAsia="zh-CN" w:bidi="ar"/>
                    </w:rPr>
                    <w:t>300</w:t>
                  </w:r>
                  <w:r>
                    <w:rPr>
                      <w:rFonts w:hint="default" w:ascii="Times New Roman" w:hAnsi="Times New Roman" w:eastAsia="宋体" w:cs="Times New Roman"/>
                      <w:color w:val="auto"/>
                      <w:kern w:val="0"/>
                      <w:sz w:val="21"/>
                      <w:szCs w:val="21"/>
                      <w:lang w:bidi="ar"/>
                    </w:rPr>
                    <w:t>mm</w:t>
                  </w:r>
                </w:p>
              </w:tc>
              <w:tc>
                <w:tcPr>
                  <w:tcW w:w="1609" w:type="dxa"/>
                  <w:tcBorders>
                    <w:top w:val="single" w:color="000000" w:sz="4" w:space="0"/>
                    <w:left w:val="single" w:color="000000" w:sz="4" w:space="0"/>
                    <w:bottom w:val="single" w:color="000000" w:sz="4" w:space="0"/>
                    <w:right w:val="single" w:color="000000" w:sz="4" w:space="0"/>
                  </w:tcBorders>
                  <w:noWrap w:val="0"/>
                  <w:vAlign w:val="center"/>
                </w:tcPr>
                <w:p w14:paraId="0C5B8722">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3</w:t>
                  </w:r>
                  <w:r>
                    <w:rPr>
                      <w:rFonts w:hint="default" w:ascii="Times New Roman" w:hAnsi="Times New Roman" w:eastAsia="宋体" w:cs="Times New Roman"/>
                      <w:color w:val="auto"/>
                      <w:kern w:val="0"/>
                      <w:sz w:val="21"/>
                      <w:szCs w:val="21"/>
                      <w:lang w:bidi="ar"/>
                    </w:rPr>
                    <w:t>00mm</w:t>
                  </w:r>
                </w:p>
              </w:tc>
              <w:tc>
                <w:tcPr>
                  <w:tcW w:w="1699" w:type="dxa"/>
                  <w:tcBorders>
                    <w:top w:val="single" w:color="000000" w:sz="4" w:space="0"/>
                    <w:left w:val="single" w:color="000000" w:sz="4" w:space="0"/>
                    <w:bottom w:val="single" w:color="000000" w:sz="4" w:space="0"/>
                    <w:right w:val="single" w:color="000000" w:sz="4" w:space="0"/>
                  </w:tcBorders>
                  <w:noWrap w:val="0"/>
                  <w:vAlign w:val="center"/>
                </w:tcPr>
                <w:p w14:paraId="1F970F37">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3</w:t>
                  </w:r>
                  <w:r>
                    <w:rPr>
                      <w:rFonts w:hint="default" w:ascii="Times New Roman" w:hAnsi="Times New Roman" w:eastAsia="宋体" w:cs="Times New Roman"/>
                      <w:color w:val="auto"/>
                      <w:kern w:val="0"/>
                      <w:sz w:val="21"/>
                      <w:szCs w:val="21"/>
                      <w:lang w:bidi="ar"/>
                    </w:rPr>
                    <w:t>00mm</w:t>
                  </w:r>
                </w:p>
              </w:tc>
            </w:tr>
            <w:tr w14:paraId="31144CC5">
              <w:tblPrEx>
                <w:tblCellMar>
                  <w:top w:w="0" w:type="dxa"/>
                  <w:left w:w="108" w:type="dxa"/>
                  <w:bottom w:w="0" w:type="dxa"/>
                  <w:right w:w="108" w:type="dxa"/>
                </w:tblCellMar>
              </w:tblPrEx>
              <w:trPr>
                <w:trHeight w:val="475"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36A5808B">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过滤风速V（V=Q/3600/（B×L）/q</w:t>
                  </w:r>
                  <w:r>
                    <w:rPr>
                      <w:rFonts w:hint="default" w:ascii="Times New Roman" w:hAnsi="Times New Roman" w:eastAsia="宋体" w:cs="Times New Roman"/>
                      <w:b/>
                      <w:bCs/>
                      <w:color w:val="auto"/>
                      <w:kern w:val="0"/>
                      <w:sz w:val="21"/>
                      <w:szCs w:val="21"/>
                      <w:lang w:val="en-US" w:eastAsia="zh-CN" w:bidi="ar"/>
                    </w:rPr>
                    <w:t>/P</w:t>
                  </w:r>
                  <w:r>
                    <w:rPr>
                      <w:rFonts w:hint="default" w:ascii="Times New Roman" w:hAnsi="Times New Roman" w:eastAsia="宋体" w:cs="Times New Roman"/>
                      <w:b/>
                      <w:bCs/>
                      <w:color w:val="auto"/>
                      <w:kern w:val="0"/>
                      <w:sz w:val="21"/>
                      <w:szCs w:val="21"/>
                      <w:lang w:bidi="ar"/>
                    </w:rPr>
                    <w:t>）</w:t>
                  </w:r>
                </w:p>
              </w:tc>
              <w:tc>
                <w:tcPr>
                  <w:tcW w:w="1746" w:type="dxa"/>
                  <w:tcBorders>
                    <w:top w:val="single" w:color="000000" w:sz="4" w:space="0"/>
                    <w:left w:val="single" w:color="000000" w:sz="4" w:space="0"/>
                    <w:bottom w:val="single" w:color="000000" w:sz="4" w:space="0"/>
                    <w:right w:val="single" w:color="000000" w:sz="4" w:space="0"/>
                  </w:tcBorders>
                  <w:noWrap/>
                  <w:vAlign w:val="center"/>
                </w:tcPr>
                <w:p w14:paraId="73B50068">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lang w:val="en-US" w:eastAsia="zh-CN" w:bidi="ar"/>
                    </w:rPr>
                    <w:t>0.94</w:t>
                  </w:r>
                  <w:r>
                    <w:rPr>
                      <w:rFonts w:hint="default" w:ascii="Times New Roman" w:hAnsi="Times New Roman" w:eastAsia="宋体" w:cs="Times New Roman"/>
                      <w:color w:val="auto"/>
                      <w:sz w:val="21"/>
                      <w:szCs w:val="21"/>
                    </w:rPr>
                    <w:t>m/s</w:t>
                  </w:r>
                </w:p>
              </w:tc>
              <w:tc>
                <w:tcPr>
                  <w:tcW w:w="1727" w:type="dxa"/>
                  <w:tcBorders>
                    <w:top w:val="single" w:color="000000" w:sz="4" w:space="0"/>
                    <w:left w:val="single" w:color="000000" w:sz="4" w:space="0"/>
                    <w:bottom w:val="single" w:color="000000" w:sz="4" w:space="0"/>
                    <w:right w:val="single" w:color="000000" w:sz="4" w:space="0"/>
                  </w:tcBorders>
                  <w:noWrap/>
                  <w:vAlign w:val="center"/>
                </w:tcPr>
                <w:p w14:paraId="2445A617">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lang w:val="en-US" w:eastAsia="zh-CN" w:bidi="ar"/>
                    </w:rPr>
                    <w:t>0.94</w:t>
                  </w:r>
                  <w:r>
                    <w:rPr>
                      <w:rFonts w:hint="default" w:ascii="Times New Roman" w:hAnsi="Times New Roman" w:eastAsia="宋体" w:cs="Times New Roman"/>
                      <w:color w:val="auto"/>
                      <w:sz w:val="21"/>
                      <w:szCs w:val="21"/>
                    </w:rPr>
                    <w:t>m/s</w:t>
                  </w:r>
                </w:p>
              </w:tc>
              <w:tc>
                <w:tcPr>
                  <w:tcW w:w="1609" w:type="dxa"/>
                  <w:tcBorders>
                    <w:top w:val="single" w:color="000000" w:sz="4" w:space="0"/>
                    <w:left w:val="single" w:color="000000" w:sz="4" w:space="0"/>
                    <w:bottom w:val="single" w:color="000000" w:sz="4" w:space="0"/>
                    <w:right w:val="single" w:color="000000" w:sz="4" w:space="0"/>
                  </w:tcBorders>
                  <w:noWrap/>
                  <w:vAlign w:val="center"/>
                </w:tcPr>
                <w:p w14:paraId="0D7F6B6E">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1.13</w:t>
                  </w:r>
                  <w:r>
                    <w:rPr>
                      <w:rFonts w:hint="default" w:ascii="Times New Roman" w:hAnsi="Times New Roman" w:eastAsia="宋体" w:cs="Times New Roman"/>
                      <w:color w:val="auto"/>
                      <w:sz w:val="21"/>
                      <w:szCs w:val="21"/>
                    </w:rPr>
                    <w:t>m/s</w:t>
                  </w:r>
                </w:p>
              </w:tc>
              <w:tc>
                <w:tcPr>
                  <w:tcW w:w="1699" w:type="dxa"/>
                  <w:tcBorders>
                    <w:top w:val="single" w:color="000000" w:sz="4" w:space="0"/>
                    <w:left w:val="single" w:color="000000" w:sz="4" w:space="0"/>
                    <w:bottom w:val="single" w:color="000000" w:sz="4" w:space="0"/>
                    <w:right w:val="single" w:color="000000" w:sz="4" w:space="0"/>
                  </w:tcBorders>
                  <w:noWrap/>
                  <w:vAlign w:val="center"/>
                </w:tcPr>
                <w:p w14:paraId="56FED21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1.13</w:t>
                  </w:r>
                  <w:r>
                    <w:rPr>
                      <w:rFonts w:hint="default" w:ascii="Times New Roman" w:hAnsi="Times New Roman" w:eastAsia="宋体" w:cs="Times New Roman"/>
                      <w:color w:val="auto"/>
                      <w:sz w:val="21"/>
                      <w:szCs w:val="21"/>
                    </w:rPr>
                    <w:t>m/s</w:t>
                  </w:r>
                </w:p>
              </w:tc>
            </w:tr>
            <w:tr w14:paraId="22C067B0">
              <w:tblPrEx>
                <w:tblCellMar>
                  <w:top w:w="0" w:type="dxa"/>
                  <w:left w:w="108" w:type="dxa"/>
                  <w:bottom w:w="0" w:type="dxa"/>
                  <w:right w:w="108" w:type="dxa"/>
                </w:tblCellMar>
              </w:tblPrEx>
              <w:trPr>
                <w:trHeight w:val="475"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0644F3DD">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过滤停留时间 T（T=h</w:t>
                  </w:r>
                  <w:r>
                    <w:rPr>
                      <w:rFonts w:hint="default" w:ascii="Times New Roman" w:hAnsi="Times New Roman" w:eastAsia="宋体" w:cs="Times New Roman"/>
                      <w:b/>
                      <w:bCs/>
                      <w:color w:val="auto"/>
                      <w:kern w:val="0"/>
                      <w:sz w:val="21"/>
                      <w:szCs w:val="21"/>
                      <w:lang w:val="en-US" w:eastAsia="zh-CN" w:bidi="ar"/>
                    </w:rPr>
                    <w:t>×q</w:t>
                  </w:r>
                  <w:r>
                    <w:rPr>
                      <w:rFonts w:hint="default" w:ascii="Times New Roman" w:hAnsi="Times New Roman" w:eastAsia="宋体" w:cs="Times New Roman"/>
                      <w:b/>
                      <w:bCs/>
                      <w:color w:val="auto"/>
                      <w:kern w:val="0"/>
                      <w:sz w:val="21"/>
                      <w:szCs w:val="21"/>
                      <w:lang w:bidi="ar"/>
                    </w:rPr>
                    <w:t>/V）</w:t>
                  </w:r>
                </w:p>
              </w:tc>
              <w:tc>
                <w:tcPr>
                  <w:tcW w:w="1746" w:type="dxa"/>
                  <w:tcBorders>
                    <w:top w:val="single" w:color="000000" w:sz="4" w:space="0"/>
                    <w:left w:val="single" w:color="000000" w:sz="4" w:space="0"/>
                    <w:bottom w:val="single" w:color="000000" w:sz="4" w:space="0"/>
                    <w:right w:val="single" w:color="000000" w:sz="4" w:space="0"/>
                  </w:tcBorders>
                  <w:noWrap/>
                  <w:vAlign w:val="center"/>
                </w:tcPr>
                <w:p w14:paraId="1D3C3DF1">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lang w:val="en-US" w:eastAsia="zh-CN" w:bidi="ar"/>
                    </w:rPr>
                    <w:t>0.64</w:t>
                  </w:r>
                  <w:r>
                    <w:rPr>
                      <w:rFonts w:hint="default" w:ascii="Times New Roman" w:hAnsi="Times New Roman" w:eastAsia="宋体" w:cs="Times New Roman"/>
                      <w:color w:val="auto"/>
                      <w:kern w:val="0"/>
                      <w:sz w:val="21"/>
                      <w:szCs w:val="21"/>
                      <w:lang w:bidi="ar"/>
                    </w:rPr>
                    <w:t>s</w:t>
                  </w:r>
                </w:p>
              </w:tc>
              <w:tc>
                <w:tcPr>
                  <w:tcW w:w="1727" w:type="dxa"/>
                  <w:tcBorders>
                    <w:top w:val="single" w:color="000000" w:sz="4" w:space="0"/>
                    <w:left w:val="single" w:color="000000" w:sz="4" w:space="0"/>
                    <w:bottom w:val="single" w:color="000000" w:sz="4" w:space="0"/>
                    <w:right w:val="single" w:color="000000" w:sz="4" w:space="0"/>
                  </w:tcBorders>
                  <w:noWrap/>
                  <w:vAlign w:val="center"/>
                </w:tcPr>
                <w:p w14:paraId="7199320A">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lang w:val="en-US" w:eastAsia="zh-CN" w:bidi="ar"/>
                    </w:rPr>
                    <w:t>0.64</w:t>
                  </w:r>
                  <w:r>
                    <w:rPr>
                      <w:rFonts w:hint="default" w:ascii="Times New Roman" w:hAnsi="Times New Roman" w:eastAsia="宋体" w:cs="Times New Roman"/>
                      <w:color w:val="auto"/>
                      <w:kern w:val="0"/>
                      <w:sz w:val="21"/>
                      <w:szCs w:val="21"/>
                      <w:lang w:bidi="ar"/>
                    </w:rPr>
                    <w:t>s</w:t>
                  </w:r>
                </w:p>
              </w:tc>
              <w:tc>
                <w:tcPr>
                  <w:tcW w:w="1609" w:type="dxa"/>
                  <w:tcBorders>
                    <w:top w:val="single" w:color="000000" w:sz="4" w:space="0"/>
                    <w:left w:val="single" w:color="000000" w:sz="4" w:space="0"/>
                    <w:bottom w:val="single" w:color="000000" w:sz="4" w:space="0"/>
                    <w:right w:val="single" w:color="000000" w:sz="4" w:space="0"/>
                  </w:tcBorders>
                  <w:noWrap/>
                  <w:vAlign w:val="center"/>
                </w:tcPr>
                <w:p w14:paraId="0892276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0.53</w:t>
                  </w:r>
                  <w:r>
                    <w:rPr>
                      <w:rFonts w:hint="default" w:ascii="Times New Roman" w:hAnsi="Times New Roman" w:eastAsia="宋体" w:cs="Times New Roman"/>
                      <w:color w:val="auto"/>
                      <w:kern w:val="0"/>
                      <w:sz w:val="21"/>
                      <w:szCs w:val="21"/>
                      <w:lang w:bidi="ar"/>
                    </w:rPr>
                    <w:t>s</w:t>
                  </w:r>
                </w:p>
              </w:tc>
              <w:tc>
                <w:tcPr>
                  <w:tcW w:w="1699" w:type="dxa"/>
                  <w:tcBorders>
                    <w:top w:val="single" w:color="000000" w:sz="4" w:space="0"/>
                    <w:left w:val="single" w:color="000000" w:sz="4" w:space="0"/>
                    <w:bottom w:val="single" w:color="000000" w:sz="4" w:space="0"/>
                    <w:right w:val="single" w:color="000000" w:sz="4" w:space="0"/>
                  </w:tcBorders>
                  <w:noWrap/>
                  <w:vAlign w:val="center"/>
                </w:tcPr>
                <w:p w14:paraId="5AFDAB53">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0.53</w:t>
                  </w:r>
                  <w:r>
                    <w:rPr>
                      <w:rFonts w:hint="default" w:ascii="Times New Roman" w:hAnsi="Times New Roman" w:eastAsia="宋体" w:cs="Times New Roman"/>
                      <w:color w:val="auto"/>
                      <w:kern w:val="0"/>
                      <w:sz w:val="21"/>
                      <w:szCs w:val="21"/>
                      <w:lang w:bidi="ar"/>
                    </w:rPr>
                    <w:t>s</w:t>
                  </w:r>
                </w:p>
              </w:tc>
            </w:tr>
            <w:tr w14:paraId="2CB268AA">
              <w:tblPrEx>
                <w:tblCellMar>
                  <w:top w:w="0" w:type="dxa"/>
                  <w:left w:w="108" w:type="dxa"/>
                  <w:bottom w:w="0" w:type="dxa"/>
                  <w:right w:w="108" w:type="dxa"/>
                </w:tblCellMar>
              </w:tblPrEx>
              <w:trPr>
                <w:trHeight w:val="10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409DE435">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kern w:val="0"/>
                      <w:sz w:val="21"/>
                      <w:szCs w:val="21"/>
                      <w:lang w:eastAsia="zh-CN" w:bidi="ar"/>
                    </w:rPr>
                  </w:pPr>
                  <w:r>
                    <w:rPr>
                      <w:rFonts w:hint="default" w:ascii="Times New Roman" w:hAnsi="Times New Roman" w:eastAsia="宋体" w:cs="Times New Roman"/>
                      <w:b/>
                      <w:bCs/>
                      <w:color w:val="auto"/>
                      <w:kern w:val="0"/>
                      <w:sz w:val="21"/>
                      <w:szCs w:val="21"/>
                      <w:lang w:eastAsia="zh-CN" w:bidi="ar"/>
                    </w:rPr>
                    <w:t>吸附剂密度ρ</w:t>
                  </w:r>
                </w:p>
              </w:tc>
              <w:tc>
                <w:tcPr>
                  <w:tcW w:w="1746" w:type="dxa"/>
                  <w:tcBorders>
                    <w:top w:val="single" w:color="000000" w:sz="4" w:space="0"/>
                    <w:left w:val="single" w:color="000000" w:sz="4" w:space="0"/>
                    <w:bottom w:val="single" w:color="000000" w:sz="4" w:space="0"/>
                    <w:right w:val="single" w:color="000000" w:sz="4" w:space="0"/>
                  </w:tcBorders>
                  <w:noWrap/>
                  <w:vAlign w:val="center"/>
                </w:tcPr>
                <w:p w14:paraId="4AB647CA">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350kg/m</w:t>
                  </w:r>
                  <w:r>
                    <w:rPr>
                      <w:rFonts w:hint="default" w:ascii="Times New Roman" w:hAnsi="Times New Roman" w:eastAsia="宋体" w:cs="Times New Roman"/>
                      <w:color w:val="auto"/>
                      <w:kern w:val="0"/>
                      <w:sz w:val="21"/>
                      <w:szCs w:val="21"/>
                      <w:vertAlign w:val="superscript"/>
                      <w:lang w:val="en-US" w:eastAsia="zh-CN" w:bidi="ar"/>
                    </w:rPr>
                    <w:t>3</w:t>
                  </w:r>
                </w:p>
              </w:tc>
              <w:tc>
                <w:tcPr>
                  <w:tcW w:w="1727" w:type="dxa"/>
                  <w:tcBorders>
                    <w:top w:val="single" w:color="000000" w:sz="4" w:space="0"/>
                    <w:left w:val="single" w:color="000000" w:sz="4" w:space="0"/>
                    <w:bottom w:val="single" w:color="000000" w:sz="4" w:space="0"/>
                    <w:right w:val="single" w:color="000000" w:sz="4" w:space="0"/>
                  </w:tcBorders>
                  <w:noWrap/>
                  <w:vAlign w:val="center"/>
                </w:tcPr>
                <w:p w14:paraId="4012F5E0">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val="en-US" w:eastAsia="zh-CN" w:bidi="ar"/>
                    </w:rPr>
                    <w:t>350kg/m</w:t>
                  </w:r>
                  <w:r>
                    <w:rPr>
                      <w:rFonts w:hint="default" w:ascii="Times New Roman" w:hAnsi="Times New Roman" w:eastAsia="宋体" w:cs="Times New Roman"/>
                      <w:color w:val="auto"/>
                      <w:kern w:val="0"/>
                      <w:sz w:val="21"/>
                      <w:szCs w:val="21"/>
                      <w:vertAlign w:val="superscript"/>
                      <w:lang w:val="en-US" w:eastAsia="zh-CN" w:bidi="ar"/>
                    </w:rPr>
                    <w:t>3</w:t>
                  </w:r>
                </w:p>
              </w:tc>
              <w:tc>
                <w:tcPr>
                  <w:tcW w:w="1609" w:type="dxa"/>
                  <w:tcBorders>
                    <w:top w:val="single" w:color="000000" w:sz="4" w:space="0"/>
                    <w:left w:val="single" w:color="000000" w:sz="4" w:space="0"/>
                    <w:bottom w:val="single" w:color="000000" w:sz="4" w:space="0"/>
                    <w:right w:val="single" w:color="000000" w:sz="4" w:space="0"/>
                  </w:tcBorders>
                  <w:noWrap/>
                  <w:vAlign w:val="center"/>
                </w:tcPr>
                <w:p w14:paraId="4C8945B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350</w:t>
                  </w:r>
                  <w:r>
                    <w:rPr>
                      <w:rFonts w:hint="default" w:ascii="Times New Roman" w:hAnsi="Times New Roman" w:eastAsia="宋体" w:cs="Times New Roman"/>
                      <w:color w:val="auto"/>
                      <w:kern w:val="0"/>
                      <w:sz w:val="21"/>
                      <w:szCs w:val="21"/>
                      <w:lang w:val="en-US" w:eastAsia="zh-CN" w:bidi="ar"/>
                    </w:rPr>
                    <w:t>kg/m</w:t>
                  </w:r>
                  <w:r>
                    <w:rPr>
                      <w:rFonts w:hint="default" w:ascii="Times New Roman" w:hAnsi="Times New Roman" w:eastAsia="宋体" w:cs="Times New Roman"/>
                      <w:color w:val="auto"/>
                      <w:kern w:val="0"/>
                      <w:sz w:val="21"/>
                      <w:szCs w:val="21"/>
                      <w:vertAlign w:val="superscript"/>
                      <w:lang w:val="en-US" w:eastAsia="zh-CN" w:bidi="ar"/>
                    </w:rPr>
                    <w:t>3</w:t>
                  </w:r>
                </w:p>
              </w:tc>
              <w:tc>
                <w:tcPr>
                  <w:tcW w:w="1699" w:type="dxa"/>
                  <w:tcBorders>
                    <w:top w:val="single" w:color="000000" w:sz="4" w:space="0"/>
                    <w:left w:val="single" w:color="000000" w:sz="4" w:space="0"/>
                    <w:bottom w:val="single" w:color="000000" w:sz="4" w:space="0"/>
                    <w:right w:val="single" w:color="000000" w:sz="4" w:space="0"/>
                  </w:tcBorders>
                  <w:noWrap/>
                  <w:vAlign w:val="center"/>
                </w:tcPr>
                <w:p w14:paraId="2304BFF2">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350</w:t>
                  </w:r>
                  <w:r>
                    <w:rPr>
                      <w:rFonts w:hint="default" w:ascii="Times New Roman" w:hAnsi="Times New Roman" w:eastAsia="宋体" w:cs="Times New Roman"/>
                      <w:color w:val="auto"/>
                      <w:kern w:val="0"/>
                      <w:sz w:val="21"/>
                      <w:szCs w:val="21"/>
                      <w:lang w:val="en-US" w:eastAsia="zh-CN" w:bidi="ar"/>
                    </w:rPr>
                    <w:t>kg/m</w:t>
                  </w:r>
                  <w:r>
                    <w:rPr>
                      <w:rFonts w:hint="default" w:ascii="Times New Roman" w:hAnsi="Times New Roman" w:eastAsia="宋体" w:cs="Times New Roman"/>
                      <w:color w:val="auto"/>
                      <w:kern w:val="0"/>
                      <w:sz w:val="21"/>
                      <w:szCs w:val="21"/>
                      <w:vertAlign w:val="superscript"/>
                      <w:lang w:val="en-US" w:eastAsia="zh-CN" w:bidi="ar"/>
                    </w:rPr>
                    <w:t>3</w:t>
                  </w:r>
                </w:p>
              </w:tc>
            </w:tr>
            <w:tr w14:paraId="7CF1D9BD">
              <w:tblPrEx>
                <w:tblCellMar>
                  <w:top w:w="0" w:type="dxa"/>
                  <w:left w:w="108" w:type="dxa"/>
                  <w:bottom w:w="0" w:type="dxa"/>
                  <w:right w:w="108" w:type="dxa"/>
                </w:tblCellMar>
              </w:tblPrEx>
              <w:trPr>
                <w:trHeight w:val="422"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1D341F62">
                  <w:pPr>
                    <w:keepNext w:val="0"/>
                    <w:keepLines w:val="0"/>
                    <w:suppressLineNumbers w:val="0"/>
                    <w:wordWrap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吸附剂尺寸</w:t>
                  </w:r>
                  <w:r>
                    <w:rPr>
                      <w:rFonts w:hint="default" w:ascii="Times New Roman" w:hAnsi="Times New Roman" w:eastAsia="宋体" w:cs="Times New Roman"/>
                      <w:b/>
                      <w:bCs/>
                      <w:color w:val="auto"/>
                      <w:sz w:val="21"/>
                      <w:szCs w:val="21"/>
                      <w:lang w:val="en-US" w:eastAsia="zh-CN"/>
                    </w:rPr>
                    <w:t>m</w:t>
                  </w:r>
                </w:p>
              </w:tc>
              <w:tc>
                <w:tcPr>
                  <w:tcW w:w="1746" w:type="dxa"/>
                  <w:tcBorders>
                    <w:top w:val="single" w:color="000000" w:sz="4" w:space="0"/>
                    <w:left w:val="single" w:color="000000" w:sz="4" w:space="0"/>
                    <w:bottom w:val="single" w:color="000000" w:sz="4" w:space="0"/>
                    <w:right w:val="single" w:color="000000" w:sz="4" w:space="0"/>
                  </w:tcBorders>
                  <w:noWrap w:val="0"/>
                  <w:vAlign w:val="center"/>
                </w:tcPr>
                <w:p w14:paraId="7CE927BD">
                  <w:pPr>
                    <w:keepNext w:val="0"/>
                    <w:keepLines w:val="0"/>
                    <w:suppressLineNumbers w:val="0"/>
                    <w:wordWrap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100mm×100mm×100mm</w:t>
                  </w:r>
                </w:p>
              </w:tc>
              <w:tc>
                <w:tcPr>
                  <w:tcW w:w="1727" w:type="dxa"/>
                  <w:tcBorders>
                    <w:top w:val="single" w:color="000000" w:sz="4" w:space="0"/>
                    <w:left w:val="single" w:color="000000" w:sz="4" w:space="0"/>
                    <w:bottom w:val="single" w:color="000000" w:sz="4" w:space="0"/>
                    <w:right w:val="single" w:color="000000" w:sz="4" w:space="0"/>
                  </w:tcBorders>
                  <w:noWrap w:val="0"/>
                  <w:vAlign w:val="center"/>
                </w:tcPr>
                <w:p w14:paraId="3F27AD43">
                  <w:pPr>
                    <w:keepNext w:val="0"/>
                    <w:keepLines w:val="0"/>
                    <w:suppressLineNumbers w:val="0"/>
                    <w:wordWrap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100mm×100mm×100mm</w:t>
                  </w:r>
                </w:p>
              </w:tc>
              <w:tc>
                <w:tcPr>
                  <w:tcW w:w="1609" w:type="dxa"/>
                  <w:tcBorders>
                    <w:top w:val="single" w:color="000000" w:sz="4" w:space="0"/>
                    <w:left w:val="single" w:color="000000" w:sz="4" w:space="0"/>
                    <w:bottom w:val="single" w:color="000000" w:sz="4" w:space="0"/>
                    <w:right w:val="single" w:color="000000" w:sz="4" w:space="0"/>
                  </w:tcBorders>
                  <w:noWrap w:val="0"/>
                  <w:vAlign w:val="center"/>
                </w:tcPr>
                <w:p w14:paraId="49772635">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100mm</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100m</w:t>
                  </w:r>
                  <w:r>
                    <w:rPr>
                      <w:rFonts w:hint="default" w:ascii="Times New Roman" w:hAnsi="Times New Roman" w:eastAsia="宋体" w:cs="Times New Roman"/>
                      <w:color w:val="auto"/>
                      <w:sz w:val="21"/>
                      <w:szCs w:val="21"/>
                    </w:rPr>
                    <w:t>m×</w:t>
                  </w:r>
                  <w:r>
                    <w:rPr>
                      <w:rFonts w:hint="default" w:ascii="Times New Roman" w:hAnsi="Times New Roman" w:cs="Times New Roman"/>
                      <w:color w:val="auto"/>
                      <w:sz w:val="21"/>
                      <w:szCs w:val="21"/>
                    </w:rPr>
                    <w:t>100m</w:t>
                  </w:r>
                  <w:r>
                    <w:rPr>
                      <w:rFonts w:hint="default" w:ascii="Times New Roman" w:hAnsi="Times New Roman" w:eastAsia="宋体" w:cs="Times New Roman"/>
                      <w:color w:val="auto"/>
                      <w:sz w:val="21"/>
                      <w:szCs w:val="21"/>
                    </w:rPr>
                    <w:t>m</w:t>
                  </w:r>
                </w:p>
              </w:tc>
              <w:tc>
                <w:tcPr>
                  <w:tcW w:w="1699" w:type="dxa"/>
                  <w:tcBorders>
                    <w:top w:val="single" w:color="000000" w:sz="4" w:space="0"/>
                    <w:left w:val="single" w:color="000000" w:sz="4" w:space="0"/>
                    <w:bottom w:val="single" w:color="000000" w:sz="4" w:space="0"/>
                    <w:right w:val="single" w:color="000000" w:sz="4" w:space="0"/>
                  </w:tcBorders>
                  <w:noWrap w:val="0"/>
                  <w:vAlign w:val="center"/>
                </w:tcPr>
                <w:p w14:paraId="3196D3C9">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100mm</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100m</w:t>
                  </w:r>
                  <w:r>
                    <w:rPr>
                      <w:rFonts w:hint="default" w:ascii="Times New Roman" w:hAnsi="Times New Roman" w:eastAsia="宋体" w:cs="Times New Roman"/>
                      <w:color w:val="auto"/>
                      <w:sz w:val="21"/>
                      <w:szCs w:val="21"/>
                    </w:rPr>
                    <w:t>m×</w:t>
                  </w:r>
                  <w:r>
                    <w:rPr>
                      <w:rFonts w:hint="default" w:ascii="Times New Roman" w:hAnsi="Times New Roman" w:cs="Times New Roman"/>
                      <w:color w:val="auto"/>
                      <w:sz w:val="21"/>
                      <w:szCs w:val="21"/>
                    </w:rPr>
                    <w:t>100m</w:t>
                  </w:r>
                  <w:r>
                    <w:rPr>
                      <w:rFonts w:hint="default" w:ascii="Times New Roman" w:hAnsi="Times New Roman" w:eastAsia="宋体" w:cs="Times New Roman"/>
                      <w:color w:val="auto"/>
                      <w:sz w:val="21"/>
                      <w:szCs w:val="21"/>
                    </w:rPr>
                    <w:t>m</w:t>
                  </w:r>
                </w:p>
              </w:tc>
            </w:tr>
            <w:tr w14:paraId="25802645">
              <w:tblPrEx>
                <w:tblCellMar>
                  <w:top w:w="0" w:type="dxa"/>
                  <w:left w:w="108" w:type="dxa"/>
                  <w:bottom w:w="0" w:type="dxa"/>
                  <w:right w:w="108" w:type="dxa"/>
                </w:tblCellMar>
              </w:tblPrEx>
              <w:trPr>
                <w:trHeight w:val="24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371FF594">
                  <w:pPr>
                    <w:keepNext w:val="0"/>
                    <w:keepLines w:val="0"/>
                    <w:suppressLineNumbers w:val="0"/>
                    <w:wordWrap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吸附剂重量</w:t>
                  </w: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lang w:val="en-US" w:eastAsia="zh-CN"/>
                    </w:rPr>
                    <w:t>m×ρ</w:t>
                  </w:r>
                  <w:r>
                    <w:rPr>
                      <w:rFonts w:hint="default" w:ascii="Times New Roman" w:hAnsi="Times New Roman" w:eastAsia="宋体" w:cs="Times New Roman"/>
                      <w:b/>
                      <w:bCs/>
                      <w:color w:val="auto"/>
                      <w:sz w:val="21"/>
                      <w:szCs w:val="21"/>
                      <w:lang w:eastAsia="zh-CN"/>
                    </w:rPr>
                    <w:t>）</w:t>
                  </w:r>
                </w:p>
              </w:tc>
              <w:tc>
                <w:tcPr>
                  <w:tcW w:w="1746" w:type="dxa"/>
                  <w:tcBorders>
                    <w:top w:val="single" w:color="000000" w:sz="4" w:space="0"/>
                    <w:left w:val="single" w:color="000000" w:sz="4" w:space="0"/>
                    <w:bottom w:val="single" w:color="000000" w:sz="4" w:space="0"/>
                    <w:right w:val="single" w:color="000000" w:sz="4" w:space="0"/>
                  </w:tcBorders>
                  <w:noWrap w:val="0"/>
                  <w:vAlign w:val="center"/>
                </w:tcPr>
                <w:p w14:paraId="514AD2E3">
                  <w:pPr>
                    <w:keepNext w:val="0"/>
                    <w:keepLines w:val="0"/>
                    <w:suppressLineNumbers w:val="0"/>
                    <w:wordWrap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0.35kg</w:t>
                  </w:r>
                  <w:r>
                    <w:rPr>
                      <w:rFonts w:hint="default" w:ascii="Times New Roman" w:hAnsi="Times New Roman" w:eastAsia="宋体" w:cs="Times New Roman"/>
                      <w:color w:val="auto"/>
                      <w:sz w:val="21"/>
                      <w:szCs w:val="21"/>
                    </w:rPr>
                    <w:t>/个</w:t>
                  </w:r>
                </w:p>
              </w:tc>
              <w:tc>
                <w:tcPr>
                  <w:tcW w:w="1727" w:type="dxa"/>
                  <w:tcBorders>
                    <w:top w:val="single" w:color="000000" w:sz="4" w:space="0"/>
                    <w:left w:val="single" w:color="000000" w:sz="4" w:space="0"/>
                    <w:bottom w:val="single" w:color="000000" w:sz="4" w:space="0"/>
                    <w:right w:val="single" w:color="000000" w:sz="4" w:space="0"/>
                  </w:tcBorders>
                  <w:noWrap w:val="0"/>
                  <w:vAlign w:val="center"/>
                </w:tcPr>
                <w:p w14:paraId="6DED7BE2">
                  <w:pPr>
                    <w:keepNext w:val="0"/>
                    <w:keepLines w:val="0"/>
                    <w:suppressLineNumbers w:val="0"/>
                    <w:wordWrap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0.35kg</w:t>
                  </w:r>
                  <w:r>
                    <w:rPr>
                      <w:rFonts w:hint="default" w:ascii="Times New Roman" w:hAnsi="Times New Roman" w:eastAsia="宋体" w:cs="Times New Roman"/>
                      <w:color w:val="auto"/>
                      <w:sz w:val="21"/>
                      <w:szCs w:val="21"/>
                    </w:rPr>
                    <w:t>/个</w:t>
                  </w:r>
                </w:p>
              </w:tc>
              <w:tc>
                <w:tcPr>
                  <w:tcW w:w="1609" w:type="dxa"/>
                  <w:tcBorders>
                    <w:top w:val="single" w:color="000000" w:sz="4" w:space="0"/>
                    <w:left w:val="single" w:color="000000" w:sz="4" w:space="0"/>
                    <w:bottom w:val="single" w:color="000000" w:sz="4" w:space="0"/>
                    <w:right w:val="single" w:color="000000" w:sz="4" w:space="0"/>
                  </w:tcBorders>
                  <w:noWrap w:val="0"/>
                  <w:vAlign w:val="center"/>
                </w:tcPr>
                <w:p w14:paraId="0A03C528">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0.35kg</w:t>
                  </w:r>
                  <w:r>
                    <w:rPr>
                      <w:rFonts w:hint="default" w:ascii="Times New Roman" w:hAnsi="Times New Roman" w:cs="Times New Roman"/>
                      <w:color w:val="auto"/>
                      <w:sz w:val="21"/>
                      <w:szCs w:val="21"/>
                    </w:rPr>
                    <w:t>/个</w:t>
                  </w:r>
                </w:p>
              </w:tc>
              <w:tc>
                <w:tcPr>
                  <w:tcW w:w="1699" w:type="dxa"/>
                  <w:tcBorders>
                    <w:top w:val="single" w:color="000000" w:sz="4" w:space="0"/>
                    <w:left w:val="single" w:color="000000" w:sz="4" w:space="0"/>
                    <w:bottom w:val="single" w:color="000000" w:sz="4" w:space="0"/>
                    <w:right w:val="single" w:color="000000" w:sz="4" w:space="0"/>
                  </w:tcBorders>
                  <w:noWrap w:val="0"/>
                  <w:vAlign w:val="center"/>
                </w:tcPr>
                <w:p w14:paraId="371EFF64">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0.35kg</w:t>
                  </w:r>
                  <w:r>
                    <w:rPr>
                      <w:rFonts w:hint="default" w:ascii="Times New Roman" w:hAnsi="Times New Roman" w:cs="Times New Roman"/>
                      <w:color w:val="auto"/>
                      <w:sz w:val="21"/>
                      <w:szCs w:val="21"/>
                    </w:rPr>
                    <w:t>/个</w:t>
                  </w:r>
                </w:p>
              </w:tc>
            </w:tr>
            <w:tr w14:paraId="1CF7F451">
              <w:tblPrEx>
                <w:tblCellMar>
                  <w:top w:w="0" w:type="dxa"/>
                  <w:left w:w="108" w:type="dxa"/>
                  <w:bottom w:w="0" w:type="dxa"/>
                  <w:right w:w="108" w:type="dxa"/>
                </w:tblCellMar>
              </w:tblPrEx>
              <w:trPr>
                <w:trHeight w:val="24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0CBC1621">
                  <w:pPr>
                    <w:keepNext w:val="0"/>
                    <w:keepLines w:val="0"/>
                    <w:suppressLineNumbers w:val="0"/>
                    <w:wordWrap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吸附剂填充量</w:t>
                  </w:r>
                </w:p>
              </w:tc>
              <w:tc>
                <w:tcPr>
                  <w:tcW w:w="1746" w:type="dxa"/>
                  <w:tcBorders>
                    <w:top w:val="single" w:color="000000" w:sz="4" w:space="0"/>
                    <w:left w:val="single" w:color="000000" w:sz="4" w:space="0"/>
                    <w:bottom w:val="single" w:color="000000" w:sz="4" w:space="0"/>
                    <w:right w:val="single" w:color="000000" w:sz="4" w:space="0"/>
                  </w:tcBorders>
                  <w:noWrap w:val="0"/>
                  <w:vAlign w:val="center"/>
                </w:tcPr>
                <w:p w14:paraId="636AF329">
                  <w:pPr>
                    <w:keepNext w:val="0"/>
                    <w:keepLines w:val="0"/>
                    <w:suppressLineNumbers w:val="0"/>
                    <w:wordWrap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Style w:val="29"/>
                      <w:rFonts w:hint="default" w:ascii="Times New Roman" w:hAnsi="Times New Roman" w:cs="Times New Roman"/>
                      <w:color w:val="auto"/>
                      <w:kern w:val="0"/>
                      <w:sz w:val="21"/>
                      <w:szCs w:val="21"/>
                      <w:lang w:val="en-US" w:eastAsia="zh-CN"/>
                    </w:rPr>
                    <w:t>680</w:t>
                  </w:r>
                  <w:r>
                    <w:rPr>
                      <w:rStyle w:val="29"/>
                      <w:rFonts w:hint="default" w:ascii="Times New Roman" w:hAnsi="Times New Roman" w:eastAsia="宋体" w:cs="Times New Roman"/>
                      <w:color w:val="auto"/>
                      <w:kern w:val="0"/>
                      <w:sz w:val="21"/>
                      <w:szCs w:val="21"/>
                      <w:lang w:val="en-US" w:eastAsia="zh-CN"/>
                    </w:rPr>
                    <w:t>kg</w:t>
                  </w:r>
                </w:p>
              </w:tc>
              <w:tc>
                <w:tcPr>
                  <w:tcW w:w="1727" w:type="dxa"/>
                  <w:tcBorders>
                    <w:top w:val="single" w:color="000000" w:sz="4" w:space="0"/>
                    <w:left w:val="single" w:color="000000" w:sz="4" w:space="0"/>
                    <w:bottom w:val="single" w:color="000000" w:sz="4" w:space="0"/>
                    <w:right w:val="single" w:color="000000" w:sz="4" w:space="0"/>
                  </w:tcBorders>
                  <w:noWrap w:val="0"/>
                  <w:vAlign w:val="center"/>
                </w:tcPr>
                <w:p w14:paraId="39BE70D8">
                  <w:pPr>
                    <w:keepNext w:val="0"/>
                    <w:keepLines w:val="0"/>
                    <w:suppressLineNumbers w:val="0"/>
                    <w:wordWrap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Style w:val="29"/>
                      <w:rFonts w:hint="default" w:ascii="Times New Roman" w:hAnsi="Times New Roman" w:cs="Times New Roman"/>
                      <w:color w:val="auto"/>
                      <w:kern w:val="0"/>
                      <w:sz w:val="21"/>
                      <w:szCs w:val="21"/>
                      <w:lang w:val="en-US" w:eastAsia="zh-CN"/>
                    </w:rPr>
                    <w:t>680</w:t>
                  </w:r>
                  <w:r>
                    <w:rPr>
                      <w:rStyle w:val="29"/>
                      <w:rFonts w:hint="default" w:ascii="Times New Roman" w:hAnsi="Times New Roman" w:eastAsia="宋体" w:cs="Times New Roman"/>
                      <w:color w:val="auto"/>
                      <w:kern w:val="0"/>
                      <w:sz w:val="21"/>
                      <w:szCs w:val="21"/>
                      <w:lang w:val="en-US" w:eastAsia="zh-CN"/>
                    </w:rPr>
                    <w:t>kg</w:t>
                  </w:r>
                </w:p>
              </w:tc>
              <w:tc>
                <w:tcPr>
                  <w:tcW w:w="1609" w:type="dxa"/>
                  <w:tcBorders>
                    <w:top w:val="single" w:color="000000" w:sz="4" w:space="0"/>
                    <w:left w:val="single" w:color="000000" w:sz="4" w:space="0"/>
                    <w:bottom w:val="single" w:color="000000" w:sz="4" w:space="0"/>
                    <w:right w:val="single" w:color="000000" w:sz="4" w:space="0"/>
                  </w:tcBorders>
                  <w:noWrap w:val="0"/>
                  <w:vAlign w:val="center"/>
                </w:tcPr>
                <w:p w14:paraId="1F53442A">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Style w:val="29"/>
                      <w:rFonts w:hint="default" w:ascii="Times New Roman" w:hAnsi="Times New Roman" w:eastAsia="宋体" w:cs="Times New Roman"/>
                      <w:color w:val="auto"/>
                      <w:kern w:val="0"/>
                      <w:sz w:val="21"/>
                      <w:szCs w:val="21"/>
                      <w:lang w:val="en-US" w:eastAsia="zh-CN"/>
                    </w:rPr>
                  </w:pPr>
                  <w:r>
                    <w:rPr>
                      <w:rStyle w:val="29"/>
                      <w:rFonts w:hint="default" w:ascii="Times New Roman" w:hAnsi="Times New Roman" w:cs="Times New Roman"/>
                      <w:color w:val="auto"/>
                      <w:kern w:val="0"/>
                      <w:szCs w:val="20"/>
                      <w:lang w:val="en-US" w:eastAsia="zh-CN"/>
                    </w:rPr>
                    <w:t>1111kg</w:t>
                  </w:r>
                </w:p>
              </w:tc>
              <w:tc>
                <w:tcPr>
                  <w:tcW w:w="1699" w:type="dxa"/>
                  <w:tcBorders>
                    <w:top w:val="single" w:color="000000" w:sz="4" w:space="0"/>
                    <w:left w:val="single" w:color="000000" w:sz="4" w:space="0"/>
                    <w:bottom w:val="single" w:color="000000" w:sz="4" w:space="0"/>
                    <w:right w:val="single" w:color="000000" w:sz="4" w:space="0"/>
                  </w:tcBorders>
                  <w:noWrap w:val="0"/>
                  <w:vAlign w:val="center"/>
                </w:tcPr>
                <w:p w14:paraId="0E7C66B8">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Style w:val="29"/>
                      <w:rFonts w:hint="default" w:ascii="Times New Roman" w:hAnsi="Times New Roman" w:eastAsia="宋体" w:cs="Times New Roman"/>
                      <w:color w:val="auto"/>
                      <w:kern w:val="0"/>
                      <w:sz w:val="21"/>
                      <w:szCs w:val="21"/>
                      <w:lang w:val="en-US" w:eastAsia="zh-CN"/>
                    </w:rPr>
                  </w:pPr>
                  <w:r>
                    <w:rPr>
                      <w:rStyle w:val="29"/>
                      <w:rFonts w:hint="default" w:ascii="Times New Roman" w:hAnsi="Times New Roman" w:cs="Times New Roman"/>
                      <w:color w:val="auto"/>
                      <w:kern w:val="0"/>
                      <w:szCs w:val="20"/>
                      <w:lang w:val="en-US" w:eastAsia="zh-CN"/>
                    </w:rPr>
                    <w:t>1111kg</w:t>
                  </w:r>
                </w:p>
              </w:tc>
            </w:tr>
            <w:tr w14:paraId="09B72079">
              <w:tblPrEx>
                <w:tblCellMar>
                  <w:top w:w="0" w:type="dxa"/>
                  <w:left w:w="108" w:type="dxa"/>
                  <w:bottom w:w="0" w:type="dxa"/>
                  <w:right w:w="108" w:type="dxa"/>
                </w:tblCellMar>
              </w:tblPrEx>
              <w:trPr>
                <w:trHeight w:val="243"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420176D6">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处理效率</w:t>
                  </w:r>
                </w:p>
              </w:tc>
              <w:tc>
                <w:tcPr>
                  <w:tcW w:w="3473" w:type="dxa"/>
                  <w:gridSpan w:val="2"/>
                  <w:tcBorders>
                    <w:top w:val="single" w:color="000000" w:sz="4" w:space="0"/>
                    <w:left w:val="single" w:color="000000" w:sz="4" w:space="0"/>
                    <w:bottom w:val="single" w:color="000000" w:sz="4" w:space="0"/>
                    <w:right w:val="single" w:color="000000" w:sz="4" w:space="0"/>
                  </w:tcBorders>
                  <w:noWrap w:val="0"/>
                  <w:vAlign w:val="center"/>
                </w:tcPr>
                <w:p w14:paraId="297281A7">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75</w:t>
                  </w:r>
                  <w:r>
                    <w:rPr>
                      <w:rFonts w:hint="default" w:ascii="Times New Roman" w:hAnsi="Times New Roman" w:eastAsia="宋体" w:cs="Times New Roman"/>
                      <w:color w:val="auto"/>
                      <w:kern w:val="0"/>
                      <w:sz w:val="21"/>
                      <w:szCs w:val="21"/>
                      <w:lang w:bidi="ar"/>
                    </w:rPr>
                    <w:t>%</w:t>
                  </w:r>
                </w:p>
              </w:tc>
              <w:tc>
                <w:tcPr>
                  <w:tcW w:w="3308" w:type="dxa"/>
                  <w:gridSpan w:val="2"/>
                  <w:tcBorders>
                    <w:top w:val="single" w:color="000000" w:sz="4" w:space="0"/>
                    <w:left w:val="single" w:color="000000" w:sz="4" w:space="0"/>
                    <w:bottom w:val="single" w:color="000000" w:sz="4" w:space="0"/>
                    <w:right w:val="single" w:color="000000" w:sz="4" w:space="0"/>
                  </w:tcBorders>
                  <w:noWrap w:val="0"/>
                  <w:vAlign w:val="center"/>
                </w:tcPr>
                <w:p w14:paraId="23945533">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75</w:t>
                  </w:r>
                  <w:r>
                    <w:rPr>
                      <w:rFonts w:hint="default" w:ascii="Times New Roman" w:hAnsi="Times New Roman" w:eastAsia="宋体" w:cs="Times New Roman"/>
                      <w:color w:val="auto"/>
                      <w:kern w:val="0"/>
                      <w:sz w:val="21"/>
                      <w:szCs w:val="21"/>
                      <w:lang w:bidi="ar"/>
                    </w:rPr>
                    <w:t>%</w:t>
                  </w:r>
                </w:p>
              </w:tc>
            </w:tr>
            <w:tr w14:paraId="3BDFEABF">
              <w:tblPrEx>
                <w:tblCellMar>
                  <w:top w:w="0" w:type="dxa"/>
                  <w:left w:w="108" w:type="dxa"/>
                  <w:bottom w:w="0" w:type="dxa"/>
                  <w:right w:w="108" w:type="dxa"/>
                </w:tblCellMar>
              </w:tblPrEx>
              <w:trPr>
                <w:trHeight w:val="257" w:hRule="atLeast"/>
                <w:jc w:val="center"/>
              </w:trPr>
              <w:tc>
                <w:tcPr>
                  <w:tcW w:w="1757" w:type="dxa"/>
                  <w:tcBorders>
                    <w:top w:val="single" w:color="000000" w:sz="4" w:space="0"/>
                    <w:left w:val="single" w:color="000000" w:sz="4" w:space="0"/>
                    <w:bottom w:val="single" w:color="000000" w:sz="4" w:space="0"/>
                    <w:right w:val="single" w:color="000000" w:sz="4" w:space="0"/>
                  </w:tcBorders>
                  <w:noWrap w:val="0"/>
                  <w:vAlign w:val="center"/>
                </w:tcPr>
                <w:p w14:paraId="66A3B0BB">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更换周期</w:t>
                  </w:r>
                </w:p>
              </w:tc>
              <w:tc>
                <w:tcPr>
                  <w:tcW w:w="3473" w:type="dxa"/>
                  <w:gridSpan w:val="2"/>
                  <w:tcBorders>
                    <w:top w:val="single" w:color="000000" w:sz="4" w:space="0"/>
                    <w:left w:val="single" w:color="000000" w:sz="4" w:space="0"/>
                    <w:bottom w:val="single" w:color="000000" w:sz="4" w:space="0"/>
                    <w:right w:val="single" w:color="000000" w:sz="4" w:space="0"/>
                  </w:tcBorders>
                  <w:noWrap w:val="0"/>
                  <w:vAlign w:val="center"/>
                </w:tcPr>
                <w:p w14:paraId="0543AC8F">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3个月</w:t>
                  </w:r>
                </w:p>
              </w:tc>
              <w:tc>
                <w:tcPr>
                  <w:tcW w:w="3308" w:type="dxa"/>
                  <w:gridSpan w:val="2"/>
                  <w:tcBorders>
                    <w:top w:val="single" w:color="000000" w:sz="4" w:space="0"/>
                    <w:left w:val="single" w:color="000000" w:sz="4" w:space="0"/>
                    <w:bottom w:val="single" w:color="000000" w:sz="4" w:space="0"/>
                    <w:right w:val="single" w:color="000000" w:sz="4" w:space="0"/>
                  </w:tcBorders>
                  <w:noWrap w:val="0"/>
                  <w:vAlign w:val="center"/>
                </w:tcPr>
                <w:p w14:paraId="1DFD7ECF">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3个月</w:t>
                  </w:r>
                </w:p>
              </w:tc>
            </w:tr>
          </w:tbl>
          <w:p w14:paraId="759E901A">
            <w:pPr>
              <w:ind w:firstLine="480" w:firstLineChars="200"/>
              <w:rPr>
                <w:rFonts w:hint="default" w:ascii="Times New Roman" w:hAnsi="Times New Roman" w:cs="Times New Roman"/>
                <w:color w:val="auto"/>
              </w:rPr>
            </w:pPr>
            <w:r>
              <w:rPr>
                <w:rFonts w:hint="default" w:ascii="Times New Roman" w:hAnsi="Times New Roman" w:cs="Times New Roman"/>
                <w:color w:val="auto"/>
              </w:rPr>
              <w:t>根据《吸附法工业有机废气治理工程技术规范》(HJ 2026-2013)，项目活性炭吸附装置使用的吸附剂为蜂窝状活性炭，吸附时气体流速为</w:t>
            </w:r>
            <w:r>
              <w:rPr>
                <w:rFonts w:hint="default" w:ascii="Times New Roman" w:hAnsi="Times New Roman" w:cs="Times New Roman"/>
                <w:color w:val="auto"/>
                <w:lang w:val="en-US" w:eastAsia="zh-CN"/>
              </w:rPr>
              <w:t>0.94</w:t>
            </w:r>
            <w:r>
              <w:rPr>
                <w:rFonts w:hint="default" w:ascii="Times New Roman" w:hAnsi="Times New Roman" w:cs="Times New Roman"/>
                <w:color w:val="auto"/>
              </w:rPr>
              <w:t>m/s</w:t>
            </w:r>
            <w:r>
              <w:rPr>
                <w:rFonts w:hint="default" w:ascii="Times New Roman" w:hAnsi="Times New Roman" w:cs="Times New Roman"/>
                <w:color w:val="auto"/>
                <w:lang w:val="en-US" w:eastAsia="zh-CN"/>
              </w:rPr>
              <w:t>及1.13m/s</w:t>
            </w:r>
            <w:r>
              <w:rPr>
                <w:rFonts w:hint="default" w:ascii="Times New Roman" w:hAnsi="Times New Roman" w:cs="Times New Roman"/>
                <w:color w:val="auto"/>
              </w:rPr>
              <w:t>，符合“采用蜂窝状吸附剂时气体流速宜低于1.20m/s”的要求。考虑烤箱挥发的有机废气温度较高，在</w:t>
            </w:r>
            <w:r>
              <w:rPr>
                <w:rFonts w:hint="default" w:ascii="Times New Roman" w:hAnsi="Times New Roman" w:cs="Times New Roman"/>
                <w:color w:val="auto"/>
                <w:lang w:eastAsia="zh-CN"/>
              </w:rPr>
              <w:t>二级活性炭</w:t>
            </w:r>
            <w:r>
              <w:rPr>
                <w:rFonts w:hint="default" w:ascii="Times New Roman" w:hAnsi="Times New Roman" w:cs="Times New Roman"/>
                <w:color w:val="auto"/>
              </w:rPr>
              <w:t>吸附装置前设有水喷淋塔对废气进行降温至40°C以下，符合“废气温度宜低于40°C”的要求。</w:t>
            </w:r>
          </w:p>
          <w:p w14:paraId="2E21D2CA">
            <w:pPr>
              <w:pStyle w:val="30"/>
              <w:rPr>
                <w:rFonts w:hint="default" w:ascii="Times New Roman" w:hAnsi="Times New Roman" w:cs="Times New Roman"/>
                <w:color w:val="auto"/>
              </w:rPr>
            </w:pPr>
            <w:r>
              <w:rPr>
                <w:rFonts w:hint="default" w:ascii="Times New Roman" w:hAnsi="Times New Roman" w:cs="Times New Roman"/>
                <w:color w:val="auto"/>
              </w:rPr>
              <w:t>综上所述，项目废气处理设施具有技术可行性。</w:t>
            </w:r>
          </w:p>
          <w:p w14:paraId="3D504F82">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（6）监测要求</w:t>
            </w:r>
          </w:p>
          <w:p w14:paraId="369B4EBF">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项目从事</w:t>
            </w:r>
            <w:r>
              <w:rPr>
                <w:rFonts w:hint="default" w:ascii="Times New Roman" w:hAnsi="Times New Roman" w:cs="Times New Roman"/>
                <w:color w:val="auto"/>
                <w:lang w:val="en-US" w:eastAsia="zh-CN"/>
              </w:rPr>
              <w:t>硅胶制品</w:t>
            </w:r>
            <w:r>
              <w:rPr>
                <w:rFonts w:hint="default" w:ascii="Times New Roman" w:hAnsi="Times New Roman" w:cs="Times New Roman"/>
                <w:color w:val="auto"/>
              </w:rPr>
              <w:t>的生产，属于</w:t>
            </w:r>
            <w:r>
              <w:rPr>
                <w:rFonts w:hint="default" w:ascii="Times New Roman" w:hAnsi="Times New Roman" w:cs="Times New Roman"/>
                <w:color w:val="auto"/>
                <w:szCs w:val="22"/>
              </w:rPr>
              <w:t>C</w:t>
            </w:r>
            <w:r>
              <w:rPr>
                <w:rFonts w:hint="default" w:ascii="Times New Roman" w:hAnsi="Times New Roman" w:cs="Times New Roman"/>
                <w:color w:val="auto"/>
                <w:szCs w:val="22"/>
                <w:lang w:val="en-US" w:eastAsia="zh-CN"/>
              </w:rPr>
              <w:t>2919其他橡胶制品制造</w:t>
            </w:r>
            <w:r>
              <w:rPr>
                <w:rFonts w:hint="default" w:ascii="Times New Roman" w:hAnsi="Times New Roman" w:cs="Times New Roman"/>
                <w:color w:val="auto"/>
              </w:rPr>
              <w:t>，</w:t>
            </w:r>
            <w:r>
              <w:rPr>
                <w:rFonts w:hint="default" w:ascii="Times New Roman" w:hAnsi="Times New Roman" w:cs="Times New Roman"/>
                <w:color w:val="auto"/>
                <w:szCs w:val="22"/>
                <w:lang w:val="en-US" w:eastAsia="zh-CN"/>
              </w:rPr>
              <w:t>项目以</w:t>
            </w:r>
            <w:r>
              <w:rPr>
                <w:rFonts w:hint="default" w:ascii="Times New Roman" w:hAnsi="Times New Roman" w:cs="Times New Roman"/>
                <w:color w:val="auto"/>
                <w:szCs w:val="22"/>
              </w:rPr>
              <w:t xml:space="preserve">《排污单位自行监测技术指南 </w:t>
            </w:r>
            <w:r>
              <w:rPr>
                <w:rFonts w:hint="default" w:ascii="Times New Roman" w:hAnsi="Times New Roman" w:cs="Times New Roman"/>
                <w:color w:val="auto"/>
                <w:szCs w:val="22"/>
                <w:lang w:val="en-US" w:eastAsia="zh-CN"/>
              </w:rPr>
              <w:t>橡胶和塑料制品</w:t>
            </w:r>
            <w:r>
              <w:rPr>
                <w:rFonts w:hint="default" w:ascii="Times New Roman" w:hAnsi="Times New Roman" w:cs="Times New Roman"/>
                <w:color w:val="auto"/>
                <w:szCs w:val="22"/>
              </w:rPr>
              <w:t xml:space="preserve">》（HJ </w:t>
            </w:r>
            <w:r>
              <w:rPr>
                <w:rFonts w:hint="default" w:ascii="Times New Roman" w:hAnsi="Times New Roman" w:cs="Times New Roman"/>
                <w:color w:val="auto"/>
                <w:szCs w:val="22"/>
                <w:lang w:val="en-US" w:eastAsia="zh-CN"/>
              </w:rPr>
              <w:t>1207-2021</w:t>
            </w:r>
            <w:r>
              <w:rPr>
                <w:rFonts w:hint="default" w:ascii="Times New Roman" w:hAnsi="Times New Roman" w:cs="Times New Roman"/>
                <w:color w:val="auto"/>
                <w:szCs w:val="22"/>
              </w:rPr>
              <w:t>）</w:t>
            </w:r>
            <w:r>
              <w:rPr>
                <w:rFonts w:hint="default" w:ascii="Times New Roman" w:hAnsi="Times New Roman" w:cs="Times New Roman"/>
                <w:color w:val="auto"/>
                <w:szCs w:val="22"/>
                <w:lang w:val="en-US" w:eastAsia="zh-CN"/>
              </w:rPr>
              <w:t>其他橡胶制品制造行业的监测要求</w:t>
            </w:r>
            <w:r>
              <w:rPr>
                <w:rFonts w:hint="default" w:ascii="Times New Roman" w:hAnsi="Times New Roman" w:cs="Times New Roman"/>
                <w:color w:val="auto"/>
              </w:rPr>
              <w:t>作为依照，制定以下监测计划。</w:t>
            </w:r>
          </w:p>
          <w:p w14:paraId="10598B5C">
            <w:pPr>
              <w:wordWrap/>
              <w:spacing w:line="240" w:lineRule="auto"/>
              <w:jc w:val="center"/>
              <w:rPr>
                <w:rFonts w:hint="default" w:ascii="Times New Roman" w:hAnsi="Times New Roman" w:cs="Times New Roman"/>
                <w:b/>
                <w:color w:val="auto"/>
              </w:rPr>
            </w:pPr>
            <w:r>
              <w:rPr>
                <w:rFonts w:hint="default" w:ascii="Times New Roman" w:hAnsi="Times New Roman" w:cs="Times New Roman"/>
                <w:b/>
                <w:color w:val="auto"/>
                <w:kern w:val="0"/>
                <w:lang w:bidi="ar"/>
              </w:rPr>
              <w:t>表4</w:t>
            </w:r>
            <w:r>
              <w:rPr>
                <w:rFonts w:hint="default" w:ascii="Times New Roman" w:hAnsi="Times New Roman" w:cs="Times New Roman"/>
                <w:b/>
                <w:color w:val="auto"/>
                <w:kern w:val="0"/>
                <w:lang w:val="en-US" w:eastAsia="zh-CN" w:bidi="ar"/>
              </w:rPr>
              <w:t>-12</w:t>
            </w:r>
            <w:r>
              <w:rPr>
                <w:rFonts w:hint="default" w:ascii="Times New Roman" w:hAnsi="Times New Roman" w:cs="Times New Roman"/>
                <w:b/>
                <w:color w:val="auto"/>
                <w:kern w:val="0"/>
                <w:lang w:bidi="ar"/>
              </w:rPr>
              <w:t xml:space="preserve"> 污染源监测计划表</w:t>
            </w:r>
          </w:p>
          <w:tbl>
            <w:tblPr>
              <w:tblStyle w:val="22"/>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912"/>
              <w:gridCol w:w="930"/>
              <w:gridCol w:w="1050"/>
              <w:gridCol w:w="1020"/>
              <w:gridCol w:w="3562"/>
            </w:tblGrid>
            <w:tr w14:paraId="25637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blHeader/>
                <w:jc w:val="center"/>
              </w:trPr>
              <w:tc>
                <w:tcPr>
                  <w:tcW w:w="903" w:type="dxa"/>
                  <w:tcBorders>
                    <w:top w:val="single" w:color="auto" w:sz="4" w:space="0"/>
                    <w:left w:val="single" w:color="auto" w:sz="4" w:space="0"/>
                    <w:bottom w:val="single" w:color="auto" w:sz="4" w:space="0"/>
                    <w:right w:val="single" w:color="auto" w:sz="4" w:space="0"/>
                  </w:tcBorders>
                  <w:vAlign w:val="center"/>
                </w:tcPr>
                <w:p w14:paraId="7751CEE7">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监测要素</w:t>
                  </w:r>
                </w:p>
              </w:tc>
              <w:tc>
                <w:tcPr>
                  <w:tcW w:w="912" w:type="dxa"/>
                  <w:tcBorders>
                    <w:top w:val="single" w:color="auto" w:sz="4" w:space="0"/>
                    <w:left w:val="single" w:color="auto" w:sz="4" w:space="0"/>
                    <w:bottom w:val="single" w:color="auto" w:sz="4" w:space="0"/>
                    <w:right w:val="single" w:color="auto" w:sz="4" w:space="0"/>
                  </w:tcBorders>
                  <w:vAlign w:val="center"/>
                </w:tcPr>
                <w:p w14:paraId="17FE6C6C">
                  <w:pPr>
                    <w:wordWrap/>
                    <w:spacing w:line="240" w:lineRule="auto"/>
                    <w:ind w:left="-120" w:leftChars="-50" w:right="-120" w:rightChars="-50"/>
                    <w:jc w:val="center"/>
                    <w:rPr>
                      <w:rFonts w:hint="default" w:ascii="Times New Roman" w:hAnsi="Times New Roman" w:cs="Times New Roman"/>
                      <w:b/>
                      <w:color w:val="auto"/>
                      <w:kern w:val="0"/>
                      <w:sz w:val="21"/>
                      <w:szCs w:val="21"/>
                      <w:lang w:bidi="ar"/>
                    </w:rPr>
                  </w:pPr>
                  <w:r>
                    <w:rPr>
                      <w:rFonts w:hint="default" w:ascii="Times New Roman" w:hAnsi="Times New Roman" w:cs="Times New Roman"/>
                      <w:b/>
                      <w:color w:val="auto"/>
                      <w:kern w:val="0"/>
                      <w:sz w:val="21"/>
                      <w:szCs w:val="21"/>
                      <w:lang w:bidi="ar"/>
                    </w:rPr>
                    <w:t>污染源</w:t>
                  </w:r>
                </w:p>
              </w:tc>
              <w:tc>
                <w:tcPr>
                  <w:tcW w:w="930" w:type="dxa"/>
                  <w:tcBorders>
                    <w:top w:val="single" w:color="auto" w:sz="4" w:space="0"/>
                    <w:left w:val="single" w:color="auto" w:sz="4" w:space="0"/>
                    <w:bottom w:val="single" w:color="auto" w:sz="4" w:space="0"/>
                    <w:right w:val="single" w:color="auto" w:sz="4" w:space="0"/>
                  </w:tcBorders>
                  <w:vAlign w:val="center"/>
                </w:tcPr>
                <w:p w14:paraId="004D72B0">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监测点位</w:t>
                  </w:r>
                </w:p>
              </w:tc>
              <w:tc>
                <w:tcPr>
                  <w:tcW w:w="1050" w:type="dxa"/>
                  <w:tcBorders>
                    <w:top w:val="single" w:color="auto" w:sz="4" w:space="0"/>
                    <w:left w:val="single" w:color="auto" w:sz="4" w:space="0"/>
                    <w:bottom w:val="single" w:color="auto" w:sz="4" w:space="0"/>
                    <w:right w:val="single" w:color="auto" w:sz="4" w:space="0"/>
                  </w:tcBorders>
                  <w:vAlign w:val="center"/>
                </w:tcPr>
                <w:p w14:paraId="0E40B261">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监测指标</w:t>
                  </w:r>
                </w:p>
              </w:tc>
              <w:tc>
                <w:tcPr>
                  <w:tcW w:w="1020" w:type="dxa"/>
                  <w:tcBorders>
                    <w:top w:val="single" w:color="auto" w:sz="4" w:space="0"/>
                    <w:left w:val="single" w:color="auto" w:sz="4" w:space="0"/>
                    <w:bottom w:val="single" w:color="auto" w:sz="4" w:space="0"/>
                    <w:right w:val="single" w:color="auto" w:sz="4" w:space="0"/>
                  </w:tcBorders>
                  <w:vAlign w:val="center"/>
                </w:tcPr>
                <w:p w14:paraId="04F3874F">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监测频率</w:t>
                  </w:r>
                </w:p>
              </w:tc>
              <w:tc>
                <w:tcPr>
                  <w:tcW w:w="3562" w:type="dxa"/>
                  <w:tcBorders>
                    <w:top w:val="single" w:color="auto" w:sz="4" w:space="0"/>
                    <w:left w:val="single" w:color="auto" w:sz="4" w:space="0"/>
                    <w:bottom w:val="single" w:color="auto" w:sz="4" w:space="0"/>
                    <w:right w:val="single" w:color="auto" w:sz="4" w:space="0"/>
                  </w:tcBorders>
                  <w:vAlign w:val="center"/>
                </w:tcPr>
                <w:p w14:paraId="22E2E3A0">
                  <w:pPr>
                    <w:wordWrap/>
                    <w:spacing w:line="240" w:lineRule="auto"/>
                    <w:ind w:left="-120" w:leftChars="-50" w:right="-120" w:rightChars="-50"/>
                    <w:jc w:val="center"/>
                    <w:rPr>
                      <w:rFonts w:hint="default" w:ascii="Times New Roman" w:hAnsi="Times New Roman" w:cs="Times New Roman"/>
                      <w:b/>
                      <w:color w:val="auto"/>
                      <w:kern w:val="0"/>
                      <w:sz w:val="21"/>
                      <w:szCs w:val="21"/>
                      <w:lang w:bidi="ar"/>
                    </w:rPr>
                  </w:pPr>
                  <w:r>
                    <w:rPr>
                      <w:rFonts w:hint="default" w:ascii="Times New Roman" w:hAnsi="Times New Roman" w:cs="Times New Roman"/>
                      <w:b/>
                      <w:color w:val="auto"/>
                      <w:kern w:val="0"/>
                      <w:sz w:val="21"/>
                      <w:szCs w:val="21"/>
                      <w:lang w:bidi="ar"/>
                    </w:rPr>
                    <w:t>执行排放标准</w:t>
                  </w:r>
                </w:p>
              </w:tc>
            </w:tr>
            <w:tr w14:paraId="4BB7A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restart"/>
                  <w:tcBorders>
                    <w:left w:val="single" w:color="auto" w:sz="4" w:space="0"/>
                    <w:right w:val="single" w:color="auto" w:sz="4" w:space="0"/>
                  </w:tcBorders>
                  <w:vAlign w:val="center"/>
                </w:tcPr>
                <w:p w14:paraId="5F2D5DCC">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912" w:type="dxa"/>
                  <w:vMerge w:val="restart"/>
                  <w:tcBorders>
                    <w:left w:val="single" w:color="auto" w:sz="4" w:space="0"/>
                    <w:right w:val="single" w:color="auto" w:sz="4" w:space="0"/>
                  </w:tcBorders>
                  <w:vAlign w:val="center"/>
                </w:tcPr>
                <w:p w14:paraId="10298286">
                  <w:pPr>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调漆、喷漆、烘烤、密炼、硫化、移印</w:t>
                  </w:r>
                </w:p>
              </w:tc>
              <w:tc>
                <w:tcPr>
                  <w:tcW w:w="930" w:type="dxa"/>
                  <w:vMerge w:val="restart"/>
                  <w:tcBorders>
                    <w:left w:val="single" w:color="auto" w:sz="4" w:space="0"/>
                    <w:right w:val="single" w:color="auto" w:sz="4" w:space="0"/>
                  </w:tcBorders>
                  <w:vAlign w:val="center"/>
                </w:tcPr>
                <w:p w14:paraId="2F06F512">
                  <w:pPr>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排气筒DA001</w:t>
                  </w:r>
                </w:p>
              </w:tc>
              <w:tc>
                <w:tcPr>
                  <w:tcW w:w="1050" w:type="dxa"/>
                  <w:tcBorders>
                    <w:left w:val="single" w:color="auto" w:sz="4" w:space="0"/>
                    <w:right w:val="single" w:color="auto" w:sz="4" w:space="0"/>
                  </w:tcBorders>
                  <w:vAlign w:val="center"/>
                </w:tcPr>
                <w:p w14:paraId="7AB5AE24">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颗粒物</w:t>
                  </w:r>
                </w:p>
              </w:tc>
              <w:tc>
                <w:tcPr>
                  <w:tcW w:w="1020" w:type="dxa"/>
                  <w:vMerge w:val="restart"/>
                  <w:tcBorders>
                    <w:left w:val="single" w:color="auto" w:sz="4" w:space="0"/>
                    <w:right w:val="single" w:color="auto" w:sz="4" w:space="0"/>
                  </w:tcBorders>
                  <w:vAlign w:val="center"/>
                </w:tcPr>
                <w:p w14:paraId="54DDE781">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1次/年</w:t>
                  </w:r>
                </w:p>
              </w:tc>
              <w:tc>
                <w:tcPr>
                  <w:tcW w:w="3562" w:type="dxa"/>
                  <w:tcBorders>
                    <w:left w:val="single" w:color="auto" w:sz="4" w:space="0"/>
                    <w:right w:val="single" w:color="auto" w:sz="4" w:space="0"/>
                  </w:tcBorders>
                  <w:vAlign w:val="center"/>
                </w:tcPr>
                <w:p w14:paraId="0D2008BA">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color w:val="auto"/>
                      <w:sz w:val="21"/>
                      <w:szCs w:val="21"/>
                    </w:rPr>
                    <w:t>广东省地方标准《大气污染物排放限值》（DB44/27-2001）第二时段二级标准</w:t>
                  </w:r>
                </w:p>
              </w:tc>
            </w:tr>
            <w:tr w14:paraId="0CB51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3A556C2C">
                  <w:pPr>
                    <w:wordWrap/>
                    <w:spacing w:line="240" w:lineRule="auto"/>
                    <w:jc w:val="center"/>
                    <w:rPr>
                      <w:rFonts w:hint="default" w:ascii="Times New Roman" w:hAnsi="Times New Roman" w:cs="Times New Roman"/>
                      <w:color w:val="auto"/>
                      <w:sz w:val="21"/>
                      <w:szCs w:val="21"/>
                    </w:rPr>
                  </w:pPr>
                </w:p>
              </w:tc>
              <w:tc>
                <w:tcPr>
                  <w:tcW w:w="912" w:type="dxa"/>
                  <w:vMerge w:val="continue"/>
                  <w:tcBorders>
                    <w:left w:val="single" w:color="auto" w:sz="4" w:space="0"/>
                    <w:right w:val="single" w:color="auto" w:sz="4" w:space="0"/>
                  </w:tcBorders>
                  <w:vAlign w:val="center"/>
                </w:tcPr>
                <w:p w14:paraId="5AC2A6D9">
                  <w:pPr>
                    <w:spacing w:line="240" w:lineRule="auto"/>
                    <w:jc w:val="center"/>
                    <w:rPr>
                      <w:rFonts w:hint="default" w:ascii="Times New Roman" w:hAnsi="Times New Roman" w:cs="Times New Roman"/>
                      <w:color w:val="auto"/>
                      <w:kern w:val="0"/>
                      <w:sz w:val="21"/>
                      <w:szCs w:val="21"/>
                    </w:rPr>
                  </w:pPr>
                </w:p>
              </w:tc>
              <w:tc>
                <w:tcPr>
                  <w:tcW w:w="930" w:type="dxa"/>
                  <w:vMerge w:val="continue"/>
                  <w:tcBorders>
                    <w:left w:val="single" w:color="auto" w:sz="4" w:space="0"/>
                    <w:right w:val="single" w:color="auto" w:sz="4" w:space="0"/>
                  </w:tcBorders>
                  <w:vAlign w:val="center"/>
                </w:tcPr>
                <w:p w14:paraId="4816196B">
                  <w:pPr>
                    <w:spacing w:line="240" w:lineRule="auto"/>
                    <w:jc w:val="center"/>
                    <w:rPr>
                      <w:rFonts w:hint="default" w:ascii="Times New Roman" w:hAnsi="Times New Roman" w:eastAsia="宋体" w:cs="Times New Roman"/>
                      <w:color w:val="auto"/>
                      <w:kern w:val="0"/>
                      <w:sz w:val="21"/>
                      <w:szCs w:val="21"/>
                      <w:lang w:val="en-US" w:eastAsia="zh-CN"/>
                    </w:rPr>
                  </w:pPr>
                </w:p>
              </w:tc>
              <w:tc>
                <w:tcPr>
                  <w:tcW w:w="1050" w:type="dxa"/>
                  <w:tcBorders>
                    <w:left w:val="single" w:color="auto" w:sz="4" w:space="0"/>
                    <w:right w:val="single" w:color="auto" w:sz="4" w:space="0"/>
                  </w:tcBorders>
                  <w:vAlign w:val="center"/>
                </w:tcPr>
                <w:p w14:paraId="77126079">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0"/>
                      <w:kern w:val="2"/>
                      <w:sz w:val="21"/>
                      <w:szCs w:val="21"/>
                      <w:lang w:val="en-US" w:eastAsia="zh-CN" w:bidi="ar-SA"/>
                    </w:rPr>
                    <w:t>总VOCs</w:t>
                  </w:r>
                </w:p>
              </w:tc>
              <w:tc>
                <w:tcPr>
                  <w:tcW w:w="1020" w:type="dxa"/>
                  <w:vMerge w:val="continue"/>
                  <w:tcBorders>
                    <w:left w:val="single" w:color="auto" w:sz="4" w:space="0"/>
                    <w:right w:val="single" w:color="auto" w:sz="4" w:space="0"/>
                  </w:tcBorders>
                  <w:vAlign w:val="center"/>
                </w:tcPr>
                <w:p w14:paraId="3E3C0FF7">
                  <w:pPr>
                    <w:spacing w:line="240" w:lineRule="auto"/>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1D3344B4">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pacing w:val="0"/>
                      <w:sz w:val="21"/>
                      <w:szCs w:val="21"/>
                      <w:lang w:val="en-US" w:eastAsia="zh-CN"/>
                    </w:rPr>
                    <w:t>广东省《印刷行业挥发性有机化合物排放标准》（DB44/815-2010）表2第II时段标准限值要求</w:t>
                  </w:r>
                </w:p>
              </w:tc>
            </w:tr>
            <w:tr w14:paraId="53483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5278C072">
                  <w:pPr>
                    <w:wordWrap/>
                    <w:spacing w:line="240" w:lineRule="auto"/>
                    <w:jc w:val="center"/>
                    <w:rPr>
                      <w:rFonts w:hint="default" w:ascii="Times New Roman" w:hAnsi="Times New Roman" w:cs="Times New Roman"/>
                      <w:color w:val="auto"/>
                      <w:sz w:val="21"/>
                      <w:szCs w:val="21"/>
                    </w:rPr>
                  </w:pPr>
                </w:p>
              </w:tc>
              <w:tc>
                <w:tcPr>
                  <w:tcW w:w="912" w:type="dxa"/>
                  <w:vMerge w:val="continue"/>
                  <w:tcBorders>
                    <w:left w:val="single" w:color="auto" w:sz="4" w:space="0"/>
                    <w:right w:val="single" w:color="auto" w:sz="4" w:space="0"/>
                  </w:tcBorders>
                  <w:vAlign w:val="center"/>
                </w:tcPr>
                <w:p w14:paraId="75D42F1D">
                  <w:pPr>
                    <w:spacing w:line="240" w:lineRule="auto"/>
                    <w:jc w:val="center"/>
                    <w:rPr>
                      <w:rFonts w:hint="default" w:ascii="Times New Roman" w:hAnsi="Times New Roman" w:cs="Times New Roman"/>
                      <w:color w:val="auto"/>
                      <w:kern w:val="0"/>
                      <w:sz w:val="21"/>
                      <w:szCs w:val="21"/>
                    </w:rPr>
                  </w:pPr>
                </w:p>
              </w:tc>
              <w:tc>
                <w:tcPr>
                  <w:tcW w:w="930" w:type="dxa"/>
                  <w:vMerge w:val="continue"/>
                  <w:tcBorders>
                    <w:left w:val="single" w:color="auto" w:sz="4" w:space="0"/>
                    <w:right w:val="single" w:color="auto" w:sz="4" w:space="0"/>
                  </w:tcBorders>
                  <w:vAlign w:val="center"/>
                </w:tcPr>
                <w:p w14:paraId="7CA93210">
                  <w:pPr>
                    <w:spacing w:line="240" w:lineRule="auto"/>
                    <w:jc w:val="center"/>
                    <w:rPr>
                      <w:rFonts w:hint="default" w:ascii="Times New Roman" w:hAnsi="Times New Roman" w:eastAsia="宋体" w:cs="Times New Roman"/>
                      <w:color w:val="auto"/>
                      <w:kern w:val="0"/>
                      <w:sz w:val="21"/>
                      <w:szCs w:val="21"/>
                      <w:lang w:val="en-US" w:eastAsia="zh-CN"/>
                    </w:rPr>
                  </w:pPr>
                </w:p>
              </w:tc>
              <w:tc>
                <w:tcPr>
                  <w:tcW w:w="1050" w:type="dxa"/>
                  <w:tcBorders>
                    <w:left w:val="single" w:color="auto" w:sz="4" w:space="0"/>
                    <w:right w:val="single" w:color="auto" w:sz="4" w:space="0"/>
                  </w:tcBorders>
                  <w:vAlign w:val="center"/>
                </w:tcPr>
                <w:p w14:paraId="36CF33D9">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0"/>
                      <w:kern w:val="2"/>
                      <w:sz w:val="21"/>
                      <w:szCs w:val="21"/>
                      <w:lang w:val="en-US" w:eastAsia="zh-CN" w:bidi="ar-SA"/>
                    </w:rPr>
                    <w:t>非甲烷总烃</w:t>
                  </w:r>
                </w:p>
              </w:tc>
              <w:tc>
                <w:tcPr>
                  <w:tcW w:w="1020" w:type="dxa"/>
                  <w:vMerge w:val="continue"/>
                  <w:tcBorders>
                    <w:left w:val="single" w:color="auto" w:sz="4" w:space="0"/>
                    <w:right w:val="single" w:color="auto" w:sz="4" w:space="0"/>
                  </w:tcBorders>
                  <w:vAlign w:val="center"/>
                </w:tcPr>
                <w:p w14:paraId="6C749C68">
                  <w:pPr>
                    <w:spacing w:line="240" w:lineRule="auto"/>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33D383F0">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广东省《固定污染源挥发性有机物综合排放标准》（DB44/2367-2022）表1 NMHC最高允许浓度限值、《橡胶制品工业污染物排放标准》（GB27632-2011）表5中新建企业大气污染物排放限值及《印刷工业大气污染物排放标准》（GB 41616—2022）表1排放限值要求的三者较严值</w:t>
                  </w:r>
                </w:p>
              </w:tc>
            </w:tr>
            <w:tr w14:paraId="3AE15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76F77B5A">
                  <w:pPr>
                    <w:wordWrap/>
                    <w:spacing w:line="240" w:lineRule="auto"/>
                    <w:jc w:val="center"/>
                    <w:rPr>
                      <w:rFonts w:hint="default" w:ascii="Times New Roman" w:hAnsi="Times New Roman" w:cs="Times New Roman"/>
                      <w:color w:val="auto"/>
                      <w:sz w:val="21"/>
                      <w:szCs w:val="21"/>
                    </w:rPr>
                  </w:pPr>
                </w:p>
              </w:tc>
              <w:tc>
                <w:tcPr>
                  <w:tcW w:w="912" w:type="dxa"/>
                  <w:vMerge w:val="continue"/>
                  <w:tcBorders>
                    <w:left w:val="single" w:color="auto" w:sz="4" w:space="0"/>
                    <w:right w:val="single" w:color="auto" w:sz="4" w:space="0"/>
                  </w:tcBorders>
                  <w:vAlign w:val="center"/>
                </w:tcPr>
                <w:p w14:paraId="68952A3C">
                  <w:pPr>
                    <w:spacing w:line="240" w:lineRule="auto"/>
                    <w:jc w:val="center"/>
                    <w:rPr>
                      <w:rFonts w:hint="default" w:ascii="Times New Roman" w:hAnsi="Times New Roman" w:cs="Times New Roman"/>
                      <w:color w:val="auto"/>
                      <w:kern w:val="0"/>
                      <w:sz w:val="21"/>
                      <w:szCs w:val="21"/>
                    </w:rPr>
                  </w:pPr>
                </w:p>
              </w:tc>
              <w:tc>
                <w:tcPr>
                  <w:tcW w:w="930" w:type="dxa"/>
                  <w:vMerge w:val="continue"/>
                  <w:tcBorders>
                    <w:left w:val="single" w:color="auto" w:sz="4" w:space="0"/>
                    <w:right w:val="single" w:color="auto" w:sz="4" w:space="0"/>
                  </w:tcBorders>
                  <w:vAlign w:val="center"/>
                </w:tcPr>
                <w:p w14:paraId="66E1B40A">
                  <w:pPr>
                    <w:spacing w:line="240" w:lineRule="auto"/>
                    <w:jc w:val="center"/>
                    <w:rPr>
                      <w:rFonts w:hint="default" w:ascii="Times New Roman" w:hAnsi="Times New Roman" w:eastAsia="宋体" w:cs="Times New Roman"/>
                      <w:color w:val="auto"/>
                      <w:kern w:val="0"/>
                      <w:sz w:val="21"/>
                      <w:szCs w:val="21"/>
                      <w:lang w:val="en-US" w:eastAsia="zh-CN"/>
                    </w:rPr>
                  </w:pPr>
                </w:p>
              </w:tc>
              <w:tc>
                <w:tcPr>
                  <w:tcW w:w="1050" w:type="dxa"/>
                  <w:tcBorders>
                    <w:left w:val="single" w:color="auto" w:sz="4" w:space="0"/>
                    <w:right w:val="single" w:color="auto" w:sz="4" w:space="0"/>
                  </w:tcBorders>
                  <w:vAlign w:val="center"/>
                </w:tcPr>
                <w:p w14:paraId="6219F457">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pacing w:val="0"/>
                      <w:kern w:val="2"/>
                      <w:sz w:val="21"/>
                      <w:szCs w:val="21"/>
                      <w:lang w:val="en-US" w:eastAsia="zh-CN" w:bidi="ar-SA"/>
                    </w:rPr>
                    <w:t>TVOC</w:t>
                  </w:r>
                </w:p>
              </w:tc>
              <w:tc>
                <w:tcPr>
                  <w:tcW w:w="1020" w:type="dxa"/>
                  <w:vMerge w:val="continue"/>
                  <w:tcBorders>
                    <w:left w:val="single" w:color="auto" w:sz="4" w:space="0"/>
                    <w:right w:val="single" w:color="auto" w:sz="4" w:space="0"/>
                  </w:tcBorders>
                  <w:vAlign w:val="center"/>
                </w:tcPr>
                <w:p w14:paraId="7EF88375">
                  <w:pPr>
                    <w:spacing w:line="240" w:lineRule="auto"/>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1704119A">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kern w:val="21"/>
                      <w:sz w:val="21"/>
                      <w:szCs w:val="21"/>
                    </w:rPr>
                  </w:pPr>
                  <w:r>
                    <w:rPr>
                      <w:rFonts w:hint="default" w:ascii="Times New Roman" w:hAnsi="Times New Roman" w:eastAsia="宋体" w:cs="Times New Roman"/>
                      <w:color w:val="auto"/>
                      <w:spacing w:val="0"/>
                      <w:kern w:val="2"/>
                      <w:sz w:val="21"/>
                      <w:szCs w:val="21"/>
                      <w:lang w:val="en-US" w:eastAsia="zh-CN" w:bidi="ar-SA"/>
                    </w:rPr>
                    <w:t>广东省《固定污染源挥发性有机物综合排放标准》（DB44/2367-2022）表1 TVOC最高允许浓度限值</w:t>
                  </w:r>
                </w:p>
              </w:tc>
            </w:tr>
            <w:tr w14:paraId="6A706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3B60FA59">
                  <w:pPr>
                    <w:wordWrap/>
                    <w:spacing w:line="240" w:lineRule="auto"/>
                    <w:jc w:val="center"/>
                    <w:rPr>
                      <w:rFonts w:hint="default" w:ascii="Times New Roman" w:hAnsi="Times New Roman" w:cs="Times New Roman"/>
                      <w:color w:val="auto"/>
                      <w:sz w:val="21"/>
                      <w:szCs w:val="21"/>
                    </w:rPr>
                  </w:pPr>
                </w:p>
              </w:tc>
              <w:tc>
                <w:tcPr>
                  <w:tcW w:w="912" w:type="dxa"/>
                  <w:vMerge w:val="continue"/>
                  <w:tcBorders>
                    <w:left w:val="single" w:color="auto" w:sz="4" w:space="0"/>
                    <w:right w:val="single" w:color="auto" w:sz="4" w:space="0"/>
                  </w:tcBorders>
                  <w:vAlign w:val="center"/>
                </w:tcPr>
                <w:p w14:paraId="226C4DBC">
                  <w:pPr>
                    <w:spacing w:line="240" w:lineRule="auto"/>
                    <w:jc w:val="center"/>
                    <w:rPr>
                      <w:rFonts w:hint="default" w:ascii="Times New Roman" w:hAnsi="Times New Roman" w:cs="Times New Roman"/>
                      <w:color w:val="auto"/>
                      <w:kern w:val="0"/>
                      <w:sz w:val="21"/>
                      <w:szCs w:val="21"/>
                    </w:rPr>
                  </w:pPr>
                </w:p>
              </w:tc>
              <w:tc>
                <w:tcPr>
                  <w:tcW w:w="930" w:type="dxa"/>
                  <w:vMerge w:val="continue"/>
                  <w:tcBorders>
                    <w:left w:val="single" w:color="auto" w:sz="4" w:space="0"/>
                    <w:right w:val="single" w:color="auto" w:sz="4" w:space="0"/>
                  </w:tcBorders>
                  <w:vAlign w:val="center"/>
                </w:tcPr>
                <w:p w14:paraId="1114F74B">
                  <w:pPr>
                    <w:spacing w:line="240" w:lineRule="auto"/>
                    <w:jc w:val="center"/>
                    <w:rPr>
                      <w:rFonts w:hint="default" w:ascii="Times New Roman" w:hAnsi="Times New Roman" w:eastAsia="宋体" w:cs="Times New Roman"/>
                      <w:color w:val="auto"/>
                      <w:kern w:val="0"/>
                      <w:sz w:val="21"/>
                      <w:szCs w:val="21"/>
                      <w:lang w:val="en-US" w:eastAsia="zh-CN"/>
                    </w:rPr>
                  </w:pPr>
                </w:p>
              </w:tc>
              <w:tc>
                <w:tcPr>
                  <w:tcW w:w="1050" w:type="dxa"/>
                  <w:tcBorders>
                    <w:left w:val="single" w:color="auto" w:sz="4" w:space="0"/>
                    <w:right w:val="single" w:color="auto" w:sz="4" w:space="0"/>
                  </w:tcBorders>
                  <w:vAlign w:val="center"/>
                </w:tcPr>
                <w:p w14:paraId="0D340423">
                  <w:pPr>
                    <w:spacing w:line="240" w:lineRule="auto"/>
                    <w:jc w:val="center"/>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cs="Times New Roman"/>
                      <w:color w:val="auto"/>
                      <w:sz w:val="21"/>
                      <w:szCs w:val="21"/>
                      <w:lang w:val="en-US" w:eastAsia="zh-CN"/>
                    </w:rPr>
                    <w:t>臭气浓度</w:t>
                  </w:r>
                </w:p>
              </w:tc>
              <w:tc>
                <w:tcPr>
                  <w:tcW w:w="1020" w:type="dxa"/>
                  <w:vMerge w:val="continue"/>
                  <w:tcBorders>
                    <w:left w:val="single" w:color="auto" w:sz="4" w:space="0"/>
                    <w:right w:val="single" w:color="auto" w:sz="4" w:space="0"/>
                  </w:tcBorders>
                  <w:vAlign w:val="center"/>
                </w:tcPr>
                <w:p w14:paraId="5B2A8684">
                  <w:pPr>
                    <w:spacing w:line="240" w:lineRule="auto"/>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3F0C7B19">
                  <w:pPr>
                    <w:spacing w:line="240" w:lineRule="auto"/>
                    <w:jc w:val="center"/>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cs="Times New Roman"/>
                      <w:bCs/>
                      <w:color w:val="auto"/>
                      <w:kern w:val="21"/>
                      <w:sz w:val="21"/>
                      <w:szCs w:val="21"/>
                    </w:rPr>
                    <w:t>《恶臭污染物排放标准》（GB14554-93）表2恶臭污染物排放标准限值</w:t>
                  </w:r>
                </w:p>
              </w:tc>
            </w:tr>
            <w:tr w14:paraId="1C099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903" w:type="dxa"/>
                  <w:vMerge w:val="continue"/>
                  <w:tcBorders>
                    <w:left w:val="single" w:color="auto" w:sz="4" w:space="0"/>
                    <w:right w:val="single" w:color="auto" w:sz="4" w:space="0"/>
                  </w:tcBorders>
                  <w:vAlign w:val="center"/>
                </w:tcPr>
                <w:p w14:paraId="0741BB9C">
                  <w:pPr>
                    <w:wordWrap/>
                    <w:spacing w:line="240" w:lineRule="auto"/>
                    <w:jc w:val="center"/>
                    <w:rPr>
                      <w:rFonts w:hint="default" w:ascii="Times New Roman" w:hAnsi="Times New Roman" w:cs="Times New Roman"/>
                      <w:color w:val="auto"/>
                      <w:sz w:val="21"/>
                      <w:szCs w:val="21"/>
                    </w:rPr>
                  </w:pPr>
                </w:p>
              </w:tc>
              <w:tc>
                <w:tcPr>
                  <w:tcW w:w="912" w:type="dxa"/>
                  <w:vMerge w:val="restart"/>
                  <w:tcBorders>
                    <w:left w:val="single" w:color="auto" w:sz="4" w:space="0"/>
                    <w:right w:val="single" w:color="auto" w:sz="4" w:space="0"/>
                  </w:tcBorders>
                  <w:vAlign w:val="center"/>
                </w:tcPr>
                <w:p w14:paraId="75AF12E1">
                  <w:pPr>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注塑、液态成型</w:t>
                  </w:r>
                </w:p>
              </w:tc>
              <w:tc>
                <w:tcPr>
                  <w:tcW w:w="930" w:type="dxa"/>
                  <w:vMerge w:val="restart"/>
                  <w:tcBorders>
                    <w:left w:val="single" w:color="auto" w:sz="4" w:space="0"/>
                    <w:right w:val="single" w:color="auto" w:sz="4" w:space="0"/>
                  </w:tcBorders>
                  <w:vAlign w:val="center"/>
                </w:tcPr>
                <w:p w14:paraId="6E6BCCFA">
                  <w:pPr>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排气筒DA002</w:t>
                  </w:r>
                </w:p>
              </w:tc>
              <w:tc>
                <w:tcPr>
                  <w:tcW w:w="1050" w:type="dxa"/>
                  <w:tcBorders>
                    <w:left w:val="single" w:color="auto" w:sz="4" w:space="0"/>
                    <w:right w:val="single" w:color="auto" w:sz="4" w:space="0"/>
                  </w:tcBorders>
                  <w:vAlign w:val="center"/>
                </w:tcPr>
                <w:p w14:paraId="40DBF4FE">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p>
              </w:tc>
              <w:tc>
                <w:tcPr>
                  <w:tcW w:w="1020" w:type="dxa"/>
                  <w:tcBorders>
                    <w:left w:val="single" w:color="auto" w:sz="4" w:space="0"/>
                    <w:right w:val="single" w:color="auto" w:sz="4" w:space="0"/>
                  </w:tcBorders>
                  <w:vAlign w:val="center"/>
                </w:tcPr>
                <w:p w14:paraId="16729BBB">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1次/半年</w:t>
                  </w:r>
                </w:p>
              </w:tc>
              <w:tc>
                <w:tcPr>
                  <w:tcW w:w="3562" w:type="dxa"/>
                  <w:tcBorders>
                    <w:left w:val="single" w:color="auto" w:sz="4" w:space="0"/>
                    <w:right w:val="single" w:color="auto" w:sz="4" w:space="0"/>
                  </w:tcBorders>
                  <w:vAlign w:val="center"/>
                </w:tcPr>
                <w:p w14:paraId="1DEA9712">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《合成树脂工业污染物排放标准》（GB31572-2015，含2024年修改单）表5大气污染物特别排放限值和《橡胶制品工业污染物排放标准》（GB27632-2011）表5新建企业大气污染物排放限值两者的较严值</w:t>
                  </w:r>
                </w:p>
              </w:tc>
            </w:tr>
            <w:tr w14:paraId="48DDC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903" w:type="dxa"/>
                  <w:vMerge w:val="continue"/>
                  <w:tcBorders>
                    <w:left w:val="single" w:color="auto" w:sz="4" w:space="0"/>
                    <w:right w:val="single" w:color="auto" w:sz="4" w:space="0"/>
                  </w:tcBorders>
                  <w:vAlign w:val="center"/>
                </w:tcPr>
                <w:p w14:paraId="6012F806">
                  <w:pPr>
                    <w:wordWrap/>
                    <w:spacing w:line="240" w:lineRule="auto"/>
                    <w:jc w:val="center"/>
                    <w:rPr>
                      <w:rFonts w:hint="default" w:ascii="Times New Roman" w:hAnsi="Times New Roman" w:cs="Times New Roman"/>
                      <w:color w:val="auto"/>
                      <w:sz w:val="21"/>
                      <w:szCs w:val="21"/>
                    </w:rPr>
                  </w:pPr>
                </w:p>
              </w:tc>
              <w:tc>
                <w:tcPr>
                  <w:tcW w:w="912" w:type="dxa"/>
                  <w:vMerge w:val="continue"/>
                  <w:tcBorders>
                    <w:left w:val="single" w:color="auto" w:sz="4" w:space="0"/>
                    <w:right w:val="single" w:color="auto" w:sz="4" w:space="0"/>
                  </w:tcBorders>
                  <w:vAlign w:val="center"/>
                </w:tcPr>
                <w:p w14:paraId="7FF8D6D4">
                  <w:pPr>
                    <w:spacing w:line="240" w:lineRule="auto"/>
                    <w:jc w:val="center"/>
                    <w:rPr>
                      <w:rFonts w:hint="default" w:ascii="Times New Roman" w:hAnsi="Times New Roman" w:cs="Times New Roman"/>
                      <w:color w:val="auto"/>
                      <w:kern w:val="0"/>
                      <w:sz w:val="21"/>
                      <w:szCs w:val="21"/>
                      <w:lang w:val="en-US" w:eastAsia="zh-CN"/>
                    </w:rPr>
                  </w:pPr>
                </w:p>
              </w:tc>
              <w:tc>
                <w:tcPr>
                  <w:tcW w:w="930" w:type="dxa"/>
                  <w:vMerge w:val="continue"/>
                  <w:tcBorders>
                    <w:left w:val="single" w:color="auto" w:sz="4" w:space="0"/>
                    <w:right w:val="single" w:color="auto" w:sz="4" w:space="0"/>
                  </w:tcBorders>
                  <w:vAlign w:val="center"/>
                </w:tcPr>
                <w:p w14:paraId="13019DE9">
                  <w:pPr>
                    <w:spacing w:line="240" w:lineRule="auto"/>
                    <w:jc w:val="center"/>
                    <w:rPr>
                      <w:rFonts w:hint="default" w:ascii="Times New Roman" w:hAnsi="Times New Roman" w:cs="Times New Roman"/>
                      <w:color w:val="auto"/>
                      <w:kern w:val="0"/>
                      <w:sz w:val="21"/>
                      <w:szCs w:val="21"/>
                      <w:lang w:val="en-US" w:eastAsia="zh-CN"/>
                    </w:rPr>
                  </w:pPr>
                </w:p>
              </w:tc>
              <w:tc>
                <w:tcPr>
                  <w:tcW w:w="1050" w:type="dxa"/>
                  <w:tcBorders>
                    <w:left w:val="single" w:color="auto" w:sz="4" w:space="0"/>
                    <w:right w:val="single" w:color="auto" w:sz="4" w:space="0"/>
                  </w:tcBorders>
                  <w:vAlign w:val="center"/>
                </w:tcPr>
                <w:p w14:paraId="64747626">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臭气浓度</w:t>
                  </w:r>
                </w:p>
              </w:tc>
              <w:tc>
                <w:tcPr>
                  <w:tcW w:w="1020" w:type="dxa"/>
                  <w:tcBorders>
                    <w:left w:val="single" w:color="auto" w:sz="4" w:space="0"/>
                    <w:right w:val="single" w:color="auto" w:sz="4" w:space="0"/>
                  </w:tcBorders>
                  <w:vAlign w:val="center"/>
                </w:tcPr>
                <w:p w14:paraId="3D79799E">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1次/年</w:t>
                  </w:r>
                </w:p>
              </w:tc>
              <w:tc>
                <w:tcPr>
                  <w:tcW w:w="3562" w:type="dxa"/>
                  <w:tcBorders>
                    <w:left w:val="single" w:color="auto" w:sz="4" w:space="0"/>
                    <w:right w:val="single" w:color="auto" w:sz="4" w:space="0"/>
                  </w:tcBorders>
                  <w:vAlign w:val="center"/>
                </w:tcPr>
                <w:p w14:paraId="52C6FB8C">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《恶臭污染物排放标准》（GB14554-93）表2恶臭污染物排放标准限值</w:t>
                  </w:r>
                </w:p>
              </w:tc>
            </w:tr>
            <w:tr w14:paraId="20A00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jc w:val="center"/>
              </w:trPr>
              <w:tc>
                <w:tcPr>
                  <w:tcW w:w="903" w:type="dxa"/>
                  <w:vMerge w:val="continue"/>
                  <w:tcBorders>
                    <w:left w:val="single" w:color="auto" w:sz="4" w:space="0"/>
                    <w:right w:val="single" w:color="auto" w:sz="4" w:space="0"/>
                  </w:tcBorders>
                  <w:vAlign w:val="center"/>
                </w:tcPr>
                <w:p w14:paraId="6A702A4B">
                  <w:pPr>
                    <w:wordWrap/>
                    <w:spacing w:line="240" w:lineRule="auto"/>
                    <w:jc w:val="center"/>
                    <w:rPr>
                      <w:rFonts w:hint="default" w:ascii="Times New Roman" w:hAnsi="Times New Roman" w:cs="Times New Roman"/>
                      <w:color w:val="auto"/>
                      <w:sz w:val="21"/>
                      <w:szCs w:val="21"/>
                    </w:rPr>
                  </w:pPr>
                </w:p>
              </w:tc>
              <w:tc>
                <w:tcPr>
                  <w:tcW w:w="912" w:type="dxa"/>
                  <w:vMerge w:val="continue"/>
                  <w:tcBorders>
                    <w:left w:val="single" w:color="auto" w:sz="4" w:space="0"/>
                    <w:right w:val="single" w:color="auto" w:sz="4" w:space="0"/>
                  </w:tcBorders>
                  <w:vAlign w:val="center"/>
                </w:tcPr>
                <w:p w14:paraId="23BB8074">
                  <w:pPr>
                    <w:spacing w:line="240" w:lineRule="auto"/>
                    <w:jc w:val="center"/>
                    <w:rPr>
                      <w:rFonts w:hint="default" w:ascii="Times New Roman" w:hAnsi="Times New Roman" w:cs="Times New Roman"/>
                      <w:color w:val="auto"/>
                      <w:kern w:val="0"/>
                      <w:sz w:val="21"/>
                      <w:szCs w:val="21"/>
                      <w:lang w:val="en-US" w:eastAsia="zh-CN"/>
                    </w:rPr>
                  </w:pPr>
                </w:p>
              </w:tc>
              <w:tc>
                <w:tcPr>
                  <w:tcW w:w="930" w:type="dxa"/>
                  <w:vMerge w:val="continue"/>
                  <w:tcBorders>
                    <w:left w:val="single" w:color="auto" w:sz="4" w:space="0"/>
                    <w:right w:val="single" w:color="auto" w:sz="4" w:space="0"/>
                  </w:tcBorders>
                  <w:vAlign w:val="center"/>
                </w:tcPr>
                <w:p w14:paraId="0E4EAD97">
                  <w:pPr>
                    <w:spacing w:line="240" w:lineRule="auto"/>
                    <w:jc w:val="center"/>
                    <w:rPr>
                      <w:rFonts w:hint="default" w:ascii="Times New Roman" w:hAnsi="Times New Roman" w:cs="Times New Roman"/>
                      <w:color w:val="auto"/>
                      <w:kern w:val="0"/>
                      <w:sz w:val="21"/>
                      <w:szCs w:val="21"/>
                      <w:lang w:val="en-US" w:eastAsia="zh-CN"/>
                    </w:rPr>
                  </w:pPr>
                </w:p>
              </w:tc>
              <w:tc>
                <w:tcPr>
                  <w:tcW w:w="1050" w:type="dxa"/>
                  <w:tcBorders>
                    <w:left w:val="single" w:color="auto" w:sz="4" w:space="0"/>
                    <w:right w:val="single" w:color="auto" w:sz="4" w:space="0"/>
                  </w:tcBorders>
                  <w:vAlign w:val="center"/>
                </w:tcPr>
                <w:p w14:paraId="1563D594">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苯乙烯、丙烯腈、1,3-丁二烯、甲苯、乙苯</w:t>
                  </w:r>
                </w:p>
              </w:tc>
              <w:tc>
                <w:tcPr>
                  <w:tcW w:w="1020" w:type="dxa"/>
                  <w:tcBorders>
                    <w:left w:val="single" w:color="auto" w:sz="4" w:space="0"/>
                    <w:right w:val="single" w:color="auto" w:sz="4" w:space="0"/>
                  </w:tcBorders>
                  <w:vAlign w:val="center"/>
                </w:tcPr>
                <w:p w14:paraId="17FBCDC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1次/年</w:t>
                  </w:r>
                </w:p>
              </w:tc>
              <w:tc>
                <w:tcPr>
                  <w:tcW w:w="3562" w:type="dxa"/>
                  <w:tcBorders>
                    <w:left w:val="single" w:color="auto" w:sz="4" w:space="0"/>
                    <w:right w:val="single" w:color="auto" w:sz="4" w:space="0"/>
                  </w:tcBorders>
                  <w:vAlign w:val="center"/>
                </w:tcPr>
                <w:p w14:paraId="690DE464">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kern w:val="21"/>
                      <w:sz w:val="21"/>
                      <w:szCs w:val="21"/>
                    </w:rPr>
                  </w:pPr>
                  <w:r>
                    <w:rPr>
                      <w:rFonts w:hint="default" w:ascii="Times New Roman" w:hAnsi="Times New Roman" w:cs="Times New Roman"/>
                      <w:color w:val="auto"/>
                      <w:spacing w:val="0"/>
                      <w:sz w:val="21"/>
                      <w:szCs w:val="21"/>
                      <w:lang w:val="en-US" w:eastAsia="zh-CN"/>
                    </w:rPr>
                    <w:t>《合成树脂工业污染物排放标准》（GB31572-2015，含2024年修改单）表5排放限值</w:t>
                  </w:r>
                </w:p>
              </w:tc>
            </w:tr>
            <w:tr w14:paraId="2B00C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235B7D73">
                  <w:pPr>
                    <w:wordWrap/>
                    <w:spacing w:line="240" w:lineRule="auto"/>
                    <w:jc w:val="center"/>
                    <w:rPr>
                      <w:rFonts w:hint="default" w:ascii="Times New Roman" w:hAnsi="Times New Roman" w:cs="Times New Roman"/>
                      <w:color w:val="auto"/>
                      <w:sz w:val="21"/>
                      <w:szCs w:val="21"/>
                    </w:rPr>
                  </w:pPr>
                </w:p>
              </w:tc>
              <w:tc>
                <w:tcPr>
                  <w:tcW w:w="1842" w:type="dxa"/>
                  <w:gridSpan w:val="2"/>
                  <w:tcBorders>
                    <w:left w:val="single" w:color="auto" w:sz="4" w:space="0"/>
                    <w:right w:val="single" w:color="auto" w:sz="4" w:space="0"/>
                  </w:tcBorders>
                  <w:vAlign w:val="center"/>
                </w:tcPr>
                <w:p w14:paraId="440670C3">
                  <w:pPr>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厂区内</w:t>
                  </w:r>
                </w:p>
              </w:tc>
              <w:tc>
                <w:tcPr>
                  <w:tcW w:w="1050" w:type="dxa"/>
                  <w:tcBorders>
                    <w:left w:val="single" w:color="auto" w:sz="4" w:space="0"/>
                    <w:right w:val="single" w:color="auto" w:sz="4" w:space="0"/>
                  </w:tcBorders>
                  <w:vAlign w:val="center"/>
                </w:tcPr>
                <w:p w14:paraId="47F29C84">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VOCs（NMHC）</w:t>
                  </w:r>
                </w:p>
              </w:tc>
              <w:tc>
                <w:tcPr>
                  <w:tcW w:w="1020" w:type="dxa"/>
                  <w:tcBorders>
                    <w:left w:val="single" w:color="auto" w:sz="4" w:space="0"/>
                    <w:right w:val="single" w:color="auto" w:sz="4" w:space="0"/>
                  </w:tcBorders>
                  <w:vAlign w:val="center"/>
                </w:tcPr>
                <w:p w14:paraId="370928A2">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1次/年</w:t>
                  </w:r>
                </w:p>
              </w:tc>
              <w:tc>
                <w:tcPr>
                  <w:tcW w:w="3562" w:type="dxa"/>
                  <w:tcBorders>
                    <w:left w:val="single" w:color="auto" w:sz="4" w:space="0"/>
                    <w:right w:val="single" w:color="auto" w:sz="4" w:space="0"/>
                  </w:tcBorders>
                  <w:vAlign w:val="center"/>
                </w:tcPr>
                <w:p w14:paraId="71EC686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kern w:val="21"/>
                      <w:sz w:val="21"/>
                      <w:szCs w:val="21"/>
                    </w:rPr>
                    <w:t>广东省《固定污染源挥发性有机物综合排放标准》（DB 44/2367-2022）表3厂区内VOCs无组织排放限值</w:t>
                  </w:r>
                </w:p>
              </w:tc>
            </w:tr>
            <w:tr w14:paraId="15A49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6AA35CC3">
                  <w:pPr>
                    <w:wordWrap/>
                    <w:spacing w:line="240" w:lineRule="auto"/>
                    <w:jc w:val="center"/>
                    <w:rPr>
                      <w:rFonts w:hint="default" w:ascii="Times New Roman" w:hAnsi="Times New Roman" w:cs="Times New Roman"/>
                      <w:color w:val="auto"/>
                      <w:sz w:val="21"/>
                      <w:szCs w:val="21"/>
                    </w:rPr>
                  </w:pPr>
                </w:p>
              </w:tc>
              <w:tc>
                <w:tcPr>
                  <w:tcW w:w="1842" w:type="dxa"/>
                  <w:gridSpan w:val="2"/>
                  <w:vMerge w:val="restart"/>
                  <w:tcBorders>
                    <w:left w:val="single" w:color="auto" w:sz="4" w:space="0"/>
                    <w:right w:val="single" w:color="auto" w:sz="4" w:space="0"/>
                  </w:tcBorders>
                  <w:vAlign w:val="center"/>
                </w:tcPr>
                <w:p w14:paraId="3A5BD1E7">
                  <w:pPr>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厂界</w:t>
                  </w:r>
                </w:p>
              </w:tc>
              <w:tc>
                <w:tcPr>
                  <w:tcW w:w="1050" w:type="dxa"/>
                  <w:tcBorders>
                    <w:left w:val="single" w:color="auto" w:sz="4" w:space="0"/>
                    <w:right w:val="single" w:color="auto" w:sz="4" w:space="0"/>
                  </w:tcBorders>
                  <w:vAlign w:val="center"/>
                </w:tcPr>
                <w:p w14:paraId="2E65B5C3">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非甲烷总烃</w:t>
                  </w:r>
                </w:p>
              </w:tc>
              <w:tc>
                <w:tcPr>
                  <w:tcW w:w="1020" w:type="dxa"/>
                  <w:vMerge w:val="restart"/>
                  <w:tcBorders>
                    <w:left w:val="single" w:color="auto" w:sz="4" w:space="0"/>
                    <w:right w:val="single" w:color="auto" w:sz="4" w:space="0"/>
                  </w:tcBorders>
                  <w:vAlign w:val="center"/>
                </w:tcPr>
                <w:p w14:paraId="6B2D1D71">
                  <w:pPr>
                    <w:spacing w:line="240" w:lineRule="auto"/>
                    <w:jc w:val="center"/>
                    <w:rPr>
                      <w:rFonts w:hint="default" w:ascii="Times New Roman" w:hAnsi="Times New Roman" w:eastAsia="宋体" w:cs="Times New Roman"/>
                      <w:color w:val="auto"/>
                      <w:kern w:val="2"/>
                      <w:sz w:val="21"/>
                      <w:szCs w:val="21"/>
                      <w:lang w:val="en-US" w:eastAsia="zh-CN" w:bidi="ar-SA"/>
                    </w:rPr>
                  </w:pPr>
                  <w:bookmarkStart w:id="23" w:name="监测频次"/>
                  <w:r>
                    <w:rPr>
                      <w:rFonts w:hint="default" w:ascii="Times New Roman" w:hAnsi="Times New Roman" w:cs="Times New Roman"/>
                      <w:color w:val="auto"/>
                      <w:kern w:val="2"/>
                      <w:sz w:val="21"/>
                      <w:szCs w:val="21"/>
                      <w:lang w:val="en-US" w:eastAsia="zh-CN" w:bidi="ar-SA"/>
                    </w:rPr>
                    <w:t>1次/年</w:t>
                  </w:r>
                  <w:bookmarkEnd w:id="23"/>
                </w:p>
              </w:tc>
              <w:tc>
                <w:tcPr>
                  <w:tcW w:w="3562" w:type="dxa"/>
                  <w:tcBorders>
                    <w:left w:val="single" w:color="auto" w:sz="4" w:space="0"/>
                    <w:right w:val="single" w:color="auto" w:sz="4" w:space="0"/>
                  </w:tcBorders>
                  <w:vAlign w:val="center"/>
                </w:tcPr>
                <w:p w14:paraId="1C9D2001">
                  <w:pPr>
                    <w:spacing w:line="240" w:lineRule="auto"/>
                    <w:jc w:val="center"/>
                    <w:rPr>
                      <w:rFonts w:hint="default" w:ascii="Times New Roman" w:hAnsi="Times New Roman" w:eastAsia="宋体" w:cs="Times New Roman"/>
                      <w:bCs/>
                      <w:color w:val="auto"/>
                      <w:kern w:val="21"/>
                      <w:sz w:val="21"/>
                      <w:szCs w:val="21"/>
                      <w:lang w:val="en-US" w:eastAsia="zh-CN" w:bidi="ar-SA"/>
                    </w:rPr>
                  </w:pPr>
                  <w:r>
                    <w:rPr>
                      <w:rFonts w:hint="default" w:ascii="Times New Roman" w:hAnsi="Times New Roman" w:eastAsia="宋体" w:cs="Times New Roman"/>
                      <w:bCs/>
                      <w:color w:val="auto"/>
                      <w:kern w:val="21"/>
                      <w:sz w:val="21"/>
                      <w:szCs w:val="21"/>
                      <w:lang w:val="en-US" w:eastAsia="zh-CN"/>
                    </w:rPr>
                    <w:t>《《合成树脂工业污染物排放标准》（GB31572-2015，含2024年修改单）表9企业边界大气污染物浓度限值、广东省《大气污染物排放限值》（DB44/27-2001）第二时段无组织排放浓度限值和《橡胶制品工业污染物排放标准》（GB27632-2011）表6厂界无组织排放限值</w:t>
                  </w:r>
                  <w:r>
                    <w:rPr>
                      <w:rFonts w:hint="default" w:ascii="Times New Roman" w:hAnsi="Times New Roman" w:cs="Times New Roman"/>
                      <w:bCs/>
                      <w:color w:val="auto"/>
                      <w:kern w:val="21"/>
                      <w:sz w:val="21"/>
                      <w:szCs w:val="21"/>
                      <w:lang w:val="en-US" w:eastAsia="zh-CN"/>
                    </w:rPr>
                    <w:t>三者</w:t>
                  </w:r>
                  <w:r>
                    <w:rPr>
                      <w:rFonts w:hint="default" w:ascii="Times New Roman" w:hAnsi="Times New Roman" w:eastAsia="宋体" w:cs="Times New Roman"/>
                      <w:bCs/>
                      <w:color w:val="auto"/>
                      <w:kern w:val="21"/>
                      <w:sz w:val="21"/>
                      <w:szCs w:val="21"/>
                      <w:lang w:val="en-US" w:eastAsia="zh-CN"/>
                    </w:rPr>
                    <w:t>较严值</w:t>
                  </w:r>
                </w:p>
              </w:tc>
            </w:tr>
            <w:tr w14:paraId="7B6E1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46484C97">
                  <w:pPr>
                    <w:wordWrap/>
                    <w:spacing w:line="240" w:lineRule="auto"/>
                    <w:jc w:val="center"/>
                    <w:rPr>
                      <w:rFonts w:hint="default" w:ascii="Times New Roman" w:hAnsi="Times New Roman" w:cs="Times New Roman"/>
                      <w:color w:val="auto"/>
                      <w:sz w:val="21"/>
                      <w:szCs w:val="21"/>
                    </w:rPr>
                  </w:pPr>
                </w:p>
              </w:tc>
              <w:tc>
                <w:tcPr>
                  <w:tcW w:w="1842" w:type="dxa"/>
                  <w:gridSpan w:val="2"/>
                  <w:vMerge w:val="continue"/>
                  <w:tcBorders>
                    <w:left w:val="single" w:color="auto" w:sz="4" w:space="0"/>
                    <w:right w:val="single" w:color="auto" w:sz="4" w:space="0"/>
                  </w:tcBorders>
                  <w:vAlign w:val="center"/>
                </w:tcPr>
                <w:p w14:paraId="0E842C60">
                  <w:pPr>
                    <w:spacing w:line="240" w:lineRule="auto"/>
                    <w:jc w:val="center"/>
                    <w:rPr>
                      <w:rFonts w:hint="default" w:ascii="Times New Roman" w:hAnsi="Times New Roman" w:cs="Times New Roman"/>
                      <w:color w:val="auto"/>
                      <w:kern w:val="0"/>
                      <w:sz w:val="21"/>
                      <w:szCs w:val="21"/>
                    </w:rPr>
                  </w:pPr>
                </w:p>
              </w:tc>
              <w:tc>
                <w:tcPr>
                  <w:tcW w:w="1050" w:type="dxa"/>
                  <w:tcBorders>
                    <w:left w:val="single" w:color="auto" w:sz="4" w:space="0"/>
                    <w:right w:val="single" w:color="auto" w:sz="4" w:space="0"/>
                  </w:tcBorders>
                  <w:vAlign w:val="center"/>
                </w:tcPr>
                <w:p w14:paraId="2DB15E8A">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臭气浓度</w:t>
                  </w:r>
                </w:p>
              </w:tc>
              <w:tc>
                <w:tcPr>
                  <w:tcW w:w="1020" w:type="dxa"/>
                  <w:vMerge w:val="continue"/>
                  <w:tcBorders>
                    <w:left w:val="single" w:color="auto" w:sz="4" w:space="0"/>
                    <w:right w:val="single" w:color="auto" w:sz="4" w:space="0"/>
                  </w:tcBorders>
                  <w:vAlign w:val="center"/>
                </w:tcPr>
                <w:p w14:paraId="6F47629C">
                  <w:pPr>
                    <w:spacing w:line="240" w:lineRule="auto"/>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05248657">
                  <w:pPr>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《恶臭污染物排放标准》（GB14554-93）表1恶臭污染物厂界新改扩建二级标准值</w:t>
                  </w:r>
                </w:p>
              </w:tc>
            </w:tr>
            <w:tr w14:paraId="04F29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73A1CE63">
                  <w:pPr>
                    <w:wordWrap/>
                    <w:spacing w:line="240" w:lineRule="auto"/>
                    <w:jc w:val="center"/>
                    <w:rPr>
                      <w:rFonts w:hint="default" w:ascii="Times New Roman" w:hAnsi="Times New Roman" w:cs="Times New Roman"/>
                      <w:color w:val="auto"/>
                      <w:sz w:val="21"/>
                      <w:szCs w:val="21"/>
                    </w:rPr>
                  </w:pPr>
                </w:p>
              </w:tc>
              <w:tc>
                <w:tcPr>
                  <w:tcW w:w="1842" w:type="dxa"/>
                  <w:gridSpan w:val="2"/>
                  <w:vMerge w:val="continue"/>
                  <w:tcBorders>
                    <w:left w:val="single" w:color="auto" w:sz="4" w:space="0"/>
                    <w:right w:val="single" w:color="auto" w:sz="4" w:space="0"/>
                  </w:tcBorders>
                  <w:vAlign w:val="center"/>
                </w:tcPr>
                <w:p w14:paraId="5AF822E5">
                  <w:pPr>
                    <w:spacing w:line="240" w:lineRule="auto"/>
                    <w:jc w:val="center"/>
                    <w:rPr>
                      <w:rFonts w:hint="default" w:ascii="Times New Roman" w:hAnsi="Times New Roman" w:cs="Times New Roman"/>
                      <w:color w:val="auto"/>
                      <w:kern w:val="0"/>
                      <w:sz w:val="21"/>
                      <w:szCs w:val="21"/>
                    </w:rPr>
                  </w:pPr>
                </w:p>
              </w:tc>
              <w:tc>
                <w:tcPr>
                  <w:tcW w:w="1050" w:type="dxa"/>
                  <w:tcBorders>
                    <w:left w:val="single" w:color="auto" w:sz="4" w:space="0"/>
                    <w:right w:val="single" w:color="auto" w:sz="4" w:space="0"/>
                  </w:tcBorders>
                  <w:vAlign w:val="center"/>
                </w:tcPr>
                <w:p w14:paraId="282828BD">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颗粒物</w:t>
                  </w:r>
                </w:p>
              </w:tc>
              <w:tc>
                <w:tcPr>
                  <w:tcW w:w="1020" w:type="dxa"/>
                  <w:vMerge w:val="continue"/>
                  <w:tcBorders>
                    <w:left w:val="single" w:color="auto" w:sz="4" w:space="0"/>
                    <w:right w:val="single" w:color="auto" w:sz="4" w:space="0"/>
                  </w:tcBorders>
                  <w:vAlign w:val="center"/>
                </w:tcPr>
                <w:p w14:paraId="30BE3E5B">
                  <w:pPr>
                    <w:spacing w:line="240" w:lineRule="auto"/>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7C445AF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广东省地方标准《大气污染物排放限值》（DB44/27-2001）无组织排放监控浓度限值</w:t>
                  </w:r>
                </w:p>
              </w:tc>
            </w:tr>
            <w:tr w14:paraId="0CC6D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55F3FB05">
                  <w:pPr>
                    <w:wordWrap/>
                    <w:spacing w:line="240" w:lineRule="auto"/>
                    <w:jc w:val="center"/>
                    <w:rPr>
                      <w:rFonts w:hint="default" w:ascii="Times New Roman" w:hAnsi="Times New Roman" w:cs="Times New Roman"/>
                      <w:color w:val="auto"/>
                      <w:sz w:val="21"/>
                      <w:szCs w:val="21"/>
                    </w:rPr>
                  </w:pPr>
                </w:p>
              </w:tc>
              <w:tc>
                <w:tcPr>
                  <w:tcW w:w="1842" w:type="dxa"/>
                  <w:gridSpan w:val="2"/>
                  <w:vMerge w:val="continue"/>
                  <w:tcBorders>
                    <w:left w:val="single" w:color="auto" w:sz="4" w:space="0"/>
                    <w:right w:val="single" w:color="auto" w:sz="4" w:space="0"/>
                  </w:tcBorders>
                  <w:vAlign w:val="center"/>
                </w:tcPr>
                <w:p w14:paraId="66A0AB7C">
                  <w:pPr>
                    <w:spacing w:line="240" w:lineRule="auto"/>
                    <w:jc w:val="center"/>
                    <w:rPr>
                      <w:rFonts w:hint="default" w:ascii="Times New Roman" w:hAnsi="Times New Roman" w:cs="Times New Roman"/>
                      <w:color w:val="auto"/>
                      <w:kern w:val="0"/>
                      <w:sz w:val="21"/>
                      <w:szCs w:val="21"/>
                    </w:rPr>
                  </w:pPr>
                </w:p>
              </w:tc>
              <w:tc>
                <w:tcPr>
                  <w:tcW w:w="1050" w:type="dxa"/>
                  <w:tcBorders>
                    <w:left w:val="single" w:color="auto" w:sz="4" w:space="0"/>
                    <w:right w:val="single" w:color="auto" w:sz="4" w:space="0"/>
                  </w:tcBorders>
                  <w:vAlign w:val="center"/>
                </w:tcPr>
                <w:p w14:paraId="37897BB8">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总VOCs</w:t>
                  </w:r>
                </w:p>
              </w:tc>
              <w:tc>
                <w:tcPr>
                  <w:tcW w:w="1020" w:type="dxa"/>
                  <w:vMerge w:val="continue"/>
                  <w:tcBorders>
                    <w:left w:val="single" w:color="auto" w:sz="4" w:space="0"/>
                    <w:right w:val="single" w:color="auto" w:sz="4" w:space="0"/>
                  </w:tcBorders>
                  <w:vAlign w:val="center"/>
                </w:tcPr>
                <w:p w14:paraId="5FF7B584">
                  <w:pPr>
                    <w:spacing w:line="240" w:lineRule="auto"/>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1ED0FA85">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《印刷行业挥发性有机化合物排放标准》（DB44/815-2010）和广东省地方标准《家具制造行业挥发性有机化合物排放标准》（DB44/814-2010）两者较严值</w:t>
                  </w:r>
                </w:p>
              </w:tc>
            </w:tr>
            <w:tr w14:paraId="5C8CF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903" w:type="dxa"/>
                  <w:vMerge w:val="continue"/>
                  <w:tcBorders>
                    <w:left w:val="single" w:color="auto" w:sz="4" w:space="0"/>
                    <w:right w:val="single" w:color="auto" w:sz="4" w:space="0"/>
                  </w:tcBorders>
                  <w:vAlign w:val="center"/>
                </w:tcPr>
                <w:p w14:paraId="1753E4CE">
                  <w:pPr>
                    <w:wordWrap/>
                    <w:spacing w:line="240" w:lineRule="auto"/>
                    <w:jc w:val="center"/>
                    <w:rPr>
                      <w:rFonts w:hint="default" w:ascii="Times New Roman" w:hAnsi="Times New Roman" w:cs="Times New Roman"/>
                      <w:color w:val="auto"/>
                      <w:sz w:val="21"/>
                      <w:szCs w:val="21"/>
                    </w:rPr>
                  </w:pPr>
                </w:p>
              </w:tc>
              <w:tc>
                <w:tcPr>
                  <w:tcW w:w="1842" w:type="dxa"/>
                  <w:gridSpan w:val="2"/>
                  <w:vMerge w:val="continue"/>
                  <w:tcBorders>
                    <w:left w:val="single" w:color="auto" w:sz="4" w:space="0"/>
                    <w:right w:val="single" w:color="auto" w:sz="4" w:space="0"/>
                  </w:tcBorders>
                  <w:vAlign w:val="center"/>
                </w:tcPr>
                <w:p w14:paraId="26A9CDE1">
                  <w:pPr>
                    <w:spacing w:line="240" w:lineRule="auto"/>
                    <w:jc w:val="center"/>
                    <w:rPr>
                      <w:rFonts w:hint="default" w:ascii="Times New Roman" w:hAnsi="Times New Roman" w:cs="Times New Roman"/>
                      <w:color w:val="auto"/>
                      <w:kern w:val="0"/>
                      <w:sz w:val="21"/>
                      <w:szCs w:val="21"/>
                    </w:rPr>
                  </w:pPr>
                </w:p>
              </w:tc>
              <w:tc>
                <w:tcPr>
                  <w:tcW w:w="1050" w:type="dxa"/>
                  <w:tcBorders>
                    <w:left w:val="single" w:color="auto" w:sz="4" w:space="0"/>
                    <w:right w:val="single" w:color="auto" w:sz="4" w:space="0"/>
                  </w:tcBorders>
                  <w:vAlign w:val="center"/>
                </w:tcPr>
                <w:p w14:paraId="7DF80520">
                  <w:pPr>
                    <w:keepNext w:val="0"/>
                    <w:keepLines w:val="0"/>
                    <w:pageBreakBefore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lang w:val="en-US" w:eastAsia="zh-CN"/>
                    </w:rPr>
                    <w:t>甲苯</w:t>
                  </w:r>
                </w:p>
              </w:tc>
              <w:tc>
                <w:tcPr>
                  <w:tcW w:w="1020" w:type="dxa"/>
                  <w:vMerge w:val="continue"/>
                  <w:tcBorders>
                    <w:left w:val="single" w:color="auto" w:sz="4" w:space="0"/>
                    <w:right w:val="single" w:color="auto" w:sz="4" w:space="0"/>
                  </w:tcBorders>
                  <w:vAlign w:val="center"/>
                </w:tcPr>
                <w:p w14:paraId="08DFDB1D">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1E1B599A">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《合成树脂工业污染物排放标准》（GB31572-2015，含2024年修改单）</w:t>
                  </w:r>
                  <w:r>
                    <w:rPr>
                      <w:rFonts w:hint="default" w:ascii="Times New Roman" w:hAnsi="Times New Roman" w:cs="Times New Roman"/>
                      <w:color w:val="auto"/>
                      <w:sz w:val="21"/>
                      <w:szCs w:val="21"/>
                    </w:rPr>
                    <w:t>表9企业边界大气污染物浓度限值</w:t>
                  </w:r>
                </w:p>
              </w:tc>
            </w:tr>
          </w:tbl>
          <w:p w14:paraId="3B5A673C">
            <w:pPr>
              <w:keepNext w:val="0"/>
              <w:keepLines w:val="0"/>
              <w:pageBreakBefore w:val="0"/>
              <w:widowControl w:val="0"/>
              <w:kinsoku/>
              <w:wordWrap/>
              <w:overflowPunct/>
              <w:topLinePunct w:val="0"/>
              <w:autoSpaceDE/>
              <w:autoSpaceDN/>
              <w:bidi w:val="0"/>
              <w:adjustRightInd w:val="0"/>
              <w:snapToGrid/>
              <w:spacing w:line="360" w:lineRule="auto"/>
              <w:ind w:firstLine="482" w:firstLineChars="200"/>
              <w:jc w:val="both"/>
              <w:textAlignment w:val="baseline"/>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val="en-US" w:eastAsia="zh-CN"/>
              </w:rPr>
              <w:t>（</w:t>
            </w:r>
            <w:r>
              <w:rPr>
                <w:rFonts w:hint="default" w:ascii="Times New Roman" w:hAnsi="Times New Roman" w:cs="Times New Roman"/>
                <w:b/>
                <w:bCs/>
                <w:color w:val="auto"/>
                <w:sz w:val="24"/>
                <w:szCs w:val="24"/>
                <w:lang w:val="en-US" w:eastAsia="zh-CN"/>
              </w:rPr>
              <w:t>7</w:t>
            </w:r>
            <w:r>
              <w:rPr>
                <w:rFonts w:hint="default"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rPr>
              <w:t>卫生防护距离</w:t>
            </w:r>
          </w:p>
          <w:p w14:paraId="12169243">
            <w:pPr>
              <w:snapToGrid w:val="0"/>
              <w:spacing w:line="360" w:lineRule="auto"/>
              <w:ind w:firstLine="482" w:firstLineChars="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大气有害物质无组织排放卫生防护距离按照《大气有害物质无组织排放卫生防护距离推导技术导则》（GB/T39499</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2020）中卫生防护距离推导的方法确定。</w:t>
            </w:r>
          </w:p>
          <w:p w14:paraId="5094CE71">
            <w:pPr>
              <w:snapToGrid w:val="0"/>
              <w:spacing w:line="360" w:lineRule="auto"/>
              <w:ind w:firstLine="482" w:firstLineChars="0"/>
              <w:jc w:val="both"/>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根据项目废气排放情况可知，项目废气无组织排放主要污染物为VOCs</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颗粒物</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非甲烷总烃等</w:t>
            </w:r>
            <w:r>
              <w:rPr>
                <w:rFonts w:hint="default" w:ascii="Times New Roman" w:hAnsi="Times New Roman" w:eastAsia="宋体" w:cs="Times New Roman"/>
                <w:color w:val="auto"/>
                <w:sz w:val="24"/>
                <w:szCs w:val="24"/>
              </w:rPr>
              <w:t>，其无组织排放量和等标排放量如下。</w:t>
            </w:r>
          </w:p>
          <w:p w14:paraId="47FCAA72">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tLeast"/>
              <w:ind w:left="0" w:leftChars="0" w:firstLine="420" w:firstLineChars="0"/>
              <w:jc w:val="center"/>
              <w:textAlignment w:val="baseline"/>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kern w:val="2"/>
                <w:sz w:val="24"/>
                <w:szCs w:val="24"/>
                <w:lang w:val="en-US" w:eastAsia="zh-CN" w:bidi="ar-SA"/>
              </w:rPr>
              <w:t>表4-1</w:t>
            </w:r>
            <w:r>
              <w:rPr>
                <w:rFonts w:hint="default" w:ascii="Times New Roman" w:hAnsi="Times New Roman" w:cs="Times New Roman"/>
                <w:b/>
                <w:bCs/>
                <w:color w:val="auto"/>
                <w:kern w:val="2"/>
                <w:sz w:val="24"/>
                <w:szCs w:val="24"/>
                <w:lang w:val="en-US" w:eastAsia="zh-CN" w:bidi="ar-SA"/>
              </w:rPr>
              <w:t>3</w:t>
            </w:r>
            <w:r>
              <w:rPr>
                <w:rFonts w:hint="default" w:ascii="Times New Roman" w:hAnsi="Times New Roman" w:eastAsia="宋体" w:cs="Times New Roman"/>
                <w:b/>
                <w:bCs/>
                <w:color w:val="auto"/>
                <w:kern w:val="2"/>
                <w:sz w:val="21"/>
                <w:szCs w:val="21"/>
                <w:lang w:val="en-US" w:eastAsia="zh-CN" w:bidi="ar-SA"/>
              </w:rPr>
              <w:t xml:space="preserve"> </w:t>
            </w:r>
            <w:r>
              <w:rPr>
                <w:rFonts w:hint="default" w:ascii="Times New Roman" w:hAnsi="Times New Roman" w:eastAsia="宋体" w:cs="Times New Roman"/>
                <w:b/>
                <w:bCs/>
                <w:color w:val="auto"/>
                <w:sz w:val="24"/>
                <w:szCs w:val="24"/>
              </w:rPr>
              <w:t>项目无组织排放量和等标排放量情况表</w:t>
            </w:r>
          </w:p>
          <w:tbl>
            <w:tblPr>
              <w:tblStyle w:val="22"/>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5"/>
              <w:gridCol w:w="1684"/>
              <w:gridCol w:w="1791"/>
              <w:gridCol w:w="1837"/>
            </w:tblGrid>
            <w:tr w14:paraId="5E458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1B2EFBD7">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排放源</w:t>
                  </w:r>
                </w:p>
              </w:tc>
              <w:tc>
                <w:tcPr>
                  <w:tcW w:w="5312" w:type="dxa"/>
                  <w:gridSpan w:val="3"/>
                  <w:noWrap w:val="0"/>
                  <w:vAlign w:val="center"/>
                </w:tcPr>
                <w:p w14:paraId="5699CAE1">
                  <w:pPr>
                    <w:adjustRightInd w:val="0"/>
                    <w:snapToGrid w:val="0"/>
                    <w:spacing w:line="240" w:lineRule="auto"/>
                    <w:ind w:firstLine="0" w:firstLineChars="0"/>
                    <w:jc w:val="center"/>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厂房6-7楼</w:t>
                  </w:r>
                </w:p>
              </w:tc>
            </w:tr>
            <w:tr w14:paraId="73983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496A2C6D">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污染物</w:t>
                  </w:r>
                </w:p>
              </w:tc>
              <w:tc>
                <w:tcPr>
                  <w:tcW w:w="1684" w:type="dxa"/>
                  <w:noWrap w:val="0"/>
                  <w:vAlign w:val="center"/>
                </w:tcPr>
                <w:p w14:paraId="68AB731C">
                  <w:pPr>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VOCs</w:t>
                  </w:r>
                </w:p>
              </w:tc>
              <w:tc>
                <w:tcPr>
                  <w:tcW w:w="1791" w:type="dxa"/>
                  <w:noWrap w:val="0"/>
                  <w:vAlign w:val="center"/>
                </w:tcPr>
                <w:p w14:paraId="521F2C87">
                  <w:pPr>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颗粒物</w:t>
                  </w:r>
                </w:p>
              </w:tc>
              <w:tc>
                <w:tcPr>
                  <w:tcW w:w="1837" w:type="dxa"/>
                  <w:noWrap w:val="0"/>
                  <w:vAlign w:val="center"/>
                </w:tcPr>
                <w:p w14:paraId="49E33DF3">
                  <w:pPr>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非甲烷总烃</w:t>
                  </w:r>
                </w:p>
              </w:tc>
            </w:tr>
            <w:tr w14:paraId="184D7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27C6E2AB">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无组织排放速率kg/h</w:t>
                  </w:r>
                </w:p>
              </w:tc>
              <w:tc>
                <w:tcPr>
                  <w:tcW w:w="1684" w:type="dxa"/>
                  <w:noWrap w:val="0"/>
                  <w:vAlign w:val="center"/>
                </w:tcPr>
                <w:p w14:paraId="1A40C4F4">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0.0274</w:t>
                  </w:r>
                </w:p>
              </w:tc>
              <w:tc>
                <w:tcPr>
                  <w:tcW w:w="1791" w:type="dxa"/>
                  <w:noWrap w:val="0"/>
                  <w:vAlign w:val="center"/>
                </w:tcPr>
                <w:p w14:paraId="6DD9AF75">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0.0533</w:t>
                  </w:r>
                </w:p>
              </w:tc>
              <w:tc>
                <w:tcPr>
                  <w:tcW w:w="1837" w:type="dxa"/>
                  <w:noWrap w:val="0"/>
                  <w:vAlign w:val="center"/>
                </w:tcPr>
                <w:p w14:paraId="29924363">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0.1499</w:t>
                  </w:r>
                </w:p>
              </w:tc>
            </w:tr>
            <w:tr w14:paraId="2B7EF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1BDE23BF">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质量标准mg/m</w:t>
                  </w:r>
                  <w:r>
                    <w:rPr>
                      <w:rFonts w:hint="default" w:ascii="Times New Roman" w:hAnsi="Times New Roman" w:eastAsia="宋体" w:cs="Times New Roman"/>
                      <w:bCs/>
                      <w:color w:val="auto"/>
                      <w:sz w:val="21"/>
                      <w:szCs w:val="21"/>
                      <w:vertAlign w:val="superscript"/>
                    </w:rPr>
                    <w:t>3</w:t>
                  </w:r>
                </w:p>
              </w:tc>
              <w:tc>
                <w:tcPr>
                  <w:tcW w:w="1684" w:type="dxa"/>
                  <w:noWrap w:val="0"/>
                  <w:vAlign w:val="center"/>
                </w:tcPr>
                <w:p w14:paraId="474C66F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791" w:type="dxa"/>
                  <w:noWrap w:val="0"/>
                  <w:vAlign w:val="center"/>
                </w:tcPr>
                <w:p w14:paraId="6CAC416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837" w:type="dxa"/>
                  <w:noWrap w:val="0"/>
                  <w:vAlign w:val="center"/>
                </w:tcPr>
                <w:p w14:paraId="1546647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r>
            <w:tr w14:paraId="260DC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5F2735A8">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等标排放量m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/h</w:t>
                  </w:r>
                </w:p>
              </w:tc>
              <w:tc>
                <w:tcPr>
                  <w:tcW w:w="1684" w:type="dxa"/>
                  <w:noWrap w:val="0"/>
                  <w:vAlign w:val="center"/>
                </w:tcPr>
                <w:p w14:paraId="696DF08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13700</w:t>
                  </w:r>
                </w:p>
              </w:tc>
              <w:tc>
                <w:tcPr>
                  <w:tcW w:w="1791" w:type="dxa"/>
                  <w:noWrap w:val="0"/>
                  <w:vAlign w:val="center"/>
                </w:tcPr>
                <w:p w14:paraId="757D1F81">
                  <w:pPr>
                    <w:widowControl/>
                    <w:spacing w:line="240" w:lineRule="auto"/>
                    <w:ind w:firstLine="0" w:firstLineChars="0"/>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53300</w:t>
                  </w:r>
                </w:p>
              </w:tc>
              <w:tc>
                <w:tcPr>
                  <w:tcW w:w="1837" w:type="dxa"/>
                  <w:noWrap w:val="0"/>
                  <w:vAlign w:val="center"/>
                </w:tcPr>
                <w:p w14:paraId="298E0CEB">
                  <w:pPr>
                    <w:widowControl/>
                    <w:spacing w:line="240" w:lineRule="auto"/>
                    <w:ind w:firstLine="0" w:firstLineChars="0"/>
                    <w:jc w:val="center"/>
                    <w:textAlignment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37475</w:t>
                  </w:r>
                </w:p>
              </w:tc>
            </w:tr>
            <w:tr w14:paraId="07E59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568EE1AD">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等标排放量是否相差10%以内</w:t>
                  </w:r>
                </w:p>
              </w:tc>
              <w:tc>
                <w:tcPr>
                  <w:tcW w:w="5312" w:type="dxa"/>
                  <w:gridSpan w:val="3"/>
                  <w:noWrap w:val="0"/>
                  <w:vAlign w:val="center"/>
                </w:tcPr>
                <w:p w14:paraId="162EDB51">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否</w:t>
                  </w:r>
                </w:p>
              </w:tc>
            </w:tr>
            <w:tr w14:paraId="09CD7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35CB6F01">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最大等标排放量污染物</w:t>
                  </w:r>
                </w:p>
              </w:tc>
              <w:tc>
                <w:tcPr>
                  <w:tcW w:w="5312" w:type="dxa"/>
                  <w:gridSpan w:val="3"/>
                  <w:noWrap w:val="0"/>
                  <w:vAlign w:val="center"/>
                </w:tcPr>
                <w:p w14:paraId="360060A7">
                  <w:pPr>
                    <w:adjustRightInd w:val="0"/>
                    <w:snapToGrid w:val="0"/>
                    <w:spacing w:line="240" w:lineRule="auto"/>
                    <w:ind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颗粒物</w:t>
                  </w:r>
                </w:p>
              </w:tc>
            </w:tr>
          </w:tbl>
          <w:p w14:paraId="02A2FB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注：根据《大气有害物质无组织排放卫生防护距离推导技术导则》（GB-T39499-2020）中“5.2.2标准限值Cm”：当特征大气有害物质在 GB 3095中无规定时，可按照HJ 2.2中规定的1h平均标准值；当特征大气有害物质在GB 3095 中有规定的二级标准日均值时，一般可取其二级标准日均值的三倍。</w:t>
            </w:r>
          </w:p>
          <w:p w14:paraId="02F9A26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TVOC的大气有害物质环境空气质量的标准浓度限值（Cm）取《环境影响评价技术导则 大气环境》（HJ 2.2-2018）》附录D的标准值按照2倍折算为1h平均质量浓度限值为1.2mg/m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w:t>
            </w:r>
          </w:p>
          <w:p w14:paraId="78C4EA7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TSP的环境空气质量标准限值为0.3mg/m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（日均值折算小时均值为0.9mg/m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），来源于《环境空气质量标准》(GB3095-2012)及其 2018 年修改单中的二级标准小时值的三倍值。</w:t>
            </w:r>
          </w:p>
          <w:p w14:paraId="7A3B405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本项目两种污染物的等标排放量相差在10%以外，故</w:t>
            </w:r>
            <w:r>
              <w:rPr>
                <w:rFonts w:hint="default" w:ascii="Times New Roman" w:hAnsi="Times New Roman" w:cs="Times New Roman"/>
                <w:color w:val="auto"/>
                <w:kern w:val="2"/>
                <w:sz w:val="24"/>
                <w:szCs w:val="24"/>
                <w:lang w:val="en-US" w:eastAsia="zh-CN" w:bidi="ar-SA"/>
              </w:rPr>
              <w:t>优先选择颗粒物</w:t>
            </w:r>
            <w:r>
              <w:rPr>
                <w:rFonts w:hint="default" w:ascii="Times New Roman" w:hAnsi="Times New Roman" w:eastAsia="宋体" w:cs="Times New Roman"/>
                <w:color w:val="auto"/>
                <w:kern w:val="2"/>
                <w:sz w:val="24"/>
                <w:szCs w:val="24"/>
                <w:lang w:val="en-US" w:eastAsia="zh-CN" w:bidi="ar-SA"/>
              </w:rPr>
              <w:t>为企业无组织排放的主要特征大气有害物质。</w:t>
            </w:r>
          </w:p>
          <w:p w14:paraId="3C09E7DA">
            <w:pPr>
              <w:adjustRightInd w:val="0"/>
              <w:snapToGrid w:val="0"/>
              <w:spacing w:line="360" w:lineRule="auto"/>
              <w:ind w:firstLine="480" w:firstLineChars="20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根据《大气有害物质无组织排放卫生防护距离推导技术导则》（GB/T39499-2020），计算本项目的卫生防护距离。</w:t>
            </w:r>
          </w:p>
          <w:p w14:paraId="18ED54BF">
            <w:pPr>
              <w:adjustRightInd w:val="0"/>
              <w:spacing w:line="360" w:lineRule="auto"/>
              <w:ind w:left="0" w:leftChars="0" w:firstLine="0" w:firstLineChars="0"/>
              <w:jc w:val="center"/>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color w:val="auto"/>
                <w:sz w:val="24"/>
                <w:szCs w:val="24"/>
              </w:rPr>
              <w:drawing>
                <wp:inline distT="0" distB="0" distL="114300" distR="114300">
                  <wp:extent cx="2045970" cy="492125"/>
                  <wp:effectExtent l="0" t="0" r="11430" b="0"/>
                  <wp:docPr id="6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4"/>
                          <pic:cNvPicPr>
                            <a:picLocks noChangeAspect="1"/>
                          </pic:cNvPicPr>
                        </pic:nvPicPr>
                        <pic:blipFill>
                          <a:blip r:embed="rId32"/>
                          <a:stretch>
                            <a:fillRect/>
                          </a:stretch>
                        </pic:blipFill>
                        <pic:spPr>
                          <a:xfrm>
                            <a:off x="0" y="0"/>
                            <a:ext cx="2045970" cy="492125"/>
                          </a:xfrm>
                          <a:prstGeom prst="rect">
                            <a:avLst/>
                          </a:prstGeom>
                          <a:noFill/>
                          <a:ln>
                            <a:noFill/>
                          </a:ln>
                        </pic:spPr>
                      </pic:pic>
                    </a:graphicData>
                  </a:graphic>
                </wp:inline>
              </w:drawing>
            </w:r>
          </w:p>
          <w:p w14:paraId="2AC24D1F">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jc w:val="both"/>
              <w:textAlignment w:val="baseline"/>
              <w:rPr>
                <w:rFonts w:hint="default" w:ascii="Times New Roman" w:hAnsi="Times New Roman" w:eastAsia="宋体" w:cs="Times New Roman"/>
                <w:bCs/>
                <w:color w:val="auto"/>
                <w:sz w:val="24"/>
                <w:szCs w:val="24"/>
                <w:lang w:val="en-US"/>
              </w:rPr>
            </w:pPr>
            <w:r>
              <w:rPr>
                <w:rFonts w:hint="default" w:ascii="Times New Roman" w:hAnsi="Times New Roman" w:eastAsia="宋体" w:cs="Times New Roman"/>
                <w:bCs/>
                <w:color w:val="auto"/>
                <w:sz w:val="24"/>
                <w:szCs w:val="24"/>
                <w:lang w:val="en-US" w:eastAsia="zh-CN"/>
              </w:rPr>
              <w:t>式中：L—大气有害物质卫生防护距离初值，单位为米（m）；</w:t>
            </w:r>
            <w:r>
              <w:rPr>
                <w:rFonts w:hint="default" w:ascii="Times New Roman" w:hAnsi="Times New Roman" w:cs="Times New Roman"/>
                <w:bCs/>
                <w:color w:val="auto"/>
                <w:sz w:val="24"/>
                <w:szCs w:val="24"/>
                <w:lang w:val="en-US" w:eastAsia="zh-CN"/>
              </w:rPr>
              <w:t xml:space="preserve"> </w:t>
            </w:r>
          </w:p>
          <w:p w14:paraId="06BF2B12">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jc w:val="both"/>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Q</w:t>
            </w:r>
            <w:r>
              <w:rPr>
                <w:rFonts w:hint="default" w:ascii="Times New Roman" w:hAnsi="Times New Roman" w:eastAsia="宋体" w:cs="Times New Roman"/>
                <w:bCs/>
                <w:color w:val="auto"/>
                <w:sz w:val="24"/>
                <w:szCs w:val="24"/>
                <w:vertAlign w:val="subscript"/>
                <w:lang w:val="en-US" w:eastAsia="zh-CN"/>
              </w:rPr>
              <w:t>c</w:t>
            </w:r>
            <w:r>
              <w:rPr>
                <w:rFonts w:hint="default" w:ascii="Times New Roman" w:hAnsi="Times New Roman" w:eastAsia="宋体" w:cs="Times New Roman"/>
                <w:bCs/>
                <w:color w:val="auto"/>
                <w:sz w:val="24"/>
                <w:szCs w:val="24"/>
                <w:lang w:val="en-US" w:eastAsia="zh-CN"/>
              </w:rPr>
              <w:t>—大气有害物质无组织排放量可达到的控制水平，单位为千克每小时（kg/h）；</w:t>
            </w:r>
          </w:p>
          <w:p w14:paraId="743CB03C">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jc w:val="both"/>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C</w:t>
            </w:r>
            <w:r>
              <w:rPr>
                <w:rFonts w:hint="default" w:ascii="Times New Roman" w:hAnsi="Times New Roman" w:eastAsia="宋体" w:cs="Times New Roman"/>
                <w:bCs/>
                <w:color w:val="auto"/>
                <w:sz w:val="24"/>
                <w:szCs w:val="24"/>
                <w:vertAlign w:val="subscript"/>
                <w:lang w:val="en-US" w:eastAsia="zh-CN"/>
              </w:rPr>
              <w:t>m</w:t>
            </w:r>
            <w:r>
              <w:rPr>
                <w:rFonts w:hint="default" w:ascii="Times New Roman" w:hAnsi="Times New Roman" w:eastAsia="宋体" w:cs="Times New Roman"/>
                <w:bCs/>
                <w:color w:val="auto"/>
                <w:sz w:val="24"/>
                <w:szCs w:val="24"/>
                <w:lang w:val="en-US" w:eastAsia="zh-CN"/>
              </w:rPr>
              <w:t>—大气有害物质环境空气质量标准值，单位为毫克/立方米（mg/m</w:t>
            </w:r>
            <w:r>
              <w:rPr>
                <w:rFonts w:hint="default" w:ascii="Times New Roman" w:hAnsi="Times New Roman" w:eastAsia="宋体"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lang w:val="en-US" w:eastAsia="zh-CN"/>
              </w:rPr>
              <w:t>）；</w:t>
            </w:r>
          </w:p>
          <w:p w14:paraId="24183402">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jc w:val="both"/>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r—大气有害物质无组织排放源所在生产单元的等效半径，单位为米（m）。</w:t>
            </w:r>
          </w:p>
          <w:p w14:paraId="638B6B41">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jc w:val="both"/>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A、B、C、D—卫生防护距离计算系数，无因次，根据工业企业所在地区近5年平均风速及工业企业大气污染源构成类别从表4-7选取。</w:t>
            </w:r>
          </w:p>
          <w:p w14:paraId="49770C0D">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uto"/>
              <w:ind w:left="0" w:leftChars="0" w:firstLine="420" w:firstLineChars="0"/>
              <w:jc w:val="center"/>
              <w:textAlignment w:val="baseline"/>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kern w:val="2"/>
                <w:sz w:val="24"/>
                <w:szCs w:val="24"/>
                <w:lang w:val="en-US" w:eastAsia="zh-CN" w:bidi="ar-SA"/>
              </w:rPr>
              <w:t>表4-</w:t>
            </w:r>
            <w:r>
              <w:rPr>
                <w:rFonts w:hint="default" w:ascii="Times New Roman" w:hAnsi="Times New Roman" w:cs="Times New Roman"/>
                <w:b/>
                <w:bCs/>
                <w:color w:val="auto"/>
                <w:kern w:val="2"/>
                <w:sz w:val="24"/>
                <w:szCs w:val="24"/>
                <w:lang w:val="en-US" w:eastAsia="zh-CN" w:bidi="ar-SA"/>
              </w:rPr>
              <w:t>14</w:t>
            </w:r>
            <w:r>
              <w:rPr>
                <w:rFonts w:hint="default" w:ascii="Times New Roman" w:hAnsi="Times New Roman" w:eastAsia="宋体" w:cs="Times New Roman"/>
                <w:b/>
                <w:bCs/>
                <w:color w:val="auto"/>
                <w:kern w:val="2"/>
                <w:sz w:val="21"/>
                <w:szCs w:val="21"/>
                <w:lang w:val="en-US" w:eastAsia="zh-CN" w:bidi="ar-SA"/>
              </w:rPr>
              <w:t xml:space="preserve"> </w:t>
            </w:r>
            <w:r>
              <w:rPr>
                <w:rFonts w:hint="default" w:ascii="Times New Roman" w:hAnsi="Times New Roman" w:eastAsia="宋体" w:cs="Times New Roman"/>
                <w:b/>
                <w:bCs/>
                <w:color w:val="auto"/>
                <w:sz w:val="24"/>
                <w:szCs w:val="24"/>
              </w:rPr>
              <w:t>卫生防护距离计算系数</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1495"/>
              <w:gridCol w:w="672"/>
              <w:gridCol w:w="675"/>
              <w:gridCol w:w="676"/>
              <w:gridCol w:w="673"/>
              <w:gridCol w:w="674"/>
              <w:gridCol w:w="677"/>
              <w:gridCol w:w="672"/>
              <w:gridCol w:w="676"/>
              <w:gridCol w:w="674"/>
            </w:tblGrid>
            <w:tr w14:paraId="02558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restart"/>
                  <w:noWrap w:val="0"/>
                  <w:vAlign w:val="center"/>
                </w:tcPr>
                <w:p w14:paraId="5CC3135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计算系数</w:t>
                  </w:r>
                </w:p>
              </w:tc>
              <w:tc>
                <w:tcPr>
                  <w:tcW w:w="1495" w:type="dxa"/>
                  <w:vMerge w:val="restart"/>
                  <w:noWrap w:val="0"/>
                  <w:vAlign w:val="center"/>
                </w:tcPr>
                <w:p w14:paraId="368F6A29">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工业企业所在地区近五年来平均风速</w:t>
                  </w:r>
                </w:p>
                <w:p w14:paraId="0515427B">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(m/s)</w:t>
                  </w:r>
                </w:p>
              </w:tc>
              <w:tc>
                <w:tcPr>
                  <w:tcW w:w="6069" w:type="dxa"/>
                  <w:gridSpan w:val="9"/>
                  <w:noWrap w:val="0"/>
                  <w:vAlign w:val="center"/>
                </w:tcPr>
                <w:p w14:paraId="501384F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卫生防护距离（m）</w:t>
                  </w:r>
                </w:p>
              </w:tc>
            </w:tr>
            <w:tr w14:paraId="519A2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624D1B29">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1495" w:type="dxa"/>
                  <w:vMerge w:val="continue"/>
                  <w:noWrap w:val="0"/>
                  <w:vAlign w:val="center"/>
                </w:tcPr>
                <w:p w14:paraId="2E4570A7">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2023" w:type="dxa"/>
                  <w:gridSpan w:val="3"/>
                  <w:noWrap w:val="0"/>
                  <w:vAlign w:val="center"/>
                </w:tcPr>
                <w:p w14:paraId="4F4C185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L≤1000</w:t>
                  </w:r>
                </w:p>
              </w:tc>
              <w:tc>
                <w:tcPr>
                  <w:tcW w:w="2024" w:type="dxa"/>
                  <w:gridSpan w:val="3"/>
                  <w:noWrap w:val="0"/>
                  <w:vAlign w:val="center"/>
                </w:tcPr>
                <w:p w14:paraId="4FF0516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1000＜L≤2000</w:t>
                  </w:r>
                </w:p>
              </w:tc>
              <w:tc>
                <w:tcPr>
                  <w:tcW w:w="2022" w:type="dxa"/>
                  <w:gridSpan w:val="3"/>
                  <w:noWrap w:val="0"/>
                  <w:vAlign w:val="center"/>
                </w:tcPr>
                <w:p w14:paraId="7601AE0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L≥2000</w:t>
                  </w:r>
                </w:p>
              </w:tc>
            </w:tr>
            <w:tr w14:paraId="1E235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30EBFC07">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1495" w:type="dxa"/>
                  <w:vMerge w:val="continue"/>
                  <w:noWrap w:val="0"/>
                  <w:vAlign w:val="center"/>
                </w:tcPr>
                <w:p w14:paraId="5835A6CA">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6069" w:type="dxa"/>
                  <w:gridSpan w:val="9"/>
                  <w:noWrap w:val="0"/>
                  <w:vAlign w:val="center"/>
                </w:tcPr>
                <w:p w14:paraId="78D113D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工业企业大气污染源构成类别</w:t>
                  </w:r>
                </w:p>
              </w:tc>
            </w:tr>
            <w:tr w14:paraId="0577E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trPr>
              <w:tc>
                <w:tcPr>
                  <w:tcW w:w="895" w:type="dxa"/>
                  <w:vMerge w:val="continue"/>
                  <w:noWrap w:val="0"/>
                  <w:vAlign w:val="center"/>
                </w:tcPr>
                <w:p w14:paraId="06C5D616">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1495" w:type="dxa"/>
                  <w:vMerge w:val="continue"/>
                  <w:noWrap w:val="0"/>
                  <w:vAlign w:val="center"/>
                </w:tcPr>
                <w:p w14:paraId="21E0218D">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672" w:type="dxa"/>
                  <w:noWrap w:val="0"/>
                  <w:vAlign w:val="center"/>
                </w:tcPr>
                <w:p w14:paraId="1CC1D8D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Ⅰ</w:t>
                  </w:r>
                </w:p>
              </w:tc>
              <w:tc>
                <w:tcPr>
                  <w:tcW w:w="675" w:type="dxa"/>
                  <w:noWrap w:val="0"/>
                  <w:vAlign w:val="center"/>
                </w:tcPr>
                <w:p w14:paraId="0EA92026">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Ⅱ</w:t>
                  </w:r>
                </w:p>
              </w:tc>
              <w:tc>
                <w:tcPr>
                  <w:tcW w:w="676" w:type="dxa"/>
                  <w:noWrap w:val="0"/>
                  <w:vAlign w:val="center"/>
                </w:tcPr>
                <w:p w14:paraId="2999A36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Ⅲ</w:t>
                  </w:r>
                </w:p>
              </w:tc>
              <w:tc>
                <w:tcPr>
                  <w:tcW w:w="673" w:type="dxa"/>
                  <w:noWrap w:val="0"/>
                  <w:vAlign w:val="center"/>
                </w:tcPr>
                <w:p w14:paraId="2DBAFCB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Ⅰ</w:t>
                  </w:r>
                </w:p>
              </w:tc>
              <w:tc>
                <w:tcPr>
                  <w:tcW w:w="674" w:type="dxa"/>
                  <w:noWrap w:val="0"/>
                  <w:vAlign w:val="center"/>
                </w:tcPr>
                <w:p w14:paraId="5A246F3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Ⅱ</w:t>
                  </w:r>
                </w:p>
              </w:tc>
              <w:tc>
                <w:tcPr>
                  <w:tcW w:w="677" w:type="dxa"/>
                  <w:noWrap w:val="0"/>
                  <w:vAlign w:val="center"/>
                </w:tcPr>
                <w:p w14:paraId="5FA9BD49">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Ⅲ</w:t>
                  </w:r>
                </w:p>
              </w:tc>
              <w:tc>
                <w:tcPr>
                  <w:tcW w:w="672" w:type="dxa"/>
                  <w:noWrap w:val="0"/>
                  <w:vAlign w:val="center"/>
                </w:tcPr>
                <w:p w14:paraId="3459764C">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Ⅰ</w:t>
                  </w:r>
                </w:p>
              </w:tc>
              <w:tc>
                <w:tcPr>
                  <w:tcW w:w="676" w:type="dxa"/>
                  <w:noWrap w:val="0"/>
                  <w:vAlign w:val="center"/>
                </w:tcPr>
                <w:p w14:paraId="17D07EE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Ⅱ</w:t>
                  </w:r>
                </w:p>
              </w:tc>
              <w:tc>
                <w:tcPr>
                  <w:tcW w:w="674" w:type="dxa"/>
                  <w:noWrap w:val="0"/>
                  <w:vAlign w:val="center"/>
                </w:tcPr>
                <w:p w14:paraId="57838D1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Ⅲ</w:t>
                  </w:r>
                </w:p>
              </w:tc>
            </w:tr>
            <w:tr w14:paraId="6D6DC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restart"/>
                  <w:noWrap w:val="0"/>
                  <w:vAlign w:val="center"/>
                </w:tcPr>
                <w:p w14:paraId="0B5B6FE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w:t>
                  </w:r>
                </w:p>
              </w:tc>
              <w:tc>
                <w:tcPr>
                  <w:tcW w:w="1495" w:type="dxa"/>
                  <w:noWrap w:val="0"/>
                  <w:vAlign w:val="center"/>
                </w:tcPr>
                <w:p w14:paraId="4DD8D57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672" w:type="dxa"/>
                  <w:noWrap w:val="0"/>
                  <w:vAlign w:val="center"/>
                </w:tcPr>
                <w:p w14:paraId="4904CE94">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5" w:type="dxa"/>
                  <w:noWrap w:val="0"/>
                  <w:vAlign w:val="center"/>
                </w:tcPr>
                <w:p w14:paraId="14C4ABF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6" w:type="dxa"/>
                  <w:noWrap w:val="0"/>
                  <w:vAlign w:val="center"/>
                </w:tcPr>
                <w:p w14:paraId="6E64033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3" w:type="dxa"/>
                  <w:noWrap w:val="0"/>
                  <w:vAlign w:val="center"/>
                </w:tcPr>
                <w:p w14:paraId="1164A77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4" w:type="dxa"/>
                  <w:noWrap w:val="0"/>
                  <w:vAlign w:val="center"/>
                </w:tcPr>
                <w:p w14:paraId="234557D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7" w:type="dxa"/>
                  <w:noWrap w:val="0"/>
                  <w:vAlign w:val="center"/>
                </w:tcPr>
                <w:p w14:paraId="76B4666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2" w:type="dxa"/>
                  <w:noWrap w:val="0"/>
                  <w:vAlign w:val="center"/>
                </w:tcPr>
                <w:p w14:paraId="1520867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676" w:type="dxa"/>
                  <w:noWrap w:val="0"/>
                  <w:vAlign w:val="center"/>
                </w:tcPr>
                <w:p w14:paraId="0724A20F">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674" w:type="dxa"/>
                  <w:noWrap w:val="0"/>
                  <w:vAlign w:val="center"/>
                </w:tcPr>
                <w:p w14:paraId="4E8D540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r>
            <w:tr w14:paraId="2B18C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0476A99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495" w:type="dxa"/>
                  <w:noWrap w:val="0"/>
                  <w:vAlign w:val="center"/>
                </w:tcPr>
                <w:p w14:paraId="4A1B2C7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w:t>
                  </w:r>
                </w:p>
              </w:tc>
              <w:tc>
                <w:tcPr>
                  <w:tcW w:w="672" w:type="dxa"/>
                  <w:noWrap w:val="0"/>
                  <w:vAlign w:val="center"/>
                </w:tcPr>
                <w:p w14:paraId="25FFD15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675" w:type="dxa"/>
                  <w:noWrap w:val="0"/>
                  <w:vAlign w:val="center"/>
                </w:tcPr>
                <w:p w14:paraId="6A38180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676" w:type="dxa"/>
                  <w:noWrap w:val="0"/>
                  <w:vAlign w:val="center"/>
                </w:tcPr>
                <w:p w14:paraId="48E73B2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673" w:type="dxa"/>
                  <w:noWrap w:val="0"/>
                  <w:vAlign w:val="center"/>
                </w:tcPr>
                <w:p w14:paraId="10C8104B">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674" w:type="dxa"/>
                  <w:noWrap w:val="0"/>
                  <w:vAlign w:val="center"/>
                </w:tcPr>
                <w:p w14:paraId="1756EF7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677" w:type="dxa"/>
                  <w:noWrap w:val="0"/>
                  <w:vAlign w:val="center"/>
                </w:tcPr>
                <w:p w14:paraId="72492D29">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672" w:type="dxa"/>
                  <w:noWrap w:val="0"/>
                  <w:vAlign w:val="center"/>
                </w:tcPr>
                <w:p w14:paraId="5C6BB99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380</w:t>
                  </w:r>
                </w:p>
              </w:tc>
              <w:tc>
                <w:tcPr>
                  <w:tcW w:w="676" w:type="dxa"/>
                  <w:noWrap w:val="0"/>
                  <w:vAlign w:val="center"/>
                </w:tcPr>
                <w:p w14:paraId="4F6AC52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674" w:type="dxa"/>
                  <w:noWrap w:val="0"/>
                  <w:vAlign w:val="center"/>
                </w:tcPr>
                <w:p w14:paraId="189D351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r>
            <w:tr w14:paraId="4F3B6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7F6635B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495" w:type="dxa"/>
                  <w:noWrap w:val="0"/>
                  <w:vAlign w:val="center"/>
                </w:tcPr>
                <w:p w14:paraId="3D89F05C">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672" w:type="dxa"/>
                  <w:noWrap w:val="0"/>
                  <w:vAlign w:val="center"/>
                </w:tcPr>
                <w:p w14:paraId="7D419504">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675" w:type="dxa"/>
                  <w:noWrap w:val="0"/>
                  <w:vAlign w:val="center"/>
                </w:tcPr>
                <w:p w14:paraId="1F4DF6A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676" w:type="dxa"/>
                  <w:noWrap w:val="0"/>
                  <w:vAlign w:val="center"/>
                </w:tcPr>
                <w:p w14:paraId="4425BE19">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673" w:type="dxa"/>
                  <w:noWrap w:val="0"/>
                  <w:vAlign w:val="center"/>
                </w:tcPr>
                <w:p w14:paraId="57323D4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674" w:type="dxa"/>
                  <w:noWrap w:val="0"/>
                  <w:vAlign w:val="center"/>
                </w:tcPr>
                <w:p w14:paraId="0F50B3AC">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677" w:type="dxa"/>
                  <w:noWrap w:val="0"/>
                  <w:vAlign w:val="center"/>
                </w:tcPr>
                <w:p w14:paraId="10B57189">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672" w:type="dxa"/>
                  <w:noWrap w:val="0"/>
                  <w:vAlign w:val="center"/>
                </w:tcPr>
                <w:p w14:paraId="74F89B4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290</w:t>
                  </w:r>
                </w:p>
              </w:tc>
              <w:tc>
                <w:tcPr>
                  <w:tcW w:w="676" w:type="dxa"/>
                  <w:noWrap w:val="0"/>
                  <w:vAlign w:val="center"/>
                </w:tcPr>
                <w:p w14:paraId="2B8D078C">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c>
                <w:tcPr>
                  <w:tcW w:w="674" w:type="dxa"/>
                  <w:noWrap w:val="0"/>
                  <w:vAlign w:val="center"/>
                </w:tcPr>
                <w:p w14:paraId="7443330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140</w:t>
                  </w:r>
                </w:p>
              </w:tc>
            </w:tr>
            <w:tr w14:paraId="369B9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restart"/>
                  <w:noWrap w:val="0"/>
                  <w:vAlign w:val="center"/>
                </w:tcPr>
                <w:p w14:paraId="26FADBA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w:t>
                  </w:r>
                </w:p>
              </w:tc>
              <w:tc>
                <w:tcPr>
                  <w:tcW w:w="1495" w:type="dxa"/>
                  <w:noWrap w:val="0"/>
                  <w:vAlign w:val="center"/>
                </w:tcPr>
                <w:p w14:paraId="58C4FA6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0A2983E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2024" w:type="dxa"/>
                  <w:gridSpan w:val="3"/>
                  <w:noWrap w:val="0"/>
                  <w:vAlign w:val="center"/>
                </w:tcPr>
                <w:p w14:paraId="1E5A49C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c>
                <w:tcPr>
                  <w:tcW w:w="2022" w:type="dxa"/>
                  <w:gridSpan w:val="3"/>
                  <w:noWrap w:val="0"/>
                  <w:vAlign w:val="center"/>
                </w:tcPr>
                <w:p w14:paraId="5240284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r>
            <w:tr w14:paraId="6500B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536B33E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495" w:type="dxa"/>
                  <w:noWrap w:val="0"/>
                  <w:vAlign w:val="center"/>
                </w:tcPr>
                <w:p w14:paraId="00A21C6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162E84AF">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2024" w:type="dxa"/>
                  <w:gridSpan w:val="3"/>
                  <w:noWrap w:val="0"/>
                  <w:vAlign w:val="center"/>
                </w:tcPr>
                <w:p w14:paraId="7F31598F">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c>
                <w:tcPr>
                  <w:tcW w:w="2022" w:type="dxa"/>
                  <w:gridSpan w:val="3"/>
                  <w:noWrap w:val="0"/>
                  <w:vAlign w:val="center"/>
                </w:tcPr>
                <w:p w14:paraId="1E8690A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r>
            <w:tr w14:paraId="2F33F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restart"/>
                  <w:noWrap w:val="0"/>
                  <w:vAlign w:val="center"/>
                </w:tcPr>
                <w:p w14:paraId="14CFF99F">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p>
              </w:tc>
              <w:tc>
                <w:tcPr>
                  <w:tcW w:w="1495" w:type="dxa"/>
                  <w:noWrap w:val="0"/>
                  <w:vAlign w:val="center"/>
                </w:tcPr>
                <w:p w14:paraId="4F13582B">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4B9ECBC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2024" w:type="dxa"/>
                  <w:gridSpan w:val="3"/>
                  <w:noWrap w:val="0"/>
                  <w:vAlign w:val="center"/>
                </w:tcPr>
                <w:p w14:paraId="10C3EA6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1.74</w:t>
                  </w:r>
                </w:p>
              </w:tc>
              <w:tc>
                <w:tcPr>
                  <w:tcW w:w="2022" w:type="dxa"/>
                  <w:gridSpan w:val="3"/>
                  <w:noWrap w:val="0"/>
                  <w:vAlign w:val="center"/>
                </w:tcPr>
                <w:p w14:paraId="4588FE2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r>
            <w:tr w14:paraId="02EDB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25DCC89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495" w:type="dxa"/>
                  <w:noWrap w:val="0"/>
                  <w:vAlign w:val="center"/>
                </w:tcPr>
                <w:p w14:paraId="5B96386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6DE5B6A6">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2024" w:type="dxa"/>
                  <w:gridSpan w:val="3"/>
                  <w:noWrap w:val="0"/>
                  <w:vAlign w:val="center"/>
                </w:tcPr>
                <w:p w14:paraId="5D922A7B">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c>
                <w:tcPr>
                  <w:tcW w:w="2022" w:type="dxa"/>
                  <w:gridSpan w:val="3"/>
                  <w:noWrap w:val="0"/>
                  <w:vAlign w:val="center"/>
                </w:tcPr>
                <w:p w14:paraId="6F9419C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r>
            <w:tr w14:paraId="13DD0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restart"/>
                  <w:noWrap w:val="0"/>
                  <w:vAlign w:val="center"/>
                </w:tcPr>
                <w:p w14:paraId="1F7F1FC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t>
                  </w:r>
                </w:p>
              </w:tc>
              <w:tc>
                <w:tcPr>
                  <w:tcW w:w="1495" w:type="dxa"/>
                  <w:noWrap w:val="0"/>
                  <w:vAlign w:val="center"/>
                </w:tcPr>
                <w:p w14:paraId="68CEBD7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42E2FA1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2024" w:type="dxa"/>
                  <w:gridSpan w:val="3"/>
                  <w:noWrap w:val="0"/>
                  <w:vAlign w:val="center"/>
                </w:tcPr>
                <w:p w14:paraId="5AF2A1F3">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2022" w:type="dxa"/>
                  <w:gridSpan w:val="3"/>
                  <w:noWrap w:val="0"/>
                  <w:vAlign w:val="center"/>
                </w:tcPr>
                <w:p w14:paraId="196E6CE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0.57</w:t>
                  </w:r>
                </w:p>
              </w:tc>
            </w:tr>
            <w:tr w14:paraId="115CE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3F86AE46">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495" w:type="dxa"/>
                  <w:noWrap w:val="0"/>
                  <w:vAlign w:val="center"/>
                </w:tcPr>
                <w:p w14:paraId="6736083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6B2FD82F">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2024" w:type="dxa"/>
                  <w:gridSpan w:val="3"/>
                  <w:noWrap w:val="0"/>
                  <w:vAlign w:val="center"/>
                </w:tcPr>
                <w:p w14:paraId="21BD89F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2022" w:type="dxa"/>
                  <w:gridSpan w:val="3"/>
                  <w:noWrap w:val="0"/>
                  <w:vAlign w:val="center"/>
                </w:tcPr>
                <w:p w14:paraId="45718283">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0.76</w:t>
                  </w:r>
                </w:p>
              </w:tc>
            </w:tr>
            <w:tr w14:paraId="5696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5" w:hRule="atLeast"/>
                <w:jc w:val="center"/>
              </w:trPr>
              <w:tc>
                <w:tcPr>
                  <w:tcW w:w="8459" w:type="dxa"/>
                  <w:gridSpan w:val="11"/>
                  <w:noWrap w:val="0"/>
                  <w:vAlign w:val="center"/>
                </w:tcPr>
                <w:p w14:paraId="540FB8E6">
                  <w:pPr>
                    <w:keepNext w:val="0"/>
                    <w:keepLines w:val="0"/>
                    <w:pageBreakBefore w:val="0"/>
                    <w:widowControl w:val="0"/>
                    <w:kinsoku/>
                    <w:wordWrap/>
                    <w:overflowPunct/>
                    <w:topLinePunct w:val="0"/>
                    <w:autoSpaceDE/>
                    <w:autoSpaceDN/>
                    <w:bidi w:val="0"/>
                    <w:adjustRightInd w:val="0"/>
                    <w:snapToGrid w:val="0"/>
                    <w:spacing w:beforeAutospacing="0" w:line="300" w:lineRule="auto"/>
                    <w:ind w:left="0" w:leftChars="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Ⅰ类：与无组织排放源共存的排放同种有害气体的排放量，大于标准规定的允许排放量的1/3者。</w:t>
                  </w:r>
                </w:p>
                <w:p w14:paraId="7B50F776">
                  <w:pPr>
                    <w:keepNext w:val="0"/>
                    <w:keepLines w:val="0"/>
                    <w:pageBreakBefore w:val="0"/>
                    <w:widowControl w:val="0"/>
                    <w:kinsoku/>
                    <w:wordWrap/>
                    <w:overflowPunct/>
                    <w:topLinePunct w:val="0"/>
                    <w:autoSpaceDE/>
                    <w:autoSpaceDN/>
                    <w:bidi w:val="0"/>
                    <w:adjustRightInd w:val="0"/>
                    <w:snapToGrid w:val="0"/>
                    <w:spacing w:beforeAutospacing="0" w:line="300" w:lineRule="auto"/>
                    <w:ind w:left="0" w:leftChars="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Ⅱ类：与无组织排放源共存的排放同种有害气体的排放量，小于标准规定的允许排放量的1/3，或虽无排放同种大气污染物之排气筒共存，但无组织排放的有害物质的容许浓度指标是按急性反应指标确定者。</w:t>
                  </w:r>
                </w:p>
                <w:p w14:paraId="1CE7320B">
                  <w:pPr>
                    <w:keepNext w:val="0"/>
                    <w:keepLines w:val="0"/>
                    <w:pageBreakBefore w:val="0"/>
                    <w:widowControl w:val="0"/>
                    <w:kinsoku/>
                    <w:wordWrap/>
                    <w:overflowPunct/>
                    <w:topLinePunct w:val="0"/>
                    <w:autoSpaceDE/>
                    <w:autoSpaceDN/>
                    <w:bidi w:val="0"/>
                    <w:adjustRightInd w:val="0"/>
                    <w:snapToGrid w:val="0"/>
                    <w:spacing w:beforeAutospacing="0" w:line="300" w:lineRule="auto"/>
                    <w:ind w:left="0" w:leftChars="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Ⅲ类：无排放同种有害物质的排气筒与无组织排放源共存，且无组织排放的有害物质的容许浓度指标是按慢性反应指标确定者。</w:t>
                  </w:r>
                </w:p>
              </w:tc>
            </w:tr>
          </w:tbl>
          <w:p w14:paraId="54FFADA3">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uto"/>
              <w:ind w:left="0" w:leftChars="0" w:firstLine="420" w:firstLineChars="0"/>
              <w:jc w:val="center"/>
              <w:textAlignment w:val="baseline"/>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kern w:val="2"/>
                <w:sz w:val="24"/>
                <w:szCs w:val="24"/>
                <w:lang w:val="en-US" w:eastAsia="zh-CN" w:bidi="ar-SA"/>
              </w:rPr>
              <w:t>表4-</w:t>
            </w:r>
            <w:r>
              <w:rPr>
                <w:rFonts w:hint="default" w:ascii="Times New Roman" w:hAnsi="Times New Roman" w:cs="Times New Roman"/>
                <w:b/>
                <w:color w:val="auto"/>
                <w:kern w:val="2"/>
                <w:sz w:val="24"/>
                <w:szCs w:val="24"/>
                <w:lang w:val="en-US" w:eastAsia="zh-CN" w:bidi="ar-SA"/>
              </w:rPr>
              <w:t>15</w:t>
            </w:r>
            <w:r>
              <w:rPr>
                <w:rFonts w:hint="default" w:ascii="Times New Roman" w:hAnsi="Times New Roman" w:eastAsia="宋体" w:cs="Times New Roman"/>
                <w:b/>
                <w:color w:val="auto"/>
                <w:kern w:val="2"/>
                <w:sz w:val="24"/>
                <w:szCs w:val="24"/>
                <w:lang w:val="en-US" w:eastAsia="zh-CN" w:bidi="ar-SA"/>
              </w:rPr>
              <w:t xml:space="preserve"> </w:t>
            </w:r>
            <w:r>
              <w:rPr>
                <w:rFonts w:hint="default" w:ascii="Times New Roman" w:hAnsi="Times New Roman" w:eastAsia="宋体" w:cs="Times New Roman"/>
                <w:b/>
                <w:color w:val="auto"/>
                <w:sz w:val="24"/>
                <w:szCs w:val="24"/>
                <w:highlight w:val="none"/>
              </w:rPr>
              <w:t>环境防护距离计算表</w:t>
            </w:r>
          </w:p>
          <w:tbl>
            <w:tblPr>
              <w:tblStyle w:val="22"/>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1"/>
              <w:gridCol w:w="4128"/>
            </w:tblGrid>
            <w:tr w14:paraId="411CB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6D0AC9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面源</w:t>
                  </w:r>
                </w:p>
              </w:tc>
              <w:tc>
                <w:tcPr>
                  <w:tcW w:w="4128" w:type="dxa"/>
                  <w:noWrap w:val="0"/>
                  <w:vAlign w:val="center"/>
                </w:tcPr>
                <w:p w14:paraId="06C075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rPr>
                  </w:pPr>
                  <w:r>
                    <w:rPr>
                      <w:rFonts w:hint="default" w:ascii="Times New Roman" w:hAnsi="Times New Roman" w:cs="Times New Roman"/>
                      <w:b/>
                      <w:color w:val="auto"/>
                      <w:sz w:val="21"/>
                      <w:szCs w:val="21"/>
                      <w:lang w:val="en-US" w:eastAsia="zh-CN"/>
                    </w:rPr>
                    <w:t>厂房六七楼</w:t>
                  </w:r>
                </w:p>
              </w:tc>
            </w:tr>
            <w:tr w14:paraId="2A557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01B6EA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参数选取</w:t>
                  </w:r>
                </w:p>
              </w:tc>
              <w:tc>
                <w:tcPr>
                  <w:tcW w:w="4128" w:type="dxa"/>
                  <w:noWrap w:val="0"/>
                  <w:vAlign w:val="center"/>
                </w:tcPr>
                <w:p w14:paraId="5C8B4B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p>
              </w:tc>
            </w:tr>
            <w:tr w14:paraId="57584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4554CC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w:t>
                  </w:r>
                  <w:r>
                    <w:rPr>
                      <w:rFonts w:hint="default" w:ascii="Times New Roman" w:hAnsi="Times New Roman" w:eastAsia="宋体" w:cs="Times New Roman"/>
                      <w:color w:val="auto"/>
                      <w:sz w:val="21"/>
                      <w:szCs w:val="21"/>
                      <w:highlight w:val="none"/>
                      <w:vertAlign w:val="subscript"/>
                    </w:rPr>
                    <w:t>c</w:t>
                  </w:r>
                  <w:r>
                    <w:rPr>
                      <w:rFonts w:hint="default" w:ascii="Times New Roman" w:hAnsi="Times New Roman" w:eastAsia="宋体" w:cs="Times New Roman"/>
                      <w:color w:val="auto"/>
                      <w:sz w:val="21"/>
                      <w:szCs w:val="21"/>
                      <w:highlight w:val="none"/>
                    </w:rPr>
                    <w:t>（kg/h）</w:t>
                  </w:r>
                </w:p>
              </w:tc>
              <w:tc>
                <w:tcPr>
                  <w:tcW w:w="4128" w:type="dxa"/>
                  <w:noWrap w:val="0"/>
                  <w:vAlign w:val="center"/>
                </w:tcPr>
                <w:p w14:paraId="66A3C6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0.0533</w:t>
                  </w:r>
                </w:p>
              </w:tc>
            </w:tr>
            <w:tr w14:paraId="63ACF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05679C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w:t>
                  </w:r>
                  <w:r>
                    <w:rPr>
                      <w:rFonts w:hint="default" w:ascii="Times New Roman" w:hAnsi="Times New Roman" w:eastAsia="宋体" w:cs="Times New Roman"/>
                      <w:color w:val="auto"/>
                      <w:sz w:val="21"/>
                      <w:szCs w:val="21"/>
                      <w:highlight w:val="none"/>
                      <w:vertAlign w:val="subscript"/>
                    </w:rPr>
                    <w:t>m</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tc>
              <w:tc>
                <w:tcPr>
                  <w:tcW w:w="4128" w:type="dxa"/>
                  <w:noWrap w:val="0"/>
                  <w:vAlign w:val="center"/>
                </w:tcPr>
                <w:p w14:paraId="2258EF7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p>
              </w:tc>
            </w:tr>
            <w:tr w14:paraId="7E24F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425A4F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w:t>
                  </w:r>
                </w:p>
              </w:tc>
              <w:tc>
                <w:tcPr>
                  <w:tcW w:w="4128" w:type="dxa"/>
                  <w:noWrap w:val="0"/>
                  <w:vAlign w:val="center"/>
                </w:tcPr>
                <w:p w14:paraId="048A3B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2097.36</w:t>
                  </w:r>
                </w:p>
              </w:tc>
            </w:tr>
            <w:tr w14:paraId="05C3C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391" w:type="dxa"/>
                  <w:noWrap w:val="0"/>
                  <w:vAlign w:val="center"/>
                </w:tcPr>
                <w:p w14:paraId="2ACC66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rPr>
                  </w:pPr>
                  <w:r>
                    <w:rPr>
                      <w:rFonts w:hint="default" w:ascii="Times New Roman" w:hAnsi="Times New Roman" w:eastAsia="宋体" w:cs="Times New Roman"/>
                      <w:color w:val="auto"/>
                      <w:spacing w:val="-4"/>
                      <w:kern w:val="0"/>
                      <w:sz w:val="21"/>
                      <w:szCs w:val="21"/>
                      <w:highlight w:val="none"/>
                    </w:rPr>
                    <w:t>A</w:t>
                  </w:r>
                </w:p>
              </w:tc>
              <w:tc>
                <w:tcPr>
                  <w:tcW w:w="4128" w:type="dxa"/>
                  <w:noWrap w:val="0"/>
                  <w:vAlign w:val="center"/>
                </w:tcPr>
                <w:p w14:paraId="5D5EE5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lang w:val="en-US" w:eastAsia="zh-CN"/>
                    </w:rPr>
                  </w:pPr>
                  <w:r>
                    <w:rPr>
                      <w:rFonts w:hint="default" w:ascii="Times New Roman" w:hAnsi="Times New Roman" w:eastAsia="宋体" w:cs="Times New Roman"/>
                      <w:color w:val="auto"/>
                      <w:spacing w:val="-4"/>
                      <w:kern w:val="0"/>
                      <w:sz w:val="21"/>
                      <w:szCs w:val="21"/>
                      <w:highlight w:val="none"/>
                      <w:lang w:val="en-US" w:eastAsia="zh-CN"/>
                    </w:rPr>
                    <w:t>400</w:t>
                  </w:r>
                </w:p>
              </w:tc>
            </w:tr>
            <w:tr w14:paraId="6C6BA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391" w:type="dxa"/>
                  <w:noWrap w:val="0"/>
                  <w:vAlign w:val="center"/>
                </w:tcPr>
                <w:p w14:paraId="3E8DA1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rPr>
                  </w:pPr>
                  <w:r>
                    <w:rPr>
                      <w:rFonts w:hint="default" w:ascii="Times New Roman" w:hAnsi="Times New Roman" w:eastAsia="宋体" w:cs="Times New Roman"/>
                      <w:color w:val="auto"/>
                      <w:spacing w:val="-4"/>
                      <w:kern w:val="0"/>
                      <w:sz w:val="21"/>
                      <w:szCs w:val="21"/>
                      <w:highlight w:val="none"/>
                    </w:rPr>
                    <w:t>B</w:t>
                  </w:r>
                </w:p>
              </w:tc>
              <w:tc>
                <w:tcPr>
                  <w:tcW w:w="4128" w:type="dxa"/>
                  <w:noWrap w:val="0"/>
                  <w:vAlign w:val="center"/>
                </w:tcPr>
                <w:p w14:paraId="47F10B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lang w:val="en-US" w:eastAsia="zh-CN"/>
                    </w:rPr>
                  </w:pPr>
                  <w:r>
                    <w:rPr>
                      <w:rFonts w:hint="default" w:ascii="Times New Roman" w:hAnsi="Times New Roman" w:eastAsia="宋体" w:cs="Times New Roman"/>
                      <w:color w:val="auto"/>
                      <w:spacing w:val="-4"/>
                      <w:kern w:val="0"/>
                      <w:sz w:val="21"/>
                      <w:szCs w:val="21"/>
                      <w:highlight w:val="none"/>
                      <w:lang w:val="en-US" w:eastAsia="zh-CN"/>
                    </w:rPr>
                    <w:t>0.01</w:t>
                  </w:r>
                </w:p>
              </w:tc>
            </w:tr>
            <w:tr w14:paraId="65462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391" w:type="dxa"/>
                  <w:noWrap w:val="0"/>
                  <w:vAlign w:val="center"/>
                </w:tcPr>
                <w:p w14:paraId="7913A8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rPr>
                  </w:pPr>
                  <w:r>
                    <w:rPr>
                      <w:rFonts w:hint="default" w:ascii="Times New Roman" w:hAnsi="Times New Roman" w:eastAsia="宋体" w:cs="Times New Roman"/>
                      <w:color w:val="auto"/>
                      <w:spacing w:val="-4"/>
                      <w:kern w:val="0"/>
                      <w:sz w:val="21"/>
                      <w:szCs w:val="21"/>
                      <w:highlight w:val="none"/>
                    </w:rPr>
                    <w:t>C</w:t>
                  </w:r>
                </w:p>
              </w:tc>
              <w:tc>
                <w:tcPr>
                  <w:tcW w:w="4128" w:type="dxa"/>
                  <w:noWrap w:val="0"/>
                  <w:vAlign w:val="center"/>
                </w:tcPr>
                <w:p w14:paraId="63FAED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lang w:val="en-US" w:eastAsia="zh-CN"/>
                    </w:rPr>
                  </w:pPr>
                  <w:r>
                    <w:rPr>
                      <w:rFonts w:hint="default" w:ascii="Times New Roman" w:hAnsi="Times New Roman" w:eastAsia="宋体" w:cs="Times New Roman"/>
                      <w:color w:val="auto"/>
                      <w:spacing w:val="-4"/>
                      <w:kern w:val="0"/>
                      <w:sz w:val="21"/>
                      <w:szCs w:val="21"/>
                      <w:highlight w:val="none"/>
                      <w:lang w:val="en-US" w:eastAsia="zh-CN"/>
                    </w:rPr>
                    <w:t>1.85</w:t>
                  </w:r>
                </w:p>
              </w:tc>
            </w:tr>
            <w:tr w14:paraId="60ED6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391" w:type="dxa"/>
                  <w:noWrap w:val="0"/>
                  <w:vAlign w:val="center"/>
                </w:tcPr>
                <w:p w14:paraId="012578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rPr>
                  </w:pPr>
                  <w:r>
                    <w:rPr>
                      <w:rFonts w:hint="default" w:ascii="Times New Roman" w:hAnsi="Times New Roman" w:eastAsia="宋体" w:cs="Times New Roman"/>
                      <w:color w:val="auto"/>
                      <w:spacing w:val="-4"/>
                      <w:kern w:val="0"/>
                      <w:sz w:val="21"/>
                      <w:szCs w:val="21"/>
                      <w:highlight w:val="none"/>
                    </w:rPr>
                    <w:t>D</w:t>
                  </w:r>
                </w:p>
              </w:tc>
              <w:tc>
                <w:tcPr>
                  <w:tcW w:w="4128" w:type="dxa"/>
                  <w:noWrap w:val="0"/>
                  <w:vAlign w:val="center"/>
                </w:tcPr>
                <w:p w14:paraId="5ED38D2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lang w:val="en-US" w:eastAsia="zh-CN"/>
                    </w:rPr>
                  </w:pPr>
                  <w:r>
                    <w:rPr>
                      <w:rFonts w:hint="default" w:ascii="Times New Roman" w:hAnsi="Times New Roman" w:eastAsia="宋体" w:cs="Times New Roman"/>
                      <w:color w:val="auto"/>
                      <w:spacing w:val="-4"/>
                      <w:kern w:val="0"/>
                      <w:sz w:val="21"/>
                      <w:szCs w:val="21"/>
                      <w:highlight w:val="none"/>
                      <w:lang w:val="en-US" w:eastAsia="zh-CN"/>
                    </w:rPr>
                    <w:t>0.78</w:t>
                  </w:r>
                </w:p>
              </w:tc>
            </w:tr>
            <w:tr w14:paraId="65111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78ABF9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卫生防护距离初值(m)</w:t>
                  </w:r>
                </w:p>
              </w:tc>
              <w:tc>
                <w:tcPr>
                  <w:tcW w:w="4128" w:type="dxa"/>
                  <w:noWrap w:val="0"/>
                  <w:vAlign w:val="center"/>
                </w:tcPr>
                <w:p w14:paraId="086F3C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3.53</w:t>
                  </w:r>
                </w:p>
              </w:tc>
            </w:tr>
            <w:tr w14:paraId="7A7F9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391" w:type="dxa"/>
                  <w:noWrap w:val="0"/>
                  <w:vAlign w:val="center"/>
                </w:tcPr>
                <w:p w14:paraId="649C56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需要设置的环境防护距离（m）</w:t>
                  </w:r>
                </w:p>
              </w:tc>
              <w:tc>
                <w:tcPr>
                  <w:tcW w:w="4128" w:type="dxa"/>
                  <w:noWrap w:val="0"/>
                  <w:vAlign w:val="center"/>
                </w:tcPr>
                <w:p w14:paraId="2FAE86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w:t>
                  </w:r>
                </w:p>
              </w:tc>
            </w:tr>
          </w:tbl>
          <w:p w14:paraId="7D5FA52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2"/>
                <w:sz w:val="24"/>
                <w:szCs w:val="24"/>
                <w:highlight w:val="none"/>
                <w:lang w:val="en-US" w:eastAsia="zh-CN" w:bidi="ar-SA"/>
              </w:rPr>
              <w:t>由上表可知，计算初值小于50m，则卫生防护距离终值为50m。根据现场勘察，本项目</w:t>
            </w:r>
            <w:r>
              <w:rPr>
                <w:rFonts w:hint="default" w:ascii="Times New Roman" w:hAnsi="Times New Roman" w:eastAsia="宋体" w:cs="Times New Roman"/>
                <w:color w:val="auto"/>
                <w:sz w:val="24"/>
                <w:szCs w:val="24"/>
                <w:lang w:val="en-US" w:eastAsia="zh-CN"/>
              </w:rPr>
              <w:t>最近的敏感点为</w:t>
            </w:r>
            <w:r>
              <w:rPr>
                <w:rFonts w:hint="default" w:ascii="Times New Roman" w:hAnsi="Times New Roman" w:cs="Times New Roman"/>
                <w:color w:val="auto"/>
                <w:sz w:val="24"/>
                <w:szCs w:val="24"/>
                <w:lang w:val="en-US" w:eastAsia="zh-CN"/>
              </w:rPr>
              <w:t>西北</w:t>
            </w:r>
            <w:r>
              <w:rPr>
                <w:rFonts w:hint="default" w:ascii="Times New Roman" w:hAnsi="Times New Roman" w:eastAsia="宋体" w:cs="Times New Roman"/>
                <w:color w:val="auto"/>
                <w:sz w:val="24"/>
                <w:szCs w:val="24"/>
                <w:lang w:val="en-US" w:eastAsia="zh-CN"/>
              </w:rPr>
              <w:t>面</w:t>
            </w:r>
            <w:r>
              <w:rPr>
                <w:rFonts w:hint="default" w:ascii="Times New Roman" w:hAnsi="Times New Roman" w:cs="Times New Roman"/>
                <w:color w:val="auto"/>
                <w:sz w:val="24"/>
                <w:szCs w:val="24"/>
                <w:lang w:val="en-US" w:eastAsia="zh-CN"/>
              </w:rPr>
              <w:t>388</w:t>
            </w:r>
            <w:r>
              <w:rPr>
                <w:rFonts w:hint="default" w:ascii="Times New Roman" w:hAnsi="Times New Roman" w:eastAsia="宋体" w:cs="Times New Roman"/>
                <w:color w:val="auto"/>
                <w:sz w:val="24"/>
                <w:szCs w:val="24"/>
                <w:lang w:val="en-US" w:eastAsia="zh-CN"/>
              </w:rPr>
              <w:t>m的</w:t>
            </w:r>
            <w:r>
              <w:rPr>
                <w:rFonts w:hint="default" w:ascii="Times New Roman" w:hAnsi="Times New Roman" w:cs="Times New Roman"/>
                <w:color w:val="auto"/>
                <w:sz w:val="24"/>
                <w:szCs w:val="24"/>
                <w:lang w:val="en-US" w:eastAsia="zh-CN"/>
              </w:rPr>
              <w:t>李屋村</w:t>
            </w:r>
            <w:r>
              <w:rPr>
                <w:rFonts w:hint="default" w:ascii="Times New Roman" w:hAnsi="Times New Roman" w:eastAsia="宋体" w:cs="Times New Roman"/>
                <w:color w:val="auto"/>
                <w:kern w:val="2"/>
                <w:sz w:val="24"/>
                <w:szCs w:val="24"/>
                <w:highlight w:val="none"/>
                <w:lang w:val="en-US" w:eastAsia="zh-CN" w:bidi="ar-SA"/>
              </w:rPr>
              <w:t>，因此，本项目能够满足卫生防护距离的要求。此外，本环评建议有关部门在今后的规划中，在项目大气卫生防护范围内严禁新建居住区等敏感性建筑物及对环境要求较高的企业。</w:t>
            </w:r>
          </w:p>
          <w:p w14:paraId="1B14E49C">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w:t>
            </w:r>
            <w:r>
              <w:rPr>
                <w:rFonts w:hint="default" w:ascii="Times New Roman" w:hAnsi="Times New Roman" w:cs="Times New Roman"/>
                <w:b/>
                <w:bCs/>
                <w:color w:val="auto"/>
                <w:szCs w:val="22"/>
                <w:lang w:val="en-US" w:eastAsia="zh-CN"/>
              </w:rPr>
              <w:t>8</w:t>
            </w:r>
            <w:r>
              <w:rPr>
                <w:rFonts w:hint="default" w:ascii="Times New Roman" w:hAnsi="Times New Roman" w:cs="Times New Roman"/>
                <w:b/>
                <w:bCs/>
                <w:color w:val="auto"/>
                <w:szCs w:val="22"/>
              </w:rPr>
              <w:t>）项目废气排放对大气环境的影响分析</w:t>
            </w:r>
          </w:p>
          <w:p w14:paraId="12F3008E">
            <w:pPr>
              <w:keepNext w:val="0"/>
              <w:keepLines w:val="0"/>
              <w:pageBreakBefore w:val="0"/>
              <w:widowControl w:val="0"/>
              <w:suppressLineNumbers w:val="0"/>
              <w:kinsoku/>
              <w:wordWrap w:val="0"/>
              <w:overflowPunct/>
              <w:topLinePunct w:val="0"/>
              <w:bidi w:val="0"/>
              <w:adjustRightInd/>
              <w:snapToGrid/>
              <w:spacing w:before="0" w:beforeAutospacing="0" w:after="0" w:afterAutospacing="0" w:line="360" w:lineRule="auto"/>
              <w:ind w:right="0" w:firstLine="480" w:firstLineChars="200"/>
              <w:jc w:val="both"/>
              <w:textAlignment w:val="baseline"/>
              <w:rPr>
                <w:rFonts w:hint="default" w:ascii="Times New Roman" w:hAnsi="Times New Roman" w:eastAsia="宋体" w:cs="Times New Roman"/>
                <w:color w:val="auto"/>
                <w:szCs w:val="22"/>
                <w:lang w:val="en-US" w:eastAsia="zh-CN"/>
              </w:rPr>
            </w:pPr>
            <w:r>
              <w:rPr>
                <w:rFonts w:hint="default" w:ascii="Times New Roman" w:hAnsi="Times New Roman" w:eastAsia="宋体" w:cs="Times New Roman"/>
                <w:color w:val="auto"/>
                <w:szCs w:val="22"/>
              </w:rPr>
              <w:t>根据</w:t>
            </w:r>
            <w:r>
              <w:rPr>
                <w:rFonts w:hint="default" w:ascii="Times New Roman" w:hAnsi="Times New Roman" w:eastAsia="宋体" w:cs="Times New Roman"/>
                <w:color w:val="auto"/>
                <w:sz w:val="24"/>
                <w:szCs w:val="24"/>
                <w:vertAlign w:val="baseline"/>
                <w:lang w:val="en-US" w:eastAsia="zh-CN"/>
              </w:rPr>
              <w:t>《关于印发惠州市环境空气质量功能区划（2021 年修订）的通知》（惠市环[2021]1号）</w:t>
            </w:r>
            <w:r>
              <w:rPr>
                <w:rFonts w:hint="default" w:ascii="Times New Roman" w:hAnsi="Times New Roman" w:eastAsia="宋体" w:cs="Times New Roman"/>
                <w:color w:val="auto"/>
                <w:szCs w:val="22"/>
              </w:rPr>
              <w:t>，项目所在地属环境空气质量功能区的二类区，环境空气质量应执行《环境空气质量标准》（GB3095-2012）中规定的二级标准。</w:t>
            </w:r>
            <w:r>
              <w:rPr>
                <w:rFonts w:hint="default" w:ascii="Times New Roman" w:hAnsi="Times New Roman" w:eastAsia="宋体" w:cs="Times New Roman"/>
                <w:color w:val="auto"/>
                <w:sz w:val="24"/>
                <w:szCs w:val="22"/>
              </w:rPr>
              <w:t>根据《202</w:t>
            </w:r>
            <w:r>
              <w:rPr>
                <w:rFonts w:hint="default" w:ascii="Times New Roman" w:hAnsi="Times New Roman" w:eastAsia="宋体" w:cs="Times New Roman"/>
                <w:color w:val="auto"/>
                <w:sz w:val="24"/>
                <w:szCs w:val="22"/>
                <w:lang w:val="en-US" w:eastAsia="zh-CN"/>
              </w:rPr>
              <w:t>1</w:t>
            </w:r>
            <w:r>
              <w:rPr>
                <w:rFonts w:hint="default" w:ascii="Times New Roman" w:hAnsi="Times New Roman" w:eastAsia="宋体" w:cs="Times New Roman"/>
                <w:color w:val="auto"/>
                <w:sz w:val="24"/>
                <w:szCs w:val="22"/>
              </w:rPr>
              <w:t>年惠州市生态环境状况公报》显示，</w:t>
            </w:r>
            <w:r>
              <w:rPr>
                <w:rFonts w:hint="default" w:ascii="Times New Roman" w:hAnsi="Times New Roman" w:eastAsia="宋体" w:cs="Times New Roman"/>
                <w:color w:val="auto"/>
                <w:sz w:val="24"/>
                <w:szCs w:val="22"/>
                <w:lang w:val="en-US" w:eastAsia="zh-CN"/>
              </w:rPr>
              <w:t>项目所在区域六项基本污染物达标。根据引用数据显示，项目周边非甲烷总烃浓度可以</w:t>
            </w:r>
            <w:r>
              <w:rPr>
                <w:rFonts w:hint="default" w:ascii="Times New Roman" w:hAnsi="Times New Roman" w:eastAsia="宋体" w:cs="Times New Roman"/>
                <w:b w:val="0"/>
                <w:bCs w:val="0"/>
                <w:color w:val="auto"/>
                <w:kern w:val="0"/>
                <w:sz w:val="24"/>
                <w:szCs w:val="22"/>
                <w:lang w:val="en-US" w:eastAsia="zh-CN" w:bidi="ar-SA"/>
              </w:rPr>
              <w:t>达到</w:t>
            </w:r>
            <w:r>
              <w:rPr>
                <w:rFonts w:hint="default" w:ascii="Times New Roman" w:hAnsi="Times New Roman" w:eastAsia="宋体" w:cs="Times New Roman"/>
                <w:color w:val="auto"/>
                <w:kern w:val="2"/>
                <w:sz w:val="24"/>
                <w:szCs w:val="22"/>
                <w:lang w:val="en-US" w:eastAsia="zh-CN" w:bidi="ar-SA"/>
              </w:rPr>
              <w:t>《大气污染物综合排放标准详解》标准限值，项目所在区域为达标区域。</w:t>
            </w:r>
          </w:p>
          <w:p w14:paraId="66D87F09">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lang w:val="en-US" w:eastAsia="zh-CN"/>
              </w:rPr>
              <w:t>项目</w:t>
            </w:r>
            <w:r>
              <w:rPr>
                <w:rFonts w:hint="default" w:ascii="Times New Roman" w:hAnsi="Times New Roman" w:cs="Times New Roman"/>
                <w:color w:val="auto"/>
                <w:szCs w:val="22"/>
              </w:rPr>
              <w:t>喷漆工序废气经水帘柜预处理后与烘烤、移印、密炼、硫化等工序废气收集至“水喷淋+干式过滤+二级活性炭吸附”装置处理后引至排气筒DA001排放，注塑、</w:t>
            </w:r>
            <w:r>
              <w:rPr>
                <w:rFonts w:hint="default" w:ascii="Times New Roman" w:hAnsi="Times New Roman" w:cs="Times New Roman"/>
                <w:color w:val="auto"/>
                <w:szCs w:val="22"/>
                <w:lang w:eastAsia="zh-CN"/>
              </w:rPr>
              <w:t>液态成型</w:t>
            </w:r>
            <w:r>
              <w:rPr>
                <w:rFonts w:hint="default" w:ascii="Times New Roman" w:hAnsi="Times New Roman" w:cs="Times New Roman"/>
                <w:color w:val="auto"/>
                <w:szCs w:val="22"/>
              </w:rPr>
              <w:t>工序废气经集气罩收集至“水喷淋+干式过滤+二级活性炭吸附”装置处理后引至排气筒DA002排放。</w:t>
            </w:r>
            <w:r>
              <w:rPr>
                <w:rFonts w:hint="default" w:ascii="Times New Roman" w:hAnsi="Times New Roman" w:cs="Times New Roman"/>
                <w:color w:val="auto"/>
                <w:szCs w:val="22"/>
                <w:lang w:val="en-US" w:eastAsia="zh-CN"/>
              </w:rPr>
              <w:t>机加工、电火花、破碎工序废气在车间自然沉降后无组织排放</w:t>
            </w:r>
            <w:r>
              <w:rPr>
                <w:rFonts w:hint="default" w:ascii="Times New Roman" w:hAnsi="Times New Roman" w:cs="Times New Roman"/>
                <w:color w:val="auto"/>
                <w:szCs w:val="22"/>
              </w:rPr>
              <w:t>。经上述废气处理设施处理后，</w:t>
            </w:r>
            <w:r>
              <w:rPr>
                <w:rFonts w:hint="default" w:ascii="Times New Roman" w:hAnsi="Times New Roman" w:cs="Times New Roman"/>
                <w:color w:val="auto"/>
                <w:szCs w:val="22"/>
                <w:lang w:val="en-US" w:eastAsia="zh-CN"/>
              </w:rPr>
              <w:t>DA001</w:t>
            </w:r>
            <w:r>
              <w:rPr>
                <w:rFonts w:hint="default" w:ascii="Times New Roman" w:hAnsi="Times New Roman" w:eastAsia="宋体" w:cs="Times New Roman"/>
                <w:bCs/>
                <w:color w:val="auto"/>
                <w:sz w:val="24"/>
                <w:szCs w:val="24"/>
                <w:lang w:val="en-US" w:eastAsia="zh-CN" w:bidi="ar"/>
              </w:rPr>
              <w:t>非甲烷总烃有组织排放可达到</w:t>
            </w:r>
            <w:r>
              <w:rPr>
                <w:rFonts w:hint="default" w:ascii="Times New Roman" w:hAnsi="Times New Roman" w:eastAsia="宋体" w:cs="Times New Roman"/>
                <w:bCs/>
                <w:color w:val="auto"/>
                <w:sz w:val="24"/>
                <w:szCs w:val="24"/>
                <w:lang w:bidi="ar"/>
              </w:rPr>
              <w:t>广东省《固定污染源挥发性有机物综合排放标准》（DB44/2367-2022）表1 NMHC最高允许浓度限值</w:t>
            </w:r>
            <w:r>
              <w:rPr>
                <w:rFonts w:hint="default" w:ascii="Times New Roman" w:hAnsi="Times New Roman" w:cs="Times New Roman"/>
                <w:bCs/>
                <w:color w:val="auto"/>
                <w:sz w:val="24"/>
                <w:szCs w:val="24"/>
                <w:lang w:eastAsia="zh-CN" w:bidi="ar"/>
              </w:rPr>
              <w:t>、</w:t>
            </w:r>
            <w:r>
              <w:rPr>
                <w:rFonts w:hint="default" w:ascii="Times New Roman" w:hAnsi="Times New Roman" w:cs="Times New Roman"/>
                <w:bCs/>
                <w:color w:val="auto"/>
                <w:sz w:val="24"/>
                <w:szCs w:val="24"/>
                <w:lang w:val="en-US" w:eastAsia="zh-CN" w:bidi="ar"/>
              </w:rPr>
              <w:t>《橡胶制品工业污染物排放标准》（GB27632-2011）表5中新建企业大气污染物排放限值</w:t>
            </w:r>
            <w:r>
              <w:rPr>
                <w:rFonts w:hint="default" w:ascii="Times New Roman" w:hAnsi="Times New Roman" w:eastAsia="宋体" w:cs="Times New Roman"/>
                <w:bCs/>
                <w:color w:val="auto"/>
                <w:sz w:val="24"/>
                <w:szCs w:val="24"/>
                <w:lang w:val="en-US" w:eastAsia="zh-CN" w:bidi="ar"/>
              </w:rPr>
              <w:t>及《印刷工业大气污染物排放标准》（GB 41616—2022）表1排放限值要求的</w:t>
            </w:r>
            <w:r>
              <w:rPr>
                <w:rFonts w:hint="default" w:ascii="Times New Roman" w:hAnsi="Times New Roman" w:cs="Times New Roman"/>
                <w:bCs/>
                <w:color w:val="auto"/>
                <w:sz w:val="24"/>
                <w:szCs w:val="24"/>
                <w:lang w:val="en-US" w:eastAsia="zh-CN" w:bidi="ar"/>
              </w:rPr>
              <w:t>三者</w:t>
            </w:r>
            <w:r>
              <w:rPr>
                <w:rFonts w:hint="default" w:ascii="Times New Roman" w:hAnsi="Times New Roman" w:eastAsia="宋体" w:cs="Times New Roman"/>
                <w:bCs/>
                <w:color w:val="auto"/>
                <w:sz w:val="24"/>
                <w:szCs w:val="24"/>
                <w:lang w:val="en-US" w:eastAsia="zh-CN" w:bidi="ar"/>
              </w:rPr>
              <w:t>较严值，TVOC有组织排放可达到</w:t>
            </w:r>
            <w:r>
              <w:rPr>
                <w:rFonts w:hint="default" w:ascii="Times New Roman" w:hAnsi="Times New Roman" w:eastAsia="宋体" w:cs="Times New Roman"/>
                <w:bCs/>
                <w:color w:val="auto"/>
                <w:sz w:val="24"/>
                <w:szCs w:val="24"/>
                <w:lang w:bidi="ar"/>
              </w:rPr>
              <w:t>广东省《固定污染源挥发性有机物综合排放标准》（DB44/2367-2022）表1 TVOC最高允许浓度限值</w:t>
            </w:r>
            <w:r>
              <w:rPr>
                <w:rFonts w:hint="default" w:ascii="Times New Roman" w:hAnsi="Times New Roman" w:eastAsia="宋体" w:cs="Times New Roman"/>
                <w:bCs/>
                <w:color w:val="auto"/>
                <w:sz w:val="24"/>
                <w:szCs w:val="24"/>
                <w:lang w:eastAsia="zh-CN" w:bidi="ar"/>
              </w:rPr>
              <w:t>，</w:t>
            </w:r>
            <w:r>
              <w:rPr>
                <w:rFonts w:hint="default" w:ascii="Times New Roman" w:hAnsi="Times New Roman" w:eastAsia="宋体" w:cs="Times New Roman"/>
                <w:bCs/>
                <w:color w:val="auto"/>
                <w:sz w:val="24"/>
                <w:szCs w:val="24"/>
                <w:lang w:val="en-US" w:eastAsia="zh-CN" w:bidi="ar"/>
              </w:rPr>
              <w:t>总VOCs有组织排放可达到广东省《印刷行业挥发性有机化合物排放标准》（DB44/815-2010）表2第II时段标准限值要求，颗粒物有组织排放执行广东省《大气污染物排放限值》（DB44/27-2001）中第二时段二级标准限值。臭气浓度有组织排放可达到《恶臭污染物排放标准》（GB14554-93）表2恶臭污染物排放标准值；DA002非甲烷总烃有组织排放可达到</w:t>
            </w:r>
            <w:r>
              <w:rPr>
                <w:rFonts w:hint="default" w:ascii="Times New Roman" w:hAnsi="Times New Roman" w:eastAsia="宋体" w:cs="Times New Roman"/>
                <w:bCs/>
                <w:color w:val="auto"/>
                <w:sz w:val="24"/>
                <w:szCs w:val="24"/>
                <w:lang w:eastAsia="zh-CN" w:bidi="ar"/>
              </w:rPr>
              <w:t>《合成树脂工业污染物排放标准》（GB31572-2015，含2024年修改单）</w:t>
            </w:r>
            <w:r>
              <w:rPr>
                <w:rFonts w:hint="default" w:ascii="Times New Roman" w:hAnsi="Times New Roman" w:eastAsia="宋体" w:cs="Times New Roman"/>
                <w:bCs/>
                <w:color w:val="auto"/>
                <w:sz w:val="24"/>
                <w:szCs w:val="24"/>
                <w:lang w:bidi="ar"/>
              </w:rPr>
              <w:t>表5</w:t>
            </w:r>
            <w:r>
              <w:rPr>
                <w:rFonts w:hint="default" w:ascii="Times New Roman" w:hAnsi="Times New Roman" w:eastAsia="宋体" w:cs="Times New Roman"/>
                <w:bCs/>
                <w:color w:val="auto"/>
                <w:sz w:val="24"/>
                <w:szCs w:val="24"/>
                <w:lang w:val="en-US" w:eastAsia="zh-CN" w:bidi="ar"/>
              </w:rPr>
              <w:t>大气污染物特别排放限值</w:t>
            </w:r>
            <w:r>
              <w:rPr>
                <w:rFonts w:hint="default" w:ascii="Times New Roman" w:hAnsi="Times New Roman" w:cs="Times New Roman"/>
                <w:bCs/>
                <w:color w:val="auto"/>
                <w:sz w:val="24"/>
                <w:szCs w:val="24"/>
                <w:lang w:val="en-US" w:eastAsia="zh-CN" w:bidi="ar"/>
              </w:rPr>
              <w:t>和</w:t>
            </w:r>
            <w:r>
              <w:rPr>
                <w:rFonts w:hint="default" w:ascii="Times New Roman" w:hAnsi="Times New Roman" w:eastAsia="宋体" w:cs="Times New Roman"/>
                <w:bCs/>
                <w:color w:val="auto"/>
                <w:sz w:val="24"/>
                <w:szCs w:val="24"/>
                <w:lang w:val="en-US" w:eastAsia="zh-CN" w:bidi="ar"/>
              </w:rPr>
              <w:t>《橡胶制品工业污染物排放标准》（GB27632-2011）表5新建企业大气污染物排放限值两者的较严值</w:t>
            </w:r>
            <w:r>
              <w:rPr>
                <w:rFonts w:hint="default" w:ascii="Times New Roman" w:hAnsi="Times New Roman" w:cs="Times New Roman"/>
                <w:bCs/>
                <w:color w:val="auto"/>
                <w:sz w:val="24"/>
                <w:szCs w:val="24"/>
                <w:lang w:val="en-US" w:eastAsia="zh-CN" w:bidi="ar"/>
              </w:rPr>
              <w:t>；</w:t>
            </w:r>
            <w:r>
              <w:rPr>
                <w:rFonts w:hint="default" w:ascii="Times New Roman" w:hAnsi="Times New Roman" w:eastAsia="宋体" w:cs="Times New Roman"/>
                <w:bCs/>
                <w:color w:val="auto"/>
                <w:sz w:val="24"/>
                <w:szCs w:val="24"/>
                <w:lang w:val="en-US" w:eastAsia="zh-CN" w:bidi="ar"/>
              </w:rPr>
              <w:t>苯乙烯、丙烯腈、1，3-丁二烯、甲苯、乙苯等有组织排放可达到</w:t>
            </w:r>
            <w:r>
              <w:rPr>
                <w:rFonts w:hint="default" w:ascii="Times New Roman" w:hAnsi="Times New Roman" w:eastAsia="宋体" w:cs="Times New Roman"/>
                <w:bCs/>
                <w:color w:val="auto"/>
                <w:sz w:val="24"/>
                <w:szCs w:val="24"/>
                <w:lang w:eastAsia="zh-CN" w:bidi="ar"/>
              </w:rPr>
              <w:t>《合成树脂工业污染物排放标准》（GB31572-2015，含2024年修改单）</w:t>
            </w:r>
            <w:r>
              <w:rPr>
                <w:rFonts w:hint="default" w:ascii="Times New Roman" w:hAnsi="Times New Roman" w:eastAsia="宋体" w:cs="Times New Roman"/>
                <w:bCs/>
                <w:color w:val="auto"/>
                <w:sz w:val="24"/>
                <w:szCs w:val="24"/>
                <w:lang w:bidi="ar"/>
              </w:rPr>
              <w:t>表5</w:t>
            </w:r>
            <w:r>
              <w:rPr>
                <w:rFonts w:hint="default" w:ascii="Times New Roman" w:hAnsi="Times New Roman" w:eastAsia="宋体" w:cs="Times New Roman"/>
                <w:bCs/>
                <w:color w:val="auto"/>
                <w:sz w:val="24"/>
                <w:szCs w:val="24"/>
                <w:lang w:val="en-US" w:eastAsia="zh-CN" w:bidi="ar"/>
              </w:rPr>
              <w:t>大气污染物特别排放限值；臭气浓度有组织排放可达到《恶臭污染物排放标准》（GB14554-93）表2恶臭污染物排放标准值。</w:t>
            </w:r>
            <w:r>
              <w:rPr>
                <w:rFonts w:hint="default" w:ascii="Times New Roman" w:hAnsi="Times New Roman" w:cs="Times New Roman"/>
                <w:bCs/>
                <w:color w:val="auto"/>
                <w:sz w:val="24"/>
                <w:szCs w:val="24"/>
                <w:lang w:val="en-US" w:eastAsia="zh-CN" w:bidi="ar"/>
              </w:rPr>
              <w:t>厂界无组织颗粒物排放可达到</w:t>
            </w:r>
            <w:r>
              <w:rPr>
                <w:rFonts w:hint="default" w:ascii="Times New Roman" w:hAnsi="Times New Roman" w:eastAsia="宋体" w:cs="Times New Roman"/>
                <w:b w:val="0"/>
                <w:bCs/>
                <w:color w:val="auto"/>
                <w:kern w:val="2"/>
                <w:sz w:val="24"/>
                <w:szCs w:val="24"/>
                <w:highlight w:val="none"/>
                <w:lang w:val="en-US" w:eastAsia="zh-CN" w:bidi="ar-SA"/>
              </w:rPr>
              <w:t>广东省《大气污染物排放限值》（DB44/27-2001）第二时段无组织排放浓度限、</w:t>
            </w:r>
            <w:r>
              <w:rPr>
                <w:rFonts w:hint="default" w:ascii="Times New Roman" w:hAnsi="Times New Roman" w:cs="Times New Roman"/>
                <w:bCs/>
                <w:color w:val="auto"/>
                <w:lang w:eastAsia="zh-CN" w:bidi="ar"/>
              </w:rPr>
              <w:t>《</w:t>
            </w:r>
            <w:r>
              <w:rPr>
                <w:rFonts w:hint="default" w:ascii="Times New Roman" w:hAnsi="Times New Roman" w:cs="Times New Roman"/>
                <w:bCs/>
                <w:color w:val="auto"/>
                <w:lang w:bidi="ar"/>
              </w:rPr>
              <w:t>合成树脂工业污染物排放标准》（GB31572-2015，含2024年修改单）表</w:t>
            </w:r>
            <w:r>
              <w:rPr>
                <w:rFonts w:hint="default" w:ascii="Times New Roman" w:hAnsi="Times New Roman" w:cs="Times New Roman"/>
                <w:bCs/>
                <w:color w:val="auto"/>
                <w:lang w:val="en-US" w:eastAsia="zh-CN" w:bidi="ar"/>
              </w:rPr>
              <w:t>9企业边界大气污染物浓度限值两者较严值；厂界非甲烷总烃</w:t>
            </w:r>
            <w:r>
              <w:rPr>
                <w:rFonts w:hint="default" w:ascii="Times New Roman" w:hAnsi="Times New Roman" w:eastAsia="宋体" w:cs="Times New Roman"/>
                <w:bCs/>
                <w:color w:val="auto"/>
                <w:sz w:val="24"/>
                <w:szCs w:val="24"/>
                <w:lang w:val="en-US" w:eastAsia="zh-CN" w:bidi="ar"/>
              </w:rPr>
              <w:t>无组织排放可达到《合成树脂工业污染物排放标准》（GB31572-2015，含2024年修改单）表9企业边界大气污染物浓度限值、</w:t>
            </w:r>
            <w:r>
              <w:rPr>
                <w:rFonts w:hint="default" w:ascii="Times New Roman" w:hAnsi="Times New Roman" w:eastAsia="宋体" w:cs="Times New Roman"/>
                <w:b w:val="0"/>
                <w:bCs/>
                <w:color w:val="auto"/>
                <w:kern w:val="2"/>
                <w:sz w:val="24"/>
                <w:szCs w:val="24"/>
                <w:highlight w:val="none"/>
                <w:lang w:val="en-US" w:eastAsia="zh-CN" w:bidi="ar-SA"/>
              </w:rPr>
              <w:t>广东省《大气污染物排放限值》（DB44/27-2001）第二时段无组织排放浓度限值和《橡胶制品工业污染物排放标准》（GB27632-2011）表6厂界无组织排放限值三者较严值；</w:t>
            </w:r>
            <w:r>
              <w:rPr>
                <w:rFonts w:hint="default" w:ascii="Times New Roman" w:hAnsi="Times New Roman" w:eastAsia="宋体" w:cs="Times New Roman"/>
                <w:bCs/>
                <w:color w:val="auto"/>
                <w:sz w:val="24"/>
                <w:szCs w:val="24"/>
                <w:lang w:val="en-US" w:eastAsia="zh-CN" w:bidi="ar"/>
              </w:rPr>
              <w:t>甲苯无组织排放可达到合成树脂工业污染物排放标准》（GB31572-2015，含2024年修改单）表9企业边界大气污染物浓度限值</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bCs/>
                <w:color w:val="auto"/>
                <w:sz w:val="24"/>
                <w:szCs w:val="24"/>
                <w:lang w:val="en-US" w:eastAsia="zh-CN" w:bidi="ar"/>
              </w:rPr>
              <w:t>总VOCs无组织排放可达到《印刷行业挥发性有机化合物排放标准》（DB44/815-2010）和广东省地方标准《家具制造行业挥发性有机化合物排放标准》（DB44/814-2010）两者较严</w:t>
            </w:r>
            <w:r>
              <w:rPr>
                <w:rFonts w:hint="default" w:ascii="Times New Roman" w:hAnsi="Times New Roman" w:cs="Times New Roman"/>
                <w:bCs/>
                <w:color w:val="auto"/>
                <w:sz w:val="24"/>
                <w:szCs w:val="24"/>
                <w:lang w:val="en-US" w:eastAsia="zh-CN" w:bidi="ar"/>
              </w:rPr>
              <w:t>值；</w:t>
            </w:r>
            <w:r>
              <w:rPr>
                <w:rFonts w:hint="default" w:ascii="Times New Roman" w:hAnsi="Times New Roman" w:eastAsia="宋体" w:cs="Times New Roman"/>
                <w:bCs/>
                <w:color w:val="auto"/>
                <w:sz w:val="24"/>
                <w:szCs w:val="24"/>
                <w:lang w:val="en-US" w:eastAsia="zh-CN" w:bidi="ar"/>
              </w:rPr>
              <w:t>臭气浓度无组织排放可达到《恶臭污染物排放标准》（GB14554-93）表1恶臭污染物厂界标准值中新改扩建二级标准值。</w:t>
            </w:r>
            <w:r>
              <w:rPr>
                <w:rFonts w:hint="default" w:ascii="Times New Roman" w:hAnsi="Times New Roman" w:cs="Times New Roman"/>
                <w:color w:val="auto"/>
                <w:szCs w:val="22"/>
                <w:lang w:val="en-US" w:eastAsia="zh-CN"/>
              </w:rPr>
              <w:t>距离项目最近的敏感点为西北面388m的李屋村，项目建成后</w:t>
            </w:r>
            <w:r>
              <w:rPr>
                <w:rFonts w:hint="default" w:ascii="Times New Roman" w:hAnsi="Times New Roman" w:cs="Times New Roman"/>
                <w:color w:val="auto"/>
                <w:szCs w:val="21"/>
              </w:rPr>
              <w:t>对</w:t>
            </w:r>
            <w:r>
              <w:rPr>
                <w:rFonts w:hint="default" w:ascii="Times New Roman" w:hAnsi="Times New Roman" w:cs="Times New Roman"/>
                <w:color w:val="auto"/>
                <w:szCs w:val="21"/>
                <w:lang w:val="en-US" w:eastAsia="zh-CN"/>
              </w:rPr>
              <w:t>附近敏感点及</w:t>
            </w:r>
            <w:r>
              <w:rPr>
                <w:rFonts w:hint="default" w:ascii="Times New Roman" w:hAnsi="Times New Roman" w:cs="Times New Roman"/>
                <w:color w:val="auto"/>
                <w:szCs w:val="21"/>
              </w:rPr>
              <w:t>周边环境造成的影响较小</w:t>
            </w:r>
            <w:r>
              <w:rPr>
                <w:rFonts w:hint="default" w:ascii="Times New Roman" w:hAnsi="Times New Roman" w:cs="Times New Roman"/>
                <w:color w:val="auto"/>
                <w:szCs w:val="22"/>
              </w:rPr>
              <w:t>。</w:t>
            </w:r>
          </w:p>
          <w:p w14:paraId="2E59A7F7">
            <w:pPr>
              <w:rPr>
                <w:rFonts w:hint="default" w:ascii="Times New Roman" w:hAnsi="Times New Roman" w:cs="Times New Roman"/>
                <w:b/>
                <w:color w:val="auto"/>
              </w:rPr>
            </w:pPr>
            <w:r>
              <w:rPr>
                <w:rFonts w:hint="default" w:ascii="Times New Roman" w:hAnsi="Times New Roman" w:cs="Times New Roman"/>
                <w:b/>
                <w:color w:val="auto"/>
              </w:rPr>
              <w:t>2、废水</w:t>
            </w:r>
          </w:p>
          <w:p w14:paraId="742EF8EE">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（1）废水污染源分析</w:t>
            </w:r>
          </w:p>
          <w:p w14:paraId="36253B8B">
            <w:pPr>
              <w:ind w:firstLine="482" w:firstLineChars="200"/>
              <w:rPr>
                <w:rFonts w:hint="default" w:ascii="Times New Roman" w:hAnsi="Times New Roman" w:eastAsia="宋体" w:cs="Times New Roman"/>
                <w:bCs/>
                <w:iCs/>
                <w:color w:val="auto"/>
                <w:kern w:val="0"/>
                <w:lang w:val="en-US" w:eastAsia="zh-CN" w:bidi="ar"/>
              </w:rPr>
            </w:pPr>
            <w:r>
              <w:rPr>
                <w:rFonts w:hint="default" w:ascii="Times New Roman" w:hAnsi="Times New Roman" w:cs="Times New Roman"/>
                <w:b/>
                <w:bCs/>
                <w:color w:val="auto"/>
                <w:kern w:val="0"/>
                <w:szCs w:val="21"/>
              </w:rPr>
              <w:t>①</w:t>
            </w:r>
            <w:r>
              <w:rPr>
                <w:rFonts w:hint="default" w:ascii="Times New Roman" w:hAnsi="Times New Roman" w:cs="Times New Roman"/>
                <w:b/>
                <w:color w:val="auto"/>
                <w:lang w:val="en-US" w:eastAsia="zh-CN"/>
              </w:rPr>
              <w:t>间接冷却废水</w:t>
            </w:r>
          </w:p>
          <w:p w14:paraId="4ECD4485">
            <w:pPr>
              <w:ind w:firstLine="480" w:firstLineChars="200"/>
              <w:rPr>
                <w:rFonts w:hint="default" w:ascii="Times New Roman" w:hAnsi="Times New Roman" w:cs="Times New Roman"/>
                <w:bCs/>
                <w:color w:val="auto"/>
                <w:szCs w:val="21"/>
              </w:rPr>
            </w:pPr>
            <w:r>
              <w:rPr>
                <w:rFonts w:hint="default" w:ascii="Times New Roman" w:hAnsi="Times New Roman" w:cs="Times New Roman"/>
                <w:bCs/>
                <w:iCs/>
                <w:color w:val="auto"/>
                <w:kern w:val="0"/>
                <w:lang w:bidi="ar"/>
              </w:rPr>
              <w:t>根据</w:t>
            </w:r>
            <w:r>
              <w:rPr>
                <w:rFonts w:hint="default" w:ascii="Times New Roman" w:hAnsi="Times New Roman" w:cs="Times New Roman"/>
                <w:bCs/>
                <w:iCs/>
                <w:color w:val="auto"/>
                <w:kern w:val="0"/>
                <w:lang w:val="en-US" w:eastAsia="zh-CN" w:bidi="ar"/>
              </w:rPr>
              <w:t>前文</w:t>
            </w:r>
            <w:r>
              <w:rPr>
                <w:rFonts w:hint="default" w:ascii="Times New Roman" w:hAnsi="Times New Roman" w:cs="Times New Roman"/>
                <w:bCs/>
                <w:iCs/>
                <w:color w:val="auto"/>
                <w:kern w:val="0"/>
                <w:lang w:bidi="ar"/>
              </w:rPr>
              <w:t>分析，</w:t>
            </w:r>
            <w:r>
              <w:rPr>
                <w:rFonts w:hint="default" w:ascii="Times New Roman" w:hAnsi="Times New Roman" w:cs="Times New Roman"/>
                <w:bCs/>
                <w:color w:val="auto"/>
                <w:szCs w:val="21"/>
                <w:lang w:val="en-US" w:eastAsia="zh-CN"/>
              </w:rPr>
              <w:t>间接冷却废水量为</w:t>
            </w:r>
            <w:r>
              <w:rPr>
                <w:rFonts w:hint="default" w:ascii="Times New Roman" w:hAnsi="Times New Roman" w:cs="Times New Roman"/>
                <w:color w:val="auto"/>
                <w:lang w:val="en-US" w:eastAsia="zh-CN"/>
              </w:rPr>
              <w:t>96</w:t>
            </w:r>
            <w:r>
              <w:rPr>
                <w:rFonts w:hint="default" w:ascii="Times New Roman" w:hAnsi="Times New Roman" w:cs="Times New Roman"/>
                <w:bCs/>
                <w:color w:val="auto"/>
                <w:szCs w:val="21"/>
              </w:rPr>
              <w:t>t/d（</w:t>
            </w:r>
            <w:r>
              <w:rPr>
                <w:rFonts w:hint="default" w:ascii="Times New Roman" w:hAnsi="Times New Roman" w:cs="Times New Roman"/>
                <w:bCs/>
                <w:color w:val="auto"/>
                <w:szCs w:val="21"/>
                <w:lang w:val="en-US" w:eastAsia="zh-CN"/>
              </w:rPr>
              <w:t>28800</w:t>
            </w:r>
            <w:r>
              <w:rPr>
                <w:rFonts w:hint="default" w:ascii="Times New Roman" w:hAnsi="Times New Roman" w:cs="Times New Roman"/>
                <w:bCs/>
                <w:color w:val="auto"/>
                <w:szCs w:val="21"/>
              </w:rPr>
              <w:t>t/a）</w:t>
            </w:r>
            <w:r>
              <w:rPr>
                <w:rFonts w:hint="default" w:ascii="Times New Roman" w:hAnsi="Times New Roman" w:cs="Times New Roman"/>
                <w:bCs/>
                <w:color w:val="auto"/>
                <w:szCs w:val="21"/>
                <w:lang w:val="en-US" w:eastAsia="zh-CN"/>
              </w:rPr>
              <w:t>，循环回用于冷却水池</w:t>
            </w:r>
            <w:r>
              <w:rPr>
                <w:rFonts w:hint="default" w:ascii="Times New Roman" w:hAnsi="Times New Roman" w:cs="Times New Roman"/>
                <w:bCs/>
                <w:color w:val="auto"/>
                <w:szCs w:val="21"/>
              </w:rPr>
              <w:t>。</w:t>
            </w:r>
          </w:p>
          <w:p w14:paraId="44BB17B5">
            <w:pPr>
              <w:ind w:firstLine="482" w:firstLineChars="200"/>
              <w:rPr>
                <w:rFonts w:hint="default" w:ascii="Times New Roman" w:hAnsi="Times New Roman" w:cs="Times New Roman"/>
                <w:b/>
                <w:iCs/>
                <w:color w:val="auto"/>
                <w:kern w:val="0"/>
                <w:lang w:bidi="ar"/>
              </w:rPr>
            </w:pPr>
            <w:r>
              <w:rPr>
                <w:rFonts w:hint="default" w:ascii="Times New Roman" w:hAnsi="Times New Roman" w:cs="Times New Roman"/>
                <w:b/>
                <w:iCs/>
                <w:color w:val="auto"/>
                <w:kern w:val="0"/>
                <w:lang w:bidi="ar"/>
              </w:rPr>
              <w:t>②水帘柜废水</w:t>
            </w:r>
          </w:p>
          <w:p w14:paraId="114DB13A">
            <w:pPr>
              <w:ind w:firstLine="480" w:firstLineChars="200"/>
              <w:rPr>
                <w:rFonts w:hint="default" w:ascii="Times New Roman" w:hAnsi="Times New Roman" w:cs="Times New Roman"/>
                <w:bCs/>
                <w:iCs/>
                <w:color w:val="auto"/>
                <w:kern w:val="0"/>
                <w:lang w:bidi="ar"/>
              </w:rPr>
            </w:pPr>
            <w:r>
              <w:rPr>
                <w:rFonts w:hint="default" w:ascii="Times New Roman" w:hAnsi="Times New Roman" w:cs="Times New Roman"/>
                <w:bCs/>
                <w:color w:val="auto"/>
                <w:szCs w:val="21"/>
                <w:lang w:val="en-US" w:eastAsia="zh-CN"/>
              </w:rPr>
              <w:t>根据前文分析，水帘柜废</w:t>
            </w:r>
            <w:r>
              <w:rPr>
                <w:rFonts w:hint="default" w:ascii="Times New Roman" w:hAnsi="Times New Roman" w:cs="Times New Roman"/>
                <w:bCs/>
                <w:color w:val="auto"/>
                <w:szCs w:val="21"/>
              </w:rPr>
              <w:t>水量为</w:t>
            </w:r>
            <w:r>
              <w:rPr>
                <w:rFonts w:hint="default" w:ascii="Times New Roman" w:hAnsi="Times New Roman" w:cs="Times New Roman"/>
                <w:bCs/>
                <w:color w:val="auto"/>
                <w:szCs w:val="21"/>
                <w:lang w:val="en-US" w:eastAsia="zh-CN"/>
              </w:rPr>
              <w:t>0.06</w:t>
            </w:r>
            <w:r>
              <w:rPr>
                <w:rFonts w:hint="default" w:ascii="Times New Roman" w:hAnsi="Times New Roman" w:cs="Times New Roman"/>
                <w:bCs/>
                <w:color w:val="auto"/>
                <w:szCs w:val="21"/>
              </w:rPr>
              <w:t>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/d（</w:t>
            </w:r>
            <w:r>
              <w:rPr>
                <w:rFonts w:hint="default" w:ascii="Times New Roman" w:hAnsi="Times New Roman" w:cs="Times New Roman"/>
                <w:bCs/>
                <w:color w:val="auto"/>
                <w:szCs w:val="21"/>
                <w:lang w:val="en-US" w:eastAsia="zh-CN"/>
              </w:rPr>
              <w:t>18</w:t>
            </w:r>
            <w:r>
              <w:rPr>
                <w:rFonts w:hint="default" w:ascii="Times New Roman" w:hAnsi="Times New Roman" w:cs="Times New Roman"/>
                <w:bCs/>
                <w:color w:val="auto"/>
                <w:szCs w:val="21"/>
              </w:rPr>
              <w:t>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/a），更换废水交由有资质的单位处理，不外排。</w:t>
            </w:r>
          </w:p>
          <w:p w14:paraId="795D0D4F">
            <w:pPr>
              <w:ind w:firstLine="482" w:firstLineChars="200"/>
              <w:rPr>
                <w:rFonts w:hint="default" w:ascii="Times New Roman" w:hAnsi="Times New Roman" w:cs="Times New Roman"/>
                <w:b/>
                <w:iCs/>
                <w:color w:val="auto"/>
                <w:kern w:val="0"/>
                <w:lang w:bidi="ar"/>
              </w:rPr>
            </w:pPr>
            <w:r>
              <w:rPr>
                <w:rFonts w:hint="default" w:ascii="Times New Roman" w:hAnsi="Times New Roman" w:cs="Times New Roman"/>
                <w:b/>
                <w:iCs/>
                <w:color w:val="auto"/>
                <w:kern w:val="0"/>
                <w:lang w:bidi="ar"/>
              </w:rPr>
              <w:t>③喷淋塔废水</w:t>
            </w:r>
          </w:p>
          <w:p w14:paraId="7DC99142">
            <w:pPr>
              <w:ind w:firstLine="480" w:firstLineChars="200"/>
              <w:rPr>
                <w:rFonts w:hint="default" w:ascii="Times New Roman" w:hAnsi="Times New Roman" w:cs="Times New Roman"/>
                <w:color w:val="auto"/>
                <w:lang w:val="en-US" w:eastAsia="zh-CN"/>
              </w:rPr>
            </w:pPr>
            <w:r>
              <w:rPr>
                <w:rFonts w:hint="default" w:ascii="Times New Roman" w:hAnsi="Times New Roman" w:cs="Times New Roman"/>
                <w:bCs/>
                <w:color w:val="auto"/>
                <w:szCs w:val="21"/>
                <w:lang w:val="en-US" w:eastAsia="zh-CN"/>
              </w:rPr>
              <w:t>根据前文分析，喷淋塔废</w:t>
            </w:r>
            <w:r>
              <w:rPr>
                <w:rFonts w:hint="default" w:ascii="Times New Roman" w:hAnsi="Times New Roman" w:cs="Times New Roman"/>
                <w:bCs/>
                <w:color w:val="auto"/>
                <w:szCs w:val="21"/>
              </w:rPr>
              <w:t>水量为</w:t>
            </w:r>
            <w:r>
              <w:rPr>
                <w:rFonts w:hint="default" w:ascii="Times New Roman" w:hAnsi="Times New Roman" w:cs="Times New Roman"/>
                <w:color w:val="auto"/>
                <w:lang w:val="en-US" w:eastAsia="zh-CN"/>
              </w:rPr>
              <w:t>0.053</w:t>
            </w:r>
            <w:r>
              <w:rPr>
                <w:rFonts w:hint="default" w:ascii="Times New Roman" w:hAnsi="Times New Roman" w:cs="Times New Roman"/>
                <w:bCs/>
                <w:color w:val="auto"/>
                <w:szCs w:val="21"/>
              </w:rPr>
              <w:t>t/d（</w:t>
            </w:r>
            <w:r>
              <w:rPr>
                <w:rFonts w:hint="default" w:ascii="Times New Roman" w:hAnsi="Times New Roman" w:cs="Times New Roman"/>
                <w:bCs/>
                <w:color w:val="auto"/>
                <w:szCs w:val="21"/>
                <w:lang w:val="en-US" w:eastAsia="zh-CN"/>
              </w:rPr>
              <w:t>16</w:t>
            </w:r>
            <w:r>
              <w:rPr>
                <w:rFonts w:hint="default" w:ascii="Times New Roman" w:hAnsi="Times New Roman" w:cs="Times New Roman"/>
                <w:bCs/>
                <w:color w:val="auto"/>
                <w:szCs w:val="21"/>
              </w:rPr>
              <w:t>t/a），更换废水交由有资质的单位处理，不外排。</w:t>
            </w:r>
          </w:p>
          <w:p w14:paraId="0FF1F7C1">
            <w:pPr>
              <w:ind w:firstLine="482" w:firstLineChars="20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④喷枪清洗废水</w:t>
            </w:r>
          </w:p>
          <w:p w14:paraId="2EA22D0B">
            <w:pPr>
              <w:ind w:firstLine="480" w:firstLineChars="2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根据前文分析，研磨废水量为0.000647m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/d（0.194m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/a），收集交由有资质的单位处理。</w:t>
            </w:r>
          </w:p>
          <w:p w14:paraId="0917FD5B">
            <w:pPr>
              <w:ind w:firstLine="482" w:firstLineChars="200"/>
              <w:rPr>
                <w:rFonts w:hint="default" w:ascii="Times New Roman" w:hAnsi="Times New Roman" w:cs="Times New Roman"/>
                <w:b/>
                <w:iCs/>
                <w:color w:val="auto"/>
                <w:kern w:val="0"/>
                <w:lang w:bidi="ar"/>
              </w:rPr>
            </w:pPr>
            <w:r>
              <w:rPr>
                <w:rFonts w:hint="default" w:ascii="Times New Roman" w:hAnsi="Times New Roman" w:cs="Times New Roman"/>
                <w:b/>
                <w:iCs/>
                <w:color w:val="auto"/>
                <w:kern w:val="0"/>
                <w:lang w:val="en-US" w:eastAsia="zh-CN" w:bidi="ar"/>
              </w:rPr>
              <w:t>⑤</w:t>
            </w:r>
            <w:r>
              <w:rPr>
                <w:rFonts w:hint="default" w:ascii="Times New Roman" w:hAnsi="Times New Roman" w:cs="Times New Roman"/>
                <w:b/>
                <w:iCs/>
                <w:color w:val="auto"/>
                <w:kern w:val="0"/>
                <w:lang w:bidi="ar"/>
              </w:rPr>
              <w:t>生活污水</w:t>
            </w:r>
          </w:p>
          <w:p w14:paraId="09F815D6">
            <w:pPr>
              <w:ind w:firstLine="480" w:firstLineChars="200"/>
              <w:rPr>
                <w:rFonts w:hint="default" w:ascii="Times New Roman" w:hAnsi="Times New Roman" w:cs="Times New Roman"/>
                <w:iCs/>
                <w:color w:val="auto"/>
                <w:kern w:val="0"/>
                <w:lang w:bidi="ar"/>
              </w:rPr>
            </w:pPr>
            <w:r>
              <w:rPr>
                <w:rFonts w:hint="default" w:ascii="Times New Roman" w:hAnsi="Times New Roman" w:cs="Times New Roman"/>
                <w:color w:val="auto"/>
                <w:kern w:val="0"/>
              </w:rPr>
              <w:t>项目运营期生活用水量为</w:t>
            </w:r>
            <w:r>
              <w:rPr>
                <w:rFonts w:hint="default" w:ascii="Times New Roman" w:hAnsi="Times New Roman" w:cs="Times New Roman"/>
                <w:color w:val="auto"/>
                <w:lang w:val="en-US" w:eastAsia="zh-CN"/>
              </w:rPr>
              <w:t>1.67</w:t>
            </w:r>
            <w:r>
              <w:rPr>
                <w:rFonts w:hint="default" w:ascii="Times New Roman" w:hAnsi="Times New Roman" w:cs="Times New Roman"/>
                <w:color w:val="auto"/>
              </w:rPr>
              <w:t>t/d（</w:t>
            </w:r>
            <w:r>
              <w:rPr>
                <w:rFonts w:hint="default" w:ascii="Times New Roman" w:hAnsi="Times New Roman" w:cs="Times New Roman"/>
                <w:color w:val="auto"/>
                <w:lang w:val="en-US" w:eastAsia="zh-CN"/>
              </w:rPr>
              <w:t>500</w:t>
            </w:r>
            <w:r>
              <w:rPr>
                <w:rFonts w:hint="default" w:ascii="Times New Roman" w:hAnsi="Times New Roman" w:cs="Times New Roman"/>
                <w:color w:val="auto"/>
              </w:rPr>
              <w:t>t/a）</w:t>
            </w:r>
            <w:r>
              <w:rPr>
                <w:rFonts w:hint="default" w:ascii="Times New Roman" w:hAnsi="Times New Roman" w:cs="Times New Roman"/>
                <w:color w:val="auto"/>
                <w:kern w:val="0"/>
              </w:rPr>
              <w:t>，排污系数按90%计算，则排水量为</w:t>
            </w:r>
            <w:r>
              <w:rPr>
                <w:rFonts w:hint="default" w:ascii="Times New Roman" w:hAnsi="Times New Roman" w:cs="Times New Roman"/>
                <w:color w:val="auto"/>
                <w:lang w:val="en-US" w:eastAsia="zh-CN"/>
              </w:rPr>
              <w:t>1.5</w:t>
            </w:r>
            <w:r>
              <w:rPr>
                <w:rFonts w:hint="default" w:ascii="Times New Roman" w:hAnsi="Times New Roman" w:cs="Times New Roman"/>
                <w:color w:val="auto"/>
              </w:rPr>
              <w:t>t/d（</w:t>
            </w:r>
            <w:r>
              <w:rPr>
                <w:rFonts w:hint="default" w:ascii="Times New Roman" w:hAnsi="Times New Roman" w:cs="Times New Roman"/>
                <w:color w:val="auto"/>
                <w:lang w:val="en-US" w:eastAsia="zh-CN"/>
              </w:rPr>
              <w:t>450</w:t>
            </w:r>
            <w:r>
              <w:rPr>
                <w:rFonts w:hint="default" w:ascii="Times New Roman" w:hAnsi="Times New Roman" w:cs="Times New Roman"/>
                <w:color w:val="auto"/>
              </w:rPr>
              <w:t>t/a）</w:t>
            </w:r>
            <w:r>
              <w:rPr>
                <w:rFonts w:hint="default" w:ascii="Times New Roman" w:hAnsi="Times New Roman" w:cs="Times New Roman"/>
                <w:iCs/>
                <w:color w:val="auto"/>
                <w:kern w:val="0"/>
                <w:lang w:bidi="ar"/>
              </w:rPr>
              <w:t>。</w:t>
            </w:r>
          </w:p>
          <w:p w14:paraId="381AA7D7">
            <w:pPr>
              <w:keepNext/>
              <w:keepLines/>
              <w:pageBreakBefore/>
              <w:wordWrap/>
              <w:adjustRightInd w:val="0"/>
              <w:snapToGrid w:val="0"/>
              <w:spacing w:line="240" w:lineRule="auto"/>
              <w:jc w:val="center"/>
              <w:rPr>
                <w:rFonts w:hint="default" w:ascii="Times New Roman" w:hAnsi="Times New Roman" w:cs="Times New Roman"/>
                <w:b/>
                <w:color w:val="auto"/>
                <w:kern w:val="21"/>
              </w:rPr>
            </w:pPr>
            <w:r>
              <w:rPr>
                <w:rFonts w:hint="default" w:ascii="Times New Roman" w:hAnsi="Times New Roman" w:cs="Times New Roman"/>
                <w:b/>
                <w:color w:val="auto"/>
              </w:rPr>
              <w:t>表4</w:t>
            </w:r>
            <w:r>
              <w:rPr>
                <w:rFonts w:hint="default" w:ascii="Times New Roman" w:hAnsi="Times New Roman" w:cs="Times New Roman"/>
                <w:b/>
                <w:color w:val="auto"/>
                <w:lang w:val="en-US" w:eastAsia="zh-CN"/>
              </w:rPr>
              <w:t>-16</w:t>
            </w:r>
            <w:r>
              <w:rPr>
                <w:rFonts w:hint="default" w:ascii="Times New Roman" w:hAnsi="Times New Roman" w:cs="Times New Roman"/>
                <w:b/>
                <w:color w:val="auto"/>
              </w:rPr>
              <w:t xml:space="preserve"> 项目废水污染物产排情况一览表</w:t>
            </w:r>
          </w:p>
          <w:tbl>
            <w:tblPr>
              <w:tblStyle w:val="23"/>
              <w:tblW w:w="8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427"/>
              <w:gridCol w:w="944"/>
              <w:gridCol w:w="683"/>
              <w:gridCol w:w="591"/>
              <w:gridCol w:w="776"/>
              <w:gridCol w:w="516"/>
              <w:gridCol w:w="542"/>
              <w:gridCol w:w="542"/>
              <w:gridCol w:w="548"/>
              <w:gridCol w:w="742"/>
              <w:gridCol w:w="610"/>
              <w:gridCol w:w="771"/>
              <w:gridCol w:w="385"/>
            </w:tblGrid>
            <w:tr w14:paraId="11668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1" w:type="dxa"/>
                  <w:vMerge w:val="restart"/>
                  <w:vAlign w:val="center"/>
                </w:tcPr>
                <w:p w14:paraId="7CCBBCA7">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产污环节</w:t>
                  </w:r>
                </w:p>
              </w:tc>
              <w:tc>
                <w:tcPr>
                  <w:tcW w:w="427" w:type="dxa"/>
                  <w:vMerge w:val="restart"/>
                  <w:vAlign w:val="center"/>
                </w:tcPr>
                <w:p w14:paraId="3F04B881">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类别</w:t>
                  </w:r>
                </w:p>
              </w:tc>
              <w:tc>
                <w:tcPr>
                  <w:tcW w:w="944" w:type="dxa"/>
                  <w:vMerge w:val="restart"/>
                  <w:vAlign w:val="center"/>
                </w:tcPr>
                <w:p w14:paraId="2DAD72CE">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污染物种类</w:t>
                  </w:r>
                </w:p>
              </w:tc>
              <w:tc>
                <w:tcPr>
                  <w:tcW w:w="2050" w:type="dxa"/>
                  <w:gridSpan w:val="3"/>
                  <w:vAlign w:val="center"/>
                </w:tcPr>
                <w:p w14:paraId="0D321CBD">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污染物产生情况</w:t>
                  </w:r>
                </w:p>
              </w:tc>
              <w:tc>
                <w:tcPr>
                  <w:tcW w:w="2148" w:type="dxa"/>
                  <w:gridSpan w:val="4"/>
                  <w:vAlign w:val="center"/>
                </w:tcPr>
                <w:p w14:paraId="702874CC">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主要污染防治措施</w:t>
                  </w:r>
                </w:p>
              </w:tc>
              <w:tc>
                <w:tcPr>
                  <w:tcW w:w="2123" w:type="dxa"/>
                  <w:gridSpan w:val="3"/>
                  <w:vAlign w:val="center"/>
                </w:tcPr>
                <w:p w14:paraId="0AC6AF25">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污染物排放情况</w:t>
                  </w:r>
                </w:p>
              </w:tc>
              <w:tc>
                <w:tcPr>
                  <w:tcW w:w="385" w:type="dxa"/>
                  <w:vMerge w:val="restart"/>
                  <w:vAlign w:val="center"/>
                </w:tcPr>
                <w:p w14:paraId="23648E99">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排放口编号</w:t>
                  </w:r>
                </w:p>
              </w:tc>
            </w:tr>
            <w:tr w14:paraId="0A85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jc w:val="center"/>
              </w:trPr>
              <w:tc>
                <w:tcPr>
                  <w:tcW w:w="421" w:type="dxa"/>
                  <w:vMerge w:val="continue"/>
                  <w:vAlign w:val="center"/>
                </w:tcPr>
                <w:p w14:paraId="74D2FE63">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427" w:type="dxa"/>
                  <w:vMerge w:val="continue"/>
                  <w:vAlign w:val="center"/>
                </w:tcPr>
                <w:p w14:paraId="3856C4AF">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44" w:type="dxa"/>
                  <w:vMerge w:val="continue"/>
                  <w:vAlign w:val="center"/>
                </w:tcPr>
                <w:p w14:paraId="5D5DACF1">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83" w:type="dxa"/>
                  <w:vAlign w:val="center"/>
                </w:tcPr>
                <w:p w14:paraId="37995CA5">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废水产生量（m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/a）</w:t>
                  </w:r>
                </w:p>
              </w:tc>
              <w:tc>
                <w:tcPr>
                  <w:tcW w:w="591" w:type="dxa"/>
                  <w:vAlign w:val="center"/>
                </w:tcPr>
                <w:p w14:paraId="62A1E4B5">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产生浓度（mg/L）</w:t>
                  </w:r>
                </w:p>
              </w:tc>
              <w:tc>
                <w:tcPr>
                  <w:tcW w:w="776" w:type="dxa"/>
                  <w:vAlign w:val="center"/>
                </w:tcPr>
                <w:p w14:paraId="62807838">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产生量（t/a）</w:t>
                  </w:r>
                </w:p>
              </w:tc>
              <w:tc>
                <w:tcPr>
                  <w:tcW w:w="516" w:type="dxa"/>
                  <w:vAlign w:val="center"/>
                </w:tcPr>
                <w:p w14:paraId="17FE5461">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处理工艺</w:t>
                  </w:r>
                </w:p>
              </w:tc>
              <w:tc>
                <w:tcPr>
                  <w:tcW w:w="542" w:type="dxa"/>
                  <w:vAlign w:val="center"/>
                </w:tcPr>
                <w:p w14:paraId="08D6CD5D">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处理能力（m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/d）</w:t>
                  </w:r>
                </w:p>
              </w:tc>
              <w:tc>
                <w:tcPr>
                  <w:tcW w:w="542" w:type="dxa"/>
                  <w:vAlign w:val="center"/>
                </w:tcPr>
                <w:p w14:paraId="3C61AA92">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治理效率（%）</w:t>
                  </w:r>
                </w:p>
              </w:tc>
              <w:tc>
                <w:tcPr>
                  <w:tcW w:w="548" w:type="dxa"/>
                  <w:vAlign w:val="center"/>
                </w:tcPr>
                <w:p w14:paraId="417351EC">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是否为可行性技术</w:t>
                  </w:r>
                </w:p>
              </w:tc>
              <w:tc>
                <w:tcPr>
                  <w:tcW w:w="742" w:type="dxa"/>
                  <w:vAlign w:val="center"/>
                </w:tcPr>
                <w:p w14:paraId="3DDB225A">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废水排放量（m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/a）</w:t>
                  </w:r>
                </w:p>
              </w:tc>
              <w:tc>
                <w:tcPr>
                  <w:tcW w:w="610" w:type="dxa"/>
                  <w:vAlign w:val="center"/>
                </w:tcPr>
                <w:p w14:paraId="2C8D4FA1">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排放浓度（mg/L）</w:t>
                  </w:r>
                </w:p>
              </w:tc>
              <w:tc>
                <w:tcPr>
                  <w:tcW w:w="771" w:type="dxa"/>
                  <w:vAlign w:val="center"/>
                </w:tcPr>
                <w:p w14:paraId="45ACA191">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排放量（t/a）</w:t>
                  </w:r>
                </w:p>
              </w:tc>
              <w:tc>
                <w:tcPr>
                  <w:tcW w:w="385" w:type="dxa"/>
                  <w:vMerge w:val="continue"/>
                  <w:vAlign w:val="center"/>
                </w:tcPr>
                <w:p w14:paraId="59C7788B">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r>
            <w:tr w14:paraId="7BA67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21" w:type="dxa"/>
                  <w:vMerge w:val="restart"/>
                  <w:vAlign w:val="center"/>
                </w:tcPr>
                <w:p w14:paraId="58C386B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办公生活</w:t>
                  </w:r>
                </w:p>
              </w:tc>
              <w:tc>
                <w:tcPr>
                  <w:tcW w:w="427" w:type="dxa"/>
                  <w:vMerge w:val="restart"/>
                  <w:vAlign w:val="center"/>
                </w:tcPr>
                <w:p w14:paraId="28A25160">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生活污水</w:t>
                  </w:r>
                </w:p>
              </w:tc>
              <w:tc>
                <w:tcPr>
                  <w:tcW w:w="944" w:type="dxa"/>
                  <w:vAlign w:val="center"/>
                </w:tcPr>
                <w:p w14:paraId="05528FBA">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COD</w:t>
                  </w:r>
                  <w:r>
                    <w:rPr>
                      <w:rFonts w:hint="default" w:ascii="Times New Roman" w:hAnsi="Times New Roman" w:cs="Times New Roman"/>
                      <w:bCs/>
                      <w:color w:val="auto"/>
                      <w:kern w:val="21"/>
                      <w:sz w:val="21"/>
                      <w:szCs w:val="21"/>
                      <w:vertAlign w:val="subscript"/>
                    </w:rPr>
                    <w:t>Cr</w:t>
                  </w:r>
                </w:p>
              </w:tc>
              <w:tc>
                <w:tcPr>
                  <w:tcW w:w="683" w:type="dxa"/>
                  <w:vMerge w:val="restart"/>
                  <w:vAlign w:val="center"/>
                </w:tcPr>
                <w:p w14:paraId="41AB661D">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450</w:t>
                  </w:r>
                </w:p>
              </w:tc>
              <w:tc>
                <w:tcPr>
                  <w:tcW w:w="591" w:type="dxa"/>
                  <w:vAlign w:val="center"/>
                </w:tcPr>
                <w:p w14:paraId="4EC11E9B">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250</w:t>
                  </w:r>
                </w:p>
              </w:tc>
              <w:tc>
                <w:tcPr>
                  <w:tcW w:w="776" w:type="dxa"/>
                  <w:vAlign w:val="center"/>
                </w:tcPr>
                <w:p w14:paraId="15B3B2CA">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0.113</w:t>
                  </w:r>
                </w:p>
              </w:tc>
              <w:tc>
                <w:tcPr>
                  <w:tcW w:w="516" w:type="dxa"/>
                  <w:vMerge w:val="restart"/>
                  <w:vAlign w:val="center"/>
                </w:tcPr>
                <w:p w14:paraId="2F9362CF">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三级化粪池</w:t>
                  </w:r>
                </w:p>
              </w:tc>
              <w:tc>
                <w:tcPr>
                  <w:tcW w:w="542" w:type="dxa"/>
                  <w:vMerge w:val="restart"/>
                  <w:vAlign w:val="center"/>
                </w:tcPr>
                <w:p w14:paraId="49BBF90C">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lang w:val="en-US"/>
                    </w:rPr>
                  </w:pPr>
                  <w:r>
                    <w:rPr>
                      <w:rFonts w:hint="default" w:ascii="Times New Roman" w:hAnsi="Times New Roman" w:cs="Times New Roman"/>
                      <w:bCs/>
                      <w:color w:val="auto"/>
                      <w:kern w:val="21"/>
                      <w:sz w:val="21"/>
                      <w:szCs w:val="21"/>
                      <w:lang w:val="en-US" w:eastAsia="zh-CN"/>
                    </w:rPr>
                    <w:t>10</w:t>
                  </w:r>
                </w:p>
              </w:tc>
              <w:tc>
                <w:tcPr>
                  <w:tcW w:w="542" w:type="dxa"/>
                  <w:vAlign w:val="center"/>
                </w:tcPr>
                <w:p w14:paraId="6F02CF32">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30</w:t>
                  </w:r>
                </w:p>
              </w:tc>
              <w:tc>
                <w:tcPr>
                  <w:tcW w:w="548" w:type="dxa"/>
                  <w:vMerge w:val="restart"/>
                  <w:vAlign w:val="center"/>
                </w:tcPr>
                <w:p w14:paraId="3B5FE72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是</w:t>
                  </w:r>
                </w:p>
              </w:tc>
              <w:tc>
                <w:tcPr>
                  <w:tcW w:w="742" w:type="dxa"/>
                  <w:vMerge w:val="restart"/>
                  <w:vAlign w:val="center"/>
                </w:tcPr>
                <w:p w14:paraId="060B6B33">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450</w:t>
                  </w:r>
                </w:p>
              </w:tc>
              <w:tc>
                <w:tcPr>
                  <w:tcW w:w="610" w:type="dxa"/>
                  <w:vAlign w:val="center"/>
                </w:tcPr>
                <w:p w14:paraId="31E2F775">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40</w:t>
                  </w:r>
                </w:p>
              </w:tc>
              <w:tc>
                <w:tcPr>
                  <w:tcW w:w="771" w:type="dxa"/>
                  <w:vAlign w:val="center"/>
                </w:tcPr>
                <w:p w14:paraId="66792E38">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0.018</w:t>
                  </w:r>
                </w:p>
              </w:tc>
              <w:tc>
                <w:tcPr>
                  <w:tcW w:w="385" w:type="dxa"/>
                  <w:vMerge w:val="restart"/>
                  <w:vAlign w:val="center"/>
                </w:tcPr>
                <w:p w14:paraId="0B5453F8">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DW001</w:t>
                  </w:r>
                </w:p>
              </w:tc>
            </w:tr>
            <w:tr w14:paraId="6332E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21" w:type="dxa"/>
                  <w:vMerge w:val="continue"/>
                  <w:vAlign w:val="center"/>
                </w:tcPr>
                <w:p w14:paraId="393AF242">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427" w:type="dxa"/>
                  <w:vMerge w:val="continue"/>
                  <w:vAlign w:val="center"/>
                </w:tcPr>
                <w:p w14:paraId="2EDC037F">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44" w:type="dxa"/>
                  <w:vAlign w:val="center"/>
                </w:tcPr>
                <w:p w14:paraId="2630ABF7">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BOD</w:t>
                  </w:r>
                  <w:r>
                    <w:rPr>
                      <w:rFonts w:hint="default" w:ascii="Times New Roman" w:hAnsi="Times New Roman" w:cs="Times New Roman"/>
                      <w:bCs/>
                      <w:color w:val="auto"/>
                      <w:kern w:val="21"/>
                      <w:sz w:val="21"/>
                      <w:szCs w:val="21"/>
                      <w:vertAlign w:val="subscript"/>
                    </w:rPr>
                    <w:t>5</w:t>
                  </w:r>
                </w:p>
              </w:tc>
              <w:tc>
                <w:tcPr>
                  <w:tcW w:w="683" w:type="dxa"/>
                  <w:vMerge w:val="continue"/>
                  <w:vAlign w:val="center"/>
                </w:tcPr>
                <w:p w14:paraId="38F9CAC0">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91" w:type="dxa"/>
                  <w:vAlign w:val="center"/>
                </w:tcPr>
                <w:p w14:paraId="0D7E2215">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120</w:t>
                  </w:r>
                </w:p>
              </w:tc>
              <w:tc>
                <w:tcPr>
                  <w:tcW w:w="776" w:type="dxa"/>
                  <w:vAlign w:val="center"/>
                </w:tcPr>
                <w:p w14:paraId="75E6B63D">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0.055</w:t>
                  </w:r>
                </w:p>
              </w:tc>
              <w:tc>
                <w:tcPr>
                  <w:tcW w:w="516" w:type="dxa"/>
                  <w:vMerge w:val="continue"/>
                  <w:vAlign w:val="center"/>
                </w:tcPr>
                <w:p w14:paraId="56EF8BFF">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Merge w:val="continue"/>
                  <w:vAlign w:val="center"/>
                </w:tcPr>
                <w:p w14:paraId="018A3FD0">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Align w:val="center"/>
                </w:tcPr>
                <w:p w14:paraId="676AC1FB">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20</w:t>
                  </w:r>
                </w:p>
              </w:tc>
              <w:tc>
                <w:tcPr>
                  <w:tcW w:w="548" w:type="dxa"/>
                  <w:vMerge w:val="continue"/>
                  <w:vAlign w:val="center"/>
                </w:tcPr>
                <w:p w14:paraId="28723D77">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42" w:type="dxa"/>
                  <w:vMerge w:val="continue"/>
                  <w:vAlign w:val="center"/>
                </w:tcPr>
                <w:p w14:paraId="1384DB33">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10" w:type="dxa"/>
                  <w:vAlign w:val="center"/>
                </w:tcPr>
                <w:p w14:paraId="13055DD4">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10</w:t>
                  </w:r>
                </w:p>
              </w:tc>
              <w:tc>
                <w:tcPr>
                  <w:tcW w:w="771" w:type="dxa"/>
                  <w:vAlign w:val="center"/>
                </w:tcPr>
                <w:p w14:paraId="76087AD3">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0.01</w:t>
                  </w:r>
                </w:p>
              </w:tc>
              <w:tc>
                <w:tcPr>
                  <w:tcW w:w="385" w:type="dxa"/>
                  <w:vMerge w:val="continue"/>
                  <w:vAlign w:val="center"/>
                </w:tcPr>
                <w:p w14:paraId="6A86BF1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r>
            <w:tr w14:paraId="55EFF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21" w:type="dxa"/>
                  <w:vMerge w:val="continue"/>
                  <w:vAlign w:val="center"/>
                </w:tcPr>
                <w:p w14:paraId="152B23AE">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427" w:type="dxa"/>
                  <w:vMerge w:val="continue"/>
                  <w:vAlign w:val="center"/>
                </w:tcPr>
                <w:p w14:paraId="6412035A">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44" w:type="dxa"/>
                  <w:vAlign w:val="center"/>
                </w:tcPr>
                <w:p w14:paraId="3AB91CC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SS</w:t>
                  </w:r>
                </w:p>
              </w:tc>
              <w:tc>
                <w:tcPr>
                  <w:tcW w:w="683" w:type="dxa"/>
                  <w:vMerge w:val="continue"/>
                  <w:vAlign w:val="center"/>
                </w:tcPr>
                <w:p w14:paraId="5B7D1F1C">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91" w:type="dxa"/>
                  <w:vAlign w:val="center"/>
                </w:tcPr>
                <w:p w14:paraId="023B43D8">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180</w:t>
                  </w:r>
                </w:p>
              </w:tc>
              <w:tc>
                <w:tcPr>
                  <w:tcW w:w="776" w:type="dxa"/>
                  <w:vAlign w:val="center"/>
                </w:tcPr>
                <w:p w14:paraId="727E8405">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0.008</w:t>
                  </w:r>
                </w:p>
              </w:tc>
              <w:tc>
                <w:tcPr>
                  <w:tcW w:w="516" w:type="dxa"/>
                  <w:vMerge w:val="continue"/>
                  <w:vAlign w:val="center"/>
                </w:tcPr>
                <w:p w14:paraId="408E7255">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Merge w:val="continue"/>
                  <w:vAlign w:val="center"/>
                </w:tcPr>
                <w:p w14:paraId="6688E2DE">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Align w:val="center"/>
                </w:tcPr>
                <w:p w14:paraId="3AA1A6F7">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30</w:t>
                  </w:r>
                </w:p>
              </w:tc>
              <w:tc>
                <w:tcPr>
                  <w:tcW w:w="548" w:type="dxa"/>
                  <w:vMerge w:val="continue"/>
                  <w:vAlign w:val="center"/>
                </w:tcPr>
                <w:p w14:paraId="31822B7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42" w:type="dxa"/>
                  <w:vMerge w:val="continue"/>
                  <w:vAlign w:val="center"/>
                </w:tcPr>
                <w:p w14:paraId="2FF5E657">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10" w:type="dxa"/>
                  <w:vAlign w:val="center"/>
                </w:tcPr>
                <w:p w14:paraId="36A2FC66">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10</w:t>
                  </w:r>
                </w:p>
              </w:tc>
              <w:tc>
                <w:tcPr>
                  <w:tcW w:w="771" w:type="dxa"/>
                  <w:vAlign w:val="center"/>
                </w:tcPr>
                <w:p w14:paraId="0FBD0CBC">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0.01</w:t>
                  </w:r>
                </w:p>
              </w:tc>
              <w:tc>
                <w:tcPr>
                  <w:tcW w:w="385" w:type="dxa"/>
                  <w:vMerge w:val="continue"/>
                  <w:vAlign w:val="center"/>
                </w:tcPr>
                <w:p w14:paraId="7CF7557C">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r>
            <w:tr w14:paraId="37222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421" w:type="dxa"/>
                  <w:vMerge w:val="continue"/>
                  <w:vAlign w:val="center"/>
                </w:tcPr>
                <w:p w14:paraId="5AD2E12C">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427" w:type="dxa"/>
                  <w:vMerge w:val="continue"/>
                  <w:vAlign w:val="center"/>
                </w:tcPr>
                <w:p w14:paraId="7EE188AE">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44" w:type="dxa"/>
                  <w:vAlign w:val="center"/>
                </w:tcPr>
                <w:p w14:paraId="7BF11129">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氨氮</w:t>
                  </w:r>
                </w:p>
              </w:tc>
              <w:tc>
                <w:tcPr>
                  <w:tcW w:w="683" w:type="dxa"/>
                  <w:vMerge w:val="continue"/>
                  <w:vAlign w:val="center"/>
                </w:tcPr>
                <w:p w14:paraId="132BD452">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91" w:type="dxa"/>
                  <w:vAlign w:val="center"/>
                </w:tcPr>
                <w:p w14:paraId="5A854EA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20</w:t>
                  </w:r>
                </w:p>
              </w:tc>
              <w:tc>
                <w:tcPr>
                  <w:tcW w:w="776" w:type="dxa"/>
                  <w:vAlign w:val="center"/>
                </w:tcPr>
                <w:p w14:paraId="6F8D0B5D">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0.01</w:t>
                  </w:r>
                </w:p>
              </w:tc>
              <w:tc>
                <w:tcPr>
                  <w:tcW w:w="516" w:type="dxa"/>
                  <w:vMerge w:val="continue"/>
                  <w:vAlign w:val="center"/>
                </w:tcPr>
                <w:p w14:paraId="5E60FD43">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Merge w:val="continue"/>
                  <w:vAlign w:val="center"/>
                </w:tcPr>
                <w:p w14:paraId="39429926">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Align w:val="center"/>
                </w:tcPr>
                <w:p w14:paraId="4F59B620">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10</w:t>
                  </w:r>
                </w:p>
              </w:tc>
              <w:tc>
                <w:tcPr>
                  <w:tcW w:w="548" w:type="dxa"/>
                  <w:vMerge w:val="continue"/>
                  <w:vAlign w:val="center"/>
                </w:tcPr>
                <w:p w14:paraId="2913B250">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42" w:type="dxa"/>
                  <w:vMerge w:val="continue"/>
                  <w:vAlign w:val="center"/>
                </w:tcPr>
                <w:p w14:paraId="367EC933">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10" w:type="dxa"/>
                  <w:vAlign w:val="center"/>
                </w:tcPr>
                <w:p w14:paraId="414F393F">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5</w:t>
                  </w:r>
                </w:p>
              </w:tc>
              <w:tc>
                <w:tcPr>
                  <w:tcW w:w="771" w:type="dxa"/>
                  <w:vAlign w:val="center"/>
                </w:tcPr>
                <w:p w14:paraId="0B00CA6C">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0.005</w:t>
                  </w:r>
                </w:p>
              </w:tc>
              <w:tc>
                <w:tcPr>
                  <w:tcW w:w="385" w:type="dxa"/>
                  <w:vMerge w:val="continue"/>
                  <w:vAlign w:val="center"/>
                </w:tcPr>
                <w:p w14:paraId="6119B701">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r>
          </w:tbl>
          <w:p w14:paraId="7217CE0E">
            <w:pPr>
              <w:ind w:left="480" w:leftChars="200"/>
              <w:rPr>
                <w:rFonts w:hint="default" w:ascii="Times New Roman" w:hAnsi="Times New Roman" w:cs="Times New Roman"/>
                <w:b/>
                <w:color w:val="auto"/>
              </w:rPr>
            </w:pPr>
            <w:r>
              <w:rPr>
                <w:rFonts w:hint="default" w:ascii="Times New Roman" w:hAnsi="Times New Roman" w:cs="Times New Roman"/>
                <w:b/>
                <w:color w:val="auto"/>
                <w:kern w:val="0"/>
                <w:szCs w:val="22"/>
                <w:lang w:bidi="ar"/>
              </w:rPr>
              <w:t xml:space="preserve"> </w:t>
            </w:r>
            <w:r>
              <w:rPr>
                <w:rFonts w:hint="default" w:ascii="Times New Roman" w:hAnsi="Times New Roman" w:cs="Times New Roman"/>
                <w:b/>
                <w:color w:val="auto"/>
              </w:rPr>
              <w:t>（2）水环境影响分析</w:t>
            </w:r>
          </w:p>
          <w:p w14:paraId="117730FE">
            <w:pPr>
              <w:ind w:firstLine="482" w:firstLineChars="200"/>
              <w:rPr>
                <w:rFonts w:hint="default" w:ascii="Times New Roman" w:hAnsi="Times New Roman" w:cs="Times New Roman"/>
                <w:b/>
                <w:color w:val="auto"/>
                <w:szCs w:val="22"/>
              </w:rPr>
            </w:pPr>
            <w:r>
              <w:rPr>
                <w:rFonts w:hint="default" w:ascii="Times New Roman" w:hAnsi="Times New Roman" w:cs="Times New Roman"/>
                <w:b/>
                <w:bCs/>
                <w:color w:val="auto"/>
                <w:szCs w:val="22"/>
              </w:rPr>
              <w:t>1）</w:t>
            </w:r>
            <w:bookmarkStart w:id="24" w:name="废水排放可行性分析"/>
            <w:r>
              <w:rPr>
                <w:rFonts w:hint="default" w:ascii="Times New Roman" w:hAnsi="Times New Roman" w:cs="Times New Roman"/>
                <w:b/>
                <w:bCs/>
                <w:color w:val="auto"/>
                <w:szCs w:val="22"/>
              </w:rPr>
              <w:t>废水排放可行性分析</w:t>
            </w:r>
            <w:bookmarkEnd w:id="24"/>
          </w:p>
          <w:p w14:paraId="10B5933E">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①水污染控制和水环境影响减缓措施有效性</w:t>
            </w:r>
          </w:p>
          <w:p w14:paraId="32362E34">
            <w:pPr>
              <w:wordWrap/>
              <w:ind w:firstLine="480" w:firstLineChars="200"/>
              <w:rPr>
                <w:rFonts w:hint="default" w:ascii="Times New Roman" w:hAnsi="Times New Roman" w:cs="Times New Roman"/>
                <w:b w:val="0"/>
                <w:bCs w:val="0"/>
                <w:color w:val="auto"/>
                <w:szCs w:val="22"/>
              </w:rPr>
            </w:pPr>
            <w:r>
              <w:rPr>
                <w:rFonts w:hint="default" w:ascii="Times New Roman" w:hAnsi="Times New Roman" w:cs="Times New Roman"/>
                <w:b w:val="0"/>
                <w:bCs w:val="0"/>
                <w:color w:val="auto"/>
                <w:szCs w:val="22"/>
              </w:rPr>
              <w:t>博罗县园洲镇第五污水处理厂于2019年建设，位于惠州市博罗县园洲镇深沥，采用较为先进的污水处理工艺，其设计规模为3万立方米/日，日处理规模达到1.5 万立方米/日，总投资约5810万元。该污水处理厂进水设计标准为广东省地方标准《水污染物排放限值》（DB44/26-2001）中第二时段三级标准，尾水氨氮、总磷执行地表Ⅴ类水标准，其他指标执行《城镇污水处理厂污染物排放标准》（GB18918-2002）一级标准的A类标准和广东省地方标准《水污染物排放限值》（DB44/26-2001）中第二时段一级标准中较严者，达标后排入园洲中心排渠，经沙河，汇入东江。目前项目所在园区已规划市政污水管网，市政污水管网正在建设中。项目投产后，生活污水经预处理后可通过市政污水管网排入博罗县园洲镇第五污水处理厂。</w:t>
            </w:r>
          </w:p>
          <w:p w14:paraId="35C50549">
            <w:pPr>
              <w:wordWrap/>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②依托可行性</w:t>
            </w:r>
          </w:p>
          <w:p w14:paraId="7792DE5C">
            <w:pPr>
              <w:wordWrap/>
              <w:ind w:firstLine="480" w:firstLineChars="200"/>
              <w:rPr>
                <w:rFonts w:hint="default" w:ascii="Times New Roman" w:hAnsi="Times New Roman" w:cs="Times New Roman"/>
                <w:color w:val="auto"/>
              </w:rPr>
            </w:pPr>
            <w:r>
              <w:rPr>
                <w:rFonts w:hint="default" w:ascii="Times New Roman" w:hAnsi="Times New Roman" w:cs="Times New Roman"/>
                <w:color w:val="auto"/>
              </w:rPr>
              <w:t>园洲镇第五污水处理厂设计规模为3万立方米/日，日处理规模达到1.5万立方米/日，本项目排入市政管网的水量为</w:t>
            </w:r>
            <w:r>
              <w:rPr>
                <w:rFonts w:hint="default" w:ascii="Times New Roman" w:hAnsi="Times New Roman" w:cs="Times New Roman"/>
                <w:color w:val="auto"/>
                <w:lang w:val="en-US" w:eastAsia="zh-CN"/>
              </w:rPr>
              <w:t>1.5</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/d，仅占园洲镇第五污水处理厂处理余量的0.0</w:t>
            </w:r>
            <w:r>
              <w:rPr>
                <w:rFonts w:hint="default" w:ascii="Times New Roman" w:hAnsi="Times New Roman" w:cs="Times New Roman"/>
                <w:color w:val="auto"/>
                <w:lang w:val="en-US" w:eastAsia="zh-CN"/>
              </w:rPr>
              <w:t>1</w:t>
            </w:r>
            <w:r>
              <w:rPr>
                <w:rFonts w:hint="default" w:ascii="Times New Roman" w:hAnsi="Times New Roman" w:cs="Times New Roman"/>
                <w:color w:val="auto"/>
              </w:rPr>
              <w:t>%，由此可知，项目的生活污水依托</w:t>
            </w:r>
            <w:r>
              <w:rPr>
                <w:rFonts w:hint="default" w:ascii="Times New Roman" w:hAnsi="Times New Roman" w:cs="Times New Roman"/>
                <w:color w:val="auto"/>
                <w:lang w:eastAsia="zh-CN"/>
              </w:rPr>
              <w:t>园洲镇第五污水处理厂</w:t>
            </w:r>
            <w:r>
              <w:rPr>
                <w:rFonts w:hint="default" w:ascii="Times New Roman" w:hAnsi="Times New Roman" w:cs="Times New Roman"/>
                <w:color w:val="auto"/>
              </w:rPr>
              <w:t>进行处理具备环境可行性，随着</w:t>
            </w:r>
            <w:r>
              <w:rPr>
                <w:rFonts w:hint="default" w:ascii="Times New Roman" w:hAnsi="Times New Roman" w:cs="Times New Roman"/>
                <w:color w:val="auto"/>
                <w:lang w:eastAsia="zh-CN"/>
              </w:rPr>
              <w:t>园洲镇第五污水处理厂</w:t>
            </w:r>
            <w:r>
              <w:rPr>
                <w:rFonts w:hint="default" w:ascii="Times New Roman" w:hAnsi="Times New Roman" w:cs="Times New Roman"/>
                <w:color w:val="auto"/>
              </w:rPr>
              <w:t>纳污范围的不断扩大，周边水质将会得到进一步改善，项目依托</w:t>
            </w:r>
            <w:r>
              <w:rPr>
                <w:rFonts w:hint="default" w:ascii="Times New Roman" w:hAnsi="Times New Roman" w:cs="Times New Roman"/>
                <w:color w:val="auto"/>
                <w:lang w:eastAsia="zh-CN"/>
              </w:rPr>
              <w:t>园洲镇第五污水处理厂</w:t>
            </w:r>
            <w:r>
              <w:rPr>
                <w:rFonts w:hint="default" w:ascii="Times New Roman" w:hAnsi="Times New Roman" w:cs="Times New Roman"/>
                <w:color w:val="auto"/>
              </w:rPr>
              <w:t>集中处理具备可行性，不会造成</w:t>
            </w:r>
            <w:r>
              <w:rPr>
                <w:rFonts w:hint="default" w:ascii="Times New Roman" w:hAnsi="Times New Roman" w:cs="Times New Roman"/>
                <w:color w:val="auto"/>
                <w:lang w:eastAsia="zh-CN"/>
              </w:rPr>
              <w:t>沙河</w:t>
            </w:r>
            <w:r>
              <w:rPr>
                <w:rFonts w:hint="default" w:ascii="Times New Roman" w:hAnsi="Times New Roman" w:cs="Times New Roman"/>
                <w:color w:val="auto"/>
              </w:rPr>
              <w:t>的水质下降，因此地表水环境影响可以接受。</w:t>
            </w:r>
          </w:p>
          <w:p w14:paraId="03BDB16B">
            <w:pPr>
              <w:pageBreakBefore/>
              <w:spacing w:line="240" w:lineRule="auto"/>
              <w:jc w:val="center"/>
              <w:outlineLvl w:val="7"/>
              <w:rPr>
                <w:rFonts w:hint="default" w:ascii="Times New Roman" w:hAnsi="Times New Roman" w:cs="Times New Roman"/>
                <w:b/>
                <w:color w:val="auto"/>
                <w:lang w:val="zh-CN"/>
              </w:rPr>
            </w:pPr>
            <w:r>
              <w:rPr>
                <w:rFonts w:hint="default" w:ascii="Times New Roman" w:hAnsi="Times New Roman" w:cs="Times New Roman"/>
                <w:b/>
                <w:color w:val="auto"/>
              </w:rPr>
              <w:t>表4</w:t>
            </w:r>
            <w:r>
              <w:rPr>
                <w:rFonts w:hint="default" w:ascii="Times New Roman" w:hAnsi="Times New Roman" w:cs="Times New Roman"/>
                <w:b/>
                <w:color w:val="auto"/>
                <w:lang w:val="en-US" w:eastAsia="zh-CN"/>
              </w:rPr>
              <w:t>-17</w:t>
            </w:r>
            <w:r>
              <w:rPr>
                <w:rFonts w:hint="default" w:ascii="Times New Roman" w:hAnsi="Times New Roman" w:cs="Times New Roman"/>
                <w:b/>
                <w:color w:val="auto"/>
              </w:rPr>
              <w:t xml:space="preserve"> </w:t>
            </w:r>
            <w:r>
              <w:rPr>
                <w:rFonts w:hint="default" w:ascii="Times New Roman" w:hAnsi="Times New Roman" w:cs="Times New Roman"/>
                <w:b/>
                <w:color w:val="auto"/>
                <w:lang w:val="zh-CN"/>
              </w:rPr>
              <w:t>废水类别、污染物及污染治理设施信息表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0"/>
              <w:gridCol w:w="417"/>
              <w:gridCol w:w="944"/>
              <w:gridCol w:w="741"/>
              <w:gridCol w:w="897"/>
              <w:gridCol w:w="586"/>
              <w:gridCol w:w="586"/>
              <w:gridCol w:w="633"/>
              <w:gridCol w:w="513"/>
              <w:gridCol w:w="540"/>
              <w:gridCol w:w="663"/>
              <w:gridCol w:w="1562"/>
            </w:tblGrid>
            <w:tr w14:paraId="07684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24" w:type="pct"/>
                  <w:vMerge w:val="restart"/>
                  <w:vAlign w:val="center"/>
                </w:tcPr>
                <w:p w14:paraId="6ACBD59F">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序号</w:t>
                  </w:r>
                </w:p>
              </w:tc>
              <w:tc>
                <w:tcPr>
                  <w:tcW w:w="246" w:type="pct"/>
                  <w:vMerge w:val="restart"/>
                  <w:vAlign w:val="center"/>
                </w:tcPr>
                <w:p w14:paraId="72D9D7DD">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废水类别</w:t>
                  </w:r>
                </w:p>
              </w:tc>
              <w:tc>
                <w:tcPr>
                  <w:tcW w:w="556" w:type="pct"/>
                  <w:vMerge w:val="restart"/>
                  <w:vAlign w:val="center"/>
                </w:tcPr>
                <w:p w14:paraId="406D486B">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污染物</w:t>
                  </w:r>
                </w:p>
                <w:p w14:paraId="6CC8FC0D">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种类</w:t>
                  </w:r>
                </w:p>
              </w:tc>
              <w:tc>
                <w:tcPr>
                  <w:tcW w:w="438" w:type="pct"/>
                  <w:vMerge w:val="restart"/>
                  <w:vAlign w:val="center"/>
                </w:tcPr>
                <w:p w14:paraId="2F4A0924">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排放去向</w:t>
                  </w:r>
                </w:p>
              </w:tc>
              <w:tc>
                <w:tcPr>
                  <w:tcW w:w="529" w:type="pct"/>
                  <w:vMerge w:val="restart"/>
                  <w:vAlign w:val="center"/>
                </w:tcPr>
                <w:p w14:paraId="5CE018B4">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排放规律</w:t>
                  </w:r>
                </w:p>
              </w:tc>
              <w:tc>
                <w:tcPr>
                  <w:tcW w:w="1369" w:type="pct"/>
                  <w:gridSpan w:val="4"/>
                  <w:vAlign w:val="center"/>
                </w:tcPr>
                <w:p w14:paraId="16037461">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污染治理设施</w:t>
                  </w:r>
                </w:p>
              </w:tc>
              <w:tc>
                <w:tcPr>
                  <w:tcW w:w="319" w:type="pct"/>
                  <w:vMerge w:val="restart"/>
                  <w:vAlign w:val="center"/>
                </w:tcPr>
                <w:p w14:paraId="06A66C27">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排放口编号</w:t>
                  </w:r>
                </w:p>
              </w:tc>
              <w:tc>
                <w:tcPr>
                  <w:tcW w:w="392" w:type="pct"/>
                  <w:vMerge w:val="restart"/>
                  <w:vAlign w:val="center"/>
                </w:tcPr>
                <w:p w14:paraId="0A0CCB38">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排放口设置是否符合要求</w:t>
                  </w:r>
                </w:p>
              </w:tc>
              <w:tc>
                <w:tcPr>
                  <w:tcW w:w="922" w:type="pct"/>
                  <w:vMerge w:val="restart"/>
                  <w:vAlign w:val="center"/>
                </w:tcPr>
                <w:p w14:paraId="23650906">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排放口</w:t>
                  </w:r>
                </w:p>
                <w:p w14:paraId="0C6030F5">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类型</w:t>
                  </w:r>
                </w:p>
              </w:tc>
            </w:tr>
            <w:tr w14:paraId="73E54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24" w:type="pct"/>
                  <w:vMerge w:val="continue"/>
                  <w:vAlign w:val="center"/>
                </w:tcPr>
                <w:p w14:paraId="0F8436E2">
                  <w:pPr>
                    <w:keepNext/>
                    <w:keepLines/>
                    <w:pageBreakBefore/>
                    <w:wordWrap/>
                    <w:spacing w:line="240" w:lineRule="auto"/>
                    <w:jc w:val="center"/>
                    <w:rPr>
                      <w:rFonts w:hint="default" w:ascii="Times New Roman" w:hAnsi="Times New Roman" w:cs="Times New Roman"/>
                      <w:color w:val="auto"/>
                      <w:sz w:val="21"/>
                      <w:szCs w:val="21"/>
                      <w:lang w:val="zh-CN"/>
                    </w:rPr>
                  </w:pPr>
                </w:p>
              </w:tc>
              <w:tc>
                <w:tcPr>
                  <w:tcW w:w="246" w:type="pct"/>
                  <w:vMerge w:val="continue"/>
                  <w:vAlign w:val="center"/>
                </w:tcPr>
                <w:p w14:paraId="52D0322E">
                  <w:pPr>
                    <w:keepNext/>
                    <w:keepLines/>
                    <w:pageBreakBefore/>
                    <w:wordWrap/>
                    <w:spacing w:line="240" w:lineRule="auto"/>
                    <w:jc w:val="center"/>
                    <w:rPr>
                      <w:rFonts w:hint="default" w:ascii="Times New Roman" w:hAnsi="Times New Roman" w:cs="Times New Roman"/>
                      <w:color w:val="auto"/>
                      <w:sz w:val="21"/>
                      <w:szCs w:val="21"/>
                      <w:lang w:val="zh-CN"/>
                    </w:rPr>
                  </w:pPr>
                </w:p>
              </w:tc>
              <w:tc>
                <w:tcPr>
                  <w:tcW w:w="556" w:type="pct"/>
                  <w:vMerge w:val="continue"/>
                  <w:vAlign w:val="center"/>
                </w:tcPr>
                <w:p w14:paraId="789B6D28">
                  <w:pPr>
                    <w:keepNext/>
                    <w:keepLines/>
                    <w:pageBreakBefore/>
                    <w:wordWrap/>
                    <w:spacing w:line="240" w:lineRule="auto"/>
                    <w:jc w:val="center"/>
                    <w:rPr>
                      <w:rFonts w:hint="default" w:ascii="Times New Roman" w:hAnsi="Times New Roman" w:cs="Times New Roman"/>
                      <w:color w:val="auto"/>
                      <w:sz w:val="21"/>
                      <w:szCs w:val="21"/>
                      <w:lang w:val="zh-CN"/>
                    </w:rPr>
                  </w:pPr>
                </w:p>
              </w:tc>
              <w:tc>
                <w:tcPr>
                  <w:tcW w:w="438" w:type="pct"/>
                  <w:vMerge w:val="continue"/>
                  <w:vAlign w:val="center"/>
                </w:tcPr>
                <w:p w14:paraId="088E65CB">
                  <w:pPr>
                    <w:keepNext/>
                    <w:keepLines/>
                    <w:pageBreakBefore/>
                    <w:wordWrap/>
                    <w:spacing w:line="240" w:lineRule="auto"/>
                    <w:jc w:val="center"/>
                    <w:rPr>
                      <w:rFonts w:hint="default" w:ascii="Times New Roman" w:hAnsi="Times New Roman" w:cs="Times New Roman"/>
                      <w:color w:val="auto"/>
                      <w:sz w:val="21"/>
                      <w:szCs w:val="21"/>
                      <w:lang w:val="zh-CN"/>
                    </w:rPr>
                  </w:pPr>
                </w:p>
              </w:tc>
              <w:tc>
                <w:tcPr>
                  <w:tcW w:w="529" w:type="pct"/>
                  <w:vMerge w:val="continue"/>
                  <w:vAlign w:val="center"/>
                </w:tcPr>
                <w:p w14:paraId="72DAB39A">
                  <w:pPr>
                    <w:keepNext/>
                    <w:keepLines/>
                    <w:pageBreakBefore/>
                    <w:wordWrap/>
                    <w:spacing w:line="240" w:lineRule="auto"/>
                    <w:jc w:val="center"/>
                    <w:rPr>
                      <w:rFonts w:hint="default" w:ascii="Times New Roman" w:hAnsi="Times New Roman" w:cs="Times New Roman"/>
                      <w:color w:val="auto"/>
                      <w:sz w:val="21"/>
                      <w:szCs w:val="21"/>
                      <w:lang w:val="zh-CN"/>
                    </w:rPr>
                  </w:pPr>
                </w:p>
              </w:tc>
              <w:tc>
                <w:tcPr>
                  <w:tcW w:w="346" w:type="pct"/>
                  <w:vAlign w:val="center"/>
                </w:tcPr>
                <w:p w14:paraId="06616AA4">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污染治理设施</w:t>
                  </w:r>
                </w:p>
                <w:p w14:paraId="1BFF5E9E">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编号</w:t>
                  </w:r>
                </w:p>
              </w:tc>
              <w:tc>
                <w:tcPr>
                  <w:tcW w:w="346" w:type="pct"/>
                  <w:vAlign w:val="center"/>
                </w:tcPr>
                <w:p w14:paraId="2E99D9E3">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污染治理设施</w:t>
                  </w:r>
                </w:p>
                <w:p w14:paraId="142E9F04">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名称</w:t>
                  </w:r>
                </w:p>
              </w:tc>
              <w:tc>
                <w:tcPr>
                  <w:tcW w:w="374" w:type="pct"/>
                  <w:vAlign w:val="center"/>
                </w:tcPr>
                <w:p w14:paraId="23DE2D71">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污染治理设施工艺</w:t>
                  </w:r>
                </w:p>
              </w:tc>
              <w:tc>
                <w:tcPr>
                  <w:tcW w:w="301" w:type="pct"/>
                  <w:vAlign w:val="center"/>
                </w:tcPr>
                <w:p w14:paraId="13FB304B">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是否为可行技术</w:t>
                  </w:r>
                </w:p>
              </w:tc>
              <w:tc>
                <w:tcPr>
                  <w:tcW w:w="319" w:type="pct"/>
                  <w:vMerge w:val="continue"/>
                  <w:vAlign w:val="center"/>
                </w:tcPr>
                <w:p w14:paraId="7D1F1227">
                  <w:pPr>
                    <w:keepNext/>
                    <w:keepLines/>
                    <w:pageBreakBefore/>
                    <w:wordWrap/>
                    <w:spacing w:line="240" w:lineRule="auto"/>
                    <w:jc w:val="center"/>
                    <w:rPr>
                      <w:rFonts w:hint="default" w:ascii="Times New Roman" w:hAnsi="Times New Roman" w:cs="Times New Roman"/>
                      <w:color w:val="auto"/>
                      <w:sz w:val="21"/>
                      <w:szCs w:val="21"/>
                      <w:lang w:val="zh-CN"/>
                    </w:rPr>
                  </w:pPr>
                </w:p>
              </w:tc>
              <w:tc>
                <w:tcPr>
                  <w:tcW w:w="392" w:type="pct"/>
                  <w:vMerge w:val="continue"/>
                  <w:vAlign w:val="center"/>
                </w:tcPr>
                <w:p w14:paraId="43C1879D">
                  <w:pPr>
                    <w:keepNext/>
                    <w:keepLines/>
                    <w:pageBreakBefore/>
                    <w:wordWrap/>
                    <w:spacing w:line="240" w:lineRule="auto"/>
                    <w:jc w:val="center"/>
                    <w:rPr>
                      <w:rFonts w:hint="default" w:ascii="Times New Roman" w:hAnsi="Times New Roman" w:cs="Times New Roman"/>
                      <w:color w:val="auto"/>
                      <w:sz w:val="21"/>
                      <w:szCs w:val="21"/>
                      <w:lang w:val="zh-CN"/>
                    </w:rPr>
                  </w:pPr>
                </w:p>
              </w:tc>
              <w:tc>
                <w:tcPr>
                  <w:tcW w:w="922" w:type="pct"/>
                  <w:vMerge w:val="continue"/>
                  <w:vAlign w:val="center"/>
                </w:tcPr>
                <w:p w14:paraId="53B707FD">
                  <w:pPr>
                    <w:keepNext/>
                    <w:keepLines/>
                    <w:pageBreakBefore/>
                    <w:wordWrap/>
                    <w:spacing w:line="240" w:lineRule="auto"/>
                    <w:jc w:val="center"/>
                    <w:rPr>
                      <w:rFonts w:hint="default" w:ascii="Times New Roman" w:hAnsi="Times New Roman" w:cs="Times New Roman"/>
                      <w:color w:val="auto"/>
                      <w:sz w:val="21"/>
                      <w:szCs w:val="21"/>
                      <w:lang w:val="zh-CN"/>
                    </w:rPr>
                  </w:pPr>
                </w:p>
              </w:tc>
            </w:tr>
            <w:tr w14:paraId="14E37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4" w:type="pct"/>
                  <w:vAlign w:val="center"/>
                </w:tcPr>
                <w:p w14:paraId="7B480F93">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1</w:t>
                  </w:r>
                </w:p>
              </w:tc>
              <w:tc>
                <w:tcPr>
                  <w:tcW w:w="246" w:type="pct"/>
                  <w:vAlign w:val="center"/>
                </w:tcPr>
                <w:p w14:paraId="51E8F63E">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生活污水</w:t>
                  </w:r>
                </w:p>
              </w:tc>
              <w:tc>
                <w:tcPr>
                  <w:tcW w:w="556" w:type="pct"/>
                  <w:vAlign w:val="center"/>
                </w:tcPr>
                <w:p w14:paraId="331620E5">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COD</w:t>
                  </w:r>
                  <w:r>
                    <w:rPr>
                      <w:rFonts w:hint="default" w:ascii="Times New Roman" w:hAnsi="Times New Roman" w:cs="Times New Roman"/>
                      <w:color w:val="auto"/>
                      <w:sz w:val="21"/>
                      <w:szCs w:val="21"/>
                      <w:vertAlign w:val="subscript"/>
                      <w:lang w:val="zh-CN"/>
                    </w:rPr>
                    <w:t>cr</w:t>
                  </w:r>
                  <w:r>
                    <w:rPr>
                      <w:rFonts w:hint="default" w:ascii="Times New Roman" w:hAnsi="Times New Roman" w:cs="Times New Roman"/>
                      <w:color w:val="auto"/>
                      <w:sz w:val="21"/>
                      <w:szCs w:val="21"/>
                      <w:lang w:val="zh-CN"/>
                    </w:rPr>
                    <w:t>、BOD</w:t>
                  </w:r>
                  <w:r>
                    <w:rPr>
                      <w:rFonts w:hint="default" w:ascii="Times New Roman" w:hAnsi="Times New Roman" w:cs="Times New Roman"/>
                      <w:color w:val="auto"/>
                      <w:sz w:val="21"/>
                      <w:szCs w:val="21"/>
                      <w:vertAlign w:val="subscript"/>
                      <w:lang w:val="zh-CN"/>
                    </w:rPr>
                    <w:t>5</w:t>
                  </w:r>
                  <w:r>
                    <w:rPr>
                      <w:rFonts w:hint="default" w:ascii="Times New Roman" w:hAnsi="Times New Roman" w:cs="Times New Roman"/>
                      <w:color w:val="auto"/>
                      <w:sz w:val="21"/>
                      <w:szCs w:val="21"/>
                      <w:lang w:val="zh-CN"/>
                    </w:rPr>
                    <w:t>、氨氮、SS</w:t>
                  </w:r>
                </w:p>
              </w:tc>
              <w:tc>
                <w:tcPr>
                  <w:tcW w:w="438" w:type="pct"/>
                  <w:vAlign w:val="center"/>
                </w:tcPr>
                <w:p w14:paraId="548063B4">
                  <w:pPr>
                    <w:keepNext/>
                    <w:keepLines/>
                    <w:pageBreakBefore/>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zh-CN"/>
                    </w:rPr>
                    <w:t>进入</w:t>
                  </w:r>
                  <w:r>
                    <w:rPr>
                      <w:rFonts w:hint="default" w:ascii="Times New Roman" w:hAnsi="Times New Roman" w:cs="Times New Roman"/>
                      <w:color w:val="auto"/>
                      <w:sz w:val="21"/>
                      <w:szCs w:val="21"/>
                      <w:lang w:eastAsia="zh-CN"/>
                    </w:rPr>
                    <w:t>园洲镇第五污水处理厂</w:t>
                  </w:r>
                  <w:r>
                    <w:rPr>
                      <w:rFonts w:hint="default" w:ascii="Times New Roman" w:hAnsi="Times New Roman" w:cs="Times New Roman"/>
                      <w:color w:val="auto"/>
                      <w:sz w:val="21"/>
                      <w:szCs w:val="21"/>
                    </w:rPr>
                    <w:t>处理</w:t>
                  </w:r>
                </w:p>
              </w:tc>
              <w:tc>
                <w:tcPr>
                  <w:tcW w:w="529" w:type="pct"/>
                  <w:vAlign w:val="center"/>
                </w:tcPr>
                <w:p w14:paraId="66271F24">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间断排放，排放期间流量不稳定，但有周期性规律</w:t>
                  </w:r>
                </w:p>
              </w:tc>
              <w:tc>
                <w:tcPr>
                  <w:tcW w:w="346" w:type="pct"/>
                  <w:vAlign w:val="center"/>
                </w:tcPr>
                <w:p w14:paraId="67C45DE5">
                  <w:pPr>
                    <w:keepNext/>
                    <w:keepLines/>
                    <w:pageBreakBefore/>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TW001</w:t>
                  </w:r>
                </w:p>
              </w:tc>
              <w:tc>
                <w:tcPr>
                  <w:tcW w:w="346" w:type="pct"/>
                  <w:vAlign w:val="center"/>
                </w:tcPr>
                <w:p w14:paraId="082836DA">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三级化粪池</w:t>
                  </w:r>
                </w:p>
              </w:tc>
              <w:tc>
                <w:tcPr>
                  <w:tcW w:w="374" w:type="pct"/>
                  <w:vAlign w:val="center"/>
                </w:tcPr>
                <w:p w14:paraId="10EEA1E7">
                  <w:pPr>
                    <w:keepNext/>
                    <w:keepLines/>
                    <w:pageBreakBefore/>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厌氧、沉淀</w:t>
                  </w:r>
                </w:p>
              </w:tc>
              <w:tc>
                <w:tcPr>
                  <w:tcW w:w="301" w:type="pct"/>
                  <w:vAlign w:val="center"/>
                </w:tcPr>
                <w:p w14:paraId="281690E3">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是</w:t>
                  </w:r>
                </w:p>
              </w:tc>
              <w:tc>
                <w:tcPr>
                  <w:tcW w:w="319" w:type="pct"/>
                  <w:vAlign w:val="center"/>
                </w:tcPr>
                <w:p w14:paraId="4CF3CC95">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DW001</w:t>
                  </w:r>
                </w:p>
              </w:tc>
              <w:tc>
                <w:tcPr>
                  <w:tcW w:w="392" w:type="pct"/>
                  <w:vAlign w:val="center"/>
                </w:tcPr>
                <w:p w14:paraId="30219BF8">
                  <w:pPr>
                    <w:keepNext/>
                    <w:keepLines/>
                    <w:pageBreakBefore/>
                    <w:wordWrap/>
                    <w:spacing w:line="240" w:lineRule="auto"/>
                    <w:jc w:val="center"/>
                    <w:rPr>
                      <w:rFonts w:hint="default" w:ascii="Times New Roman" w:hAnsi="Times New Roman" w:cs="Times New Roman"/>
                      <w:snapToGrid w:val="0"/>
                      <w:color w:val="auto"/>
                      <w:kern w:val="20"/>
                      <w:sz w:val="21"/>
                      <w:szCs w:val="21"/>
                      <w:lang w:val="zh-CN"/>
                    </w:rPr>
                  </w:pPr>
                  <w:r>
                    <w:rPr>
                      <w:rFonts w:hint="default" w:ascii="Times New Roman" w:hAnsi="Times New Roman" w:cs="Times New Roman"/>
                      <w:color w:val="auto"/>
                      <w:sz w:val="21"/>
                      <w:szCs w:val="21"/>
                      <w:lang w:val="zh-CN"/>
                    </w:rPr>
                    <w:t>☑是</w:t>
                  </w:r>
                </w:p>
                <w:p w14:paraId="7A2ADA16">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□否</w:t>
                  </w:r>
                </w:p>
              </w:tc>
              <w:tc>
                <w:tcPr>
                  <w:tcW w:w="922" w:type="pct"/>
                  <w:vAlign w:val="center"/>
                </w:tcPr>
                <w:p w14:paraId="22861170">
                  <w:pPr>
                    <w:keepNext/>
                    <w:keepLines/>
                    <w:pageBreakBefore/>
                    <w:wordWrap/>
                    <w:spacing w:line="240" w:lineRule="auto"/>
                    <w:jc w:val="center"/>
                    <w:rPr>
                      <w:rFonts w:hint="default" w:ascii="Times New Roman" w:hAnsi="Times New Roman" w:cs="Times New Roman"/>
                      <w:snapToGrid w:val="0"/>
                      <w:color w:val="auto"/>
                      <w:kern w:val="20"/>
                      <w:sz w:val="21"/>
                      <w:szCs w:val="21"/>
                      <w:lang w:val="zh-CN"/>
                    </w:rPr>
                  </w:pPr>
                  <w:r>
                    <w:rPr>
                      <w:rFonts w:hint="default" w:ascii="Times New Roman" w:hAnsi="Times New Roman" w:cs="Times New Roman"/>
                      <w:color w:val="auto"/>
                      <w:sz w:val="21"/>
                      <w:szCs w:val="21"/>
                      <w:lang w:val="zh-CN"/>
                    </w:rPr>
                    <w:t>☑企业总排</w:t>
                  </w:r>
                </w:p>
                <w:p w14:paraId="53A05D76">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□雨水排放</w:t>
                  </w:r>
                </w:p>
                <w:p w14:paraId="4752EAF9">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w:t>
                  </w:r>
                  <w:r>
                    <w:rPr>
                      <w:rFonts w:hint="default" w:ascii="Times New Roman" w:hAnsi="Times New Roman" w:cs="Times New Roman"/>
                      <w:color w:val="auto"/>
                      <w:spacing w:val="-10"/>
                      <w:sz w:val="21"/>
                      <w:szCs w:val="21"/>
                      <w:lang w:val="zh-CN"/>
                    </w:rPr>
                    <w:t>清净下水排放</w:t>
                  </w:r>
                </w:p>
                <w:p w14:paraId="07EE8026">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□温排水排放</w:t>
                  </w:r>
                </w:p>
                <w:p w14:paraId="3A0A64DD">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□车间或车间处理设施排放口</w:t>
                  </w:r>
                </w:p>
              </w:tc>
            </w:tr>
          </w:tbl>
          <w:p w14:paraId="2AABA89A">
            <w:pPr>
              <w:keepNext/>
              <w:keepLines/>
              <w:spacing w:line="240" w:lineRule="auto"/>
              <w:jc w:val="center"/>
              <w:outlineLvl w:val="7"/>
              <w:rPr>
                <w:rFonts w:hint="default" w:ascii="Times New Roman" w:hAnsi="Times New Roman" w:cs="Times New Roman"/>
                <w:b/>
                <w:color w:val="auto"/>
                <w:lang w:val="zh-CN"/>
              </w:rPr>
            </w:pPr>
            <w:r>
              <w:rPr>
                <w:rFonts w:hint="default" w:ascii="Times New Roman" w:hAnsi="Times New Roman" w:cs="Times New Roman"/>
                <w:b/>
                <w:color w:val="auto"/>
              </w:rPr>
              <w:t>表4</w:t>
            </w:r>
            <w:r>
              <w:rPr>
                <w:rFonts w:hint="default" w:ascii="Times New Roman" w:hAnsi="Times New Roman" w:cs="Times New Roman"/>
                <w:b/>
                <w:color w:val="auto"/>
                <w:lang w:val="en-US" w:eastAsia="zh-CN"/>
              </w:rPr>
              <w:t>-18</w:t>
            </w:r>
            <w:r>
              <w:rPr>
                <w:rFonts w:hint="default" w:ascii="Times New Roman" w:hAnsi="Times New Roman" w:cs="Times New Roman"/>
                <w:b/>
                <w:color w:val="auto"/>
              </w:rPr>
              <w:t xml:space="preserve"> </w:t>
            </w:r>
            <w:r>
              <w:rPr>
                <w:rFonts w:hint="default" w:ascii="Times New Roman" w:hAnsi="Times New Roman" w:cs="Times New Roman"/>
                <w:b/>
                <w:color w:val="auto"/>
                <w:lang w:val="zh-CN"/>
              </w:rPr>
              <w:t>废水间接排放口基本信息</w:t>
            </w:r>
          </w:p>
          <w:tbl>
            <w:tblPr>
              <w:tblStyle w:val="22"/>
              <w:tblW w:w="8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7"/>
              <w:gridCol w:w="450"/>
              <w:gridCol w:w="832"/>
              <w:gridCol w:w="761"/>
              <w:gridCol w:w="575"/>
              <w:gridCol w:w="673"/>
              <w:gridCol w:w="951"/>
              <w:gridCol w:w="736"/>
              <w:gridCol w:w="692"/>
              <w:gridCol w:w="878"/>
              <w:gridCol w:w="681"/>
              <w:gridCol w:w="890"/>
            </w:tblGrid>
            <w:tr w14:paraId="0DEC7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10" w:type="pct"/>
                  <w:vMerge w:val="restart"/>
                  <w:vAlign w:val="center"/>
                </w:tcPr>
                <w:p w14:paraId="326AB2F1">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序号</w:t>
                  </w:r>
                </w:p>
              </w:tc>
              <w:tc>
                <w:tcPr>
                  <w:tcW w:w="265" w:type="pct"/>
                  <w:vMerge w:val="restart"/>
                  <w:vAlign w:val="center"/>
                </w:tcPr>
                <w:p w14:paraId="531BA141">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排放口</w:t>
                  </w:r>
                </w:p>
                <w:p w14:paraId="46B4C31C">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编号</w:t>
                  </w:r>
                </w:p>
              </w:tc>
              <w:tc>
                <w:tcPr>
                  <w:tcW w:w="939" w:type="pct"/>
                  <w:gridSpan w:val="2"/>
                  <w:vAlign w:val="center"/>
                </w:tcPr>
                <w:p w14:paraId="7E97C620">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排放口地理坐标</w:t>
                  </w:r>
                </w:p>
              </w:tc>
              <w:tc>
                <w:tcPr>
                  <w:tcW w:w="339" w:type="pct"/>
                  <w:vMerge w:val="restart"/>
                  <w:vAlign w:val="center"/>
                </w:tcPr>
                <w:p w14:paraId="529AF6E4">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废水排放量/</w:t>
                  </w:r>
                </w:p>
                <w:p w14:paraId="1B05A350">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（t/a）</w:t>
                  </w:r>
                </w:p>
              </w:tc>
              <w:tc>
                <w:tcPr>
                  <w:tcW w:w="397" w:type="pct"/>
                  <w:vMerge w:val="restart"/>
                  <w:vAlign w:val="center"/>
                </w:tcPr>
                <w:p w14:paraId="1C84E620">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w:t>
                  </w:r>
                </w:p>
                <w:p w14:paraId="4A07BDEC">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去向</w:t>
                  </w:r>
                </w:p>
              </w:tc>
              <w:tc>
                <w:tcPr>
                  <w:tcW w:w="560" w:type="pct"/>
                  <w:vMerge w:val="restart"/>
                  <w:vAlign w:val="center"/>
                </w:tcPr>
                <w:p w14:paraId="283051B0">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w:t>
                  </w:r>
                </w:p>
                <w:p w14:paraId="39117A1D">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规律</w:t>
                  </w:r>
                </w:p>
              </w:tc>
              <w:tc>
                <w:tcPr>
                  <w:tcW w:w="434" w:type="pct"/>
                  <w:vMerge w:val="restart"/>
                  <w:vAlign w:val="center"/>
                </w:tcPr>
                <w:p w14:paraId="030A1287">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间歇排放</w:t>
                  </w:r>
                </w:p>
                <w:p w14:paraId="5D5D7FE0">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时段</w:t>
                  </w:r>
                </w:p>
              </w:tc>
              <w:tc>
                <w:tcPr>
                  <w:tcW w:w="1327" w:type="pct"/>
                  <w:gridSpan w:val="3"/>
                  <w:vAlign w:val="center"/>
                </w:tcPr>
                <w:p w14:paraId="4968F1D4">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受纳污水处理厂信息</w:t>
                  </w:r>
                </w:p>
              </w:tc>
              <w:tc>
                <w:tcPr>
                  <w:tcW w:w="525" w:type="pct"/>
                  <w:vMerge w:val="restart"/>
                  <w:vAlign w:val="center"/>
                </w:tcPr>
                <w:p w14:paraId="7C859A6D">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排放量（t/a）</w:t>
                  </w:r>
                </w:p>
              </w:tc>
            </w:tr>
            <w:tr w14:paraId="62AEB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10" w:type="pct"/>
                  <w:vMerge w:val="continue"/>
                  <w:vAlign w:val="center"/>
                </w:tcPr>
                <w:p w14:paraId="77450C63">
                  <w:pPr>
                    <w:spacing w:line="240" w:lineRule="auto"/>
                    <w:jc w:val="center"/>
                    <w:rPr>
                      <w:rFonts w:hint="default" w:ascii="Times New Roman" w:hAnsi="Times New Roman" w:cs="Times New Roman"/>
                      <w:b/>
                      <w:bCs/>
                      <w:color w:val="auto"/>
                      <w:sz w:val="21"/>
                      <w:szCs w:val="21"/>
                      <w:lang w:val="zh-CN"/>
                    </w:rPr>
                  </w:pPr>
                </w:p>
              </w:tc>
              <w:tc>
                <w:tcPr>
                  <w:tcW w:w="265" w:type="pct"/>
                  <w:vMerge w:val="continue"/>
                  <w:vAlign w:val="center"/>
                </w:tcPr>
                <w:p w14:paraId="6949D2D3">
                  <w:pPr>
                    <w:spacing w:line="240" w:lineRule="auto"/>
                    <w:jc w:val="center"/>
                    <w:rPr>
                      <w:rFonts w:hint="default" w:ascii="Times New Roman" w:hAnsi="Times New Roman" w:cs="Times New Roman"/>
                      <w:b/>
                      <w:bCs/>
                      <w:color w:val="auto"/>
                      <w:sz w:val="21"/>
                      <w:szCs w:val="21"/>
                      <w:lang w:val="zh-CN"/>
                    </w:rPr>
                  </w:pPr>
                </w:p>
              </w:tc>
              <w:tc>
                <w:tcPr>
                  <w:tcW w:w="490" w:type="pct"/>
                  <w:vAlign w:val="center"/>
                </w:tcPr>
                <w:p w14:paraId="5C700BE3">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经度</w:t>
                  </w:r>
                </w:p>
              </w:tc>
              <w:tc>
                <w:tcPr>
                  <w:tcW w:w="448" w:type="pct"/>
                  <w:vAlign w:val="center"/>
                </w:tcPr>
                <w:p w14:paraId="5013480E">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纬度</w:t>
                  </w:r>
                </w:p>
              </w:tc>
              <w:tc>
                <w:tcPr>
                  <w:tcW w:w="339" w:type="pct"/>
                  <w:vMerge w:val="continue"/>
                  <w:vAlign w:val="center"/>
                </w:tcPr>
                <w:p w14:paraId="4EE32728">
                  <w:pPr>
                    <w:spacing w:line="240" w:lineRule="auto"/>
                    <w:jc w:val="center"/>
                    <w:rPr>
                      <w:rFonts w:hint="default" w:ascii="Times New Roman" w:hAnsi="Times New Roman" w:cs="Times New Roman"/>
                      <w:b/>
                      <w:bCs/>
                      <w:color w:val="auto"/>
                      <w:sz w:val="21"/>
                      <w:szCs w:val="21"/>
                      <w:lang w:val="zh-CN"/>
                    </w:rPr>
                  </w:pPr>
                </w:p>
              </w:tc>
              <w:tc>
                <w:tcPr>
                  <w:tcW w:w="397" w:type="pct"/>
                  <w:vMerge w:val="continue"/>
                  <w:vAlign w:val="center"/>
                </w:tcPr>
                <w:p w14:paraId="4885361A">
                  <w:pPr>
                    <w:spacing w:line="240" w:lineRule="auto"/>
                    <w:jc w:val="center"/>
                    <w:rPr>
                      <w:rFonts w:hint="default" w:ascii="Times New Roman" w:hAnsi="Times New Roman" w:cs="Times New Roman"/>
                      <w:b/>
                      <w:bCs/>
                      <w:color w:val="auto"/>
                      <w:sz w:val="21"/>
                      <w:szCs w:val="21"/>
                      <w:lang w:val="zh-CN"/>
                    </w:rPr>
                  </w:pPr>
                </w:p>
              </w:tc>
              <w:tc>
                <w:tcPr>
                  <w:tcW w:w="560" w:type="pct"/>
                  <w:vMerge w:val="continue"/>
                  <w:vAlign w:val="center"/>
                </w:tcPr>
                <w:p w14:paraId="0AD3C073">
                  <w:pPr>
                    <w:spacing w:line="240" w:lineRule="auto"/>
                    <w:jc w:val="center"/>
                    <w:rPr>
                      <w:rFonts w:hint="default" w:ascii="Times New Roman" w:hAnsi="Times New Roman" w:cs="Times New Roman"/>
                      <w:b/>
                      <w:bCs/>
                      <w:color w:val="auto"/>
                      <w:sz w:val="21"/>
                      <w:szCs w:val="21"/>
                      <w:lang w:val="zh-CN"/>
                    </w:rPr>
                  </w:pPr>
                </w:p>
              </w:tc>
              <w:tc>
                <w:tcPr>
                  <w:tcW w:w="434" w:type="pct"/>
                  <w:vMerge w:val="continue"/>
                  <w:vAlign w:val="center"/>
                </w:tcPr>
                <w:p w14:paraId="70B50777">
                  <w:pPr>
                    <w:spacing w:line="240" w:lineRule="auto"/>
                    <w:jc w:val="center"/>
                    <w:rPr>
                      <w:rFonts w:hint="default" w:ascii="Times New Roman" w:hAnsi="Times New Roman" w:cs="Times New Roman"/>
                      <w:b/>
                      <w:bCs/>
                      <w:color w:val="auto"/>
                      <w:sz w:val="21"/>
                      <w:szCs w:val="21"/>
                      <w:lang w:val="zh-CN"/>
                    </w:rPr>
                  </w:pPr>
                </w:p>
              </w:tc>
              <w:tc>
                <w:tcPr>
                  <w:tcW w:w="408" w:type="pct"/>
                  <w:vAlign w:val="center"/>
                </w:tcPr>
                <w:p w14:paraId="35EE8187">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名称</w:t>
                  </w:r>
                </w:p>
              </w:tc>
              <w:tc>
                <w:tcPr>
                  <w:tcW w:w="517" w:type="pct"/>
                  <w:vAlign w:val="center"/>
                </w:tcPr>
                <w:p w14:paraId="45BA771B">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污染物种类</w:t>
                  </w:r>
                </w:p>
              </w:tc>
              <w:tc>
                <w:tcPr>
                  <w:tcW w:w="401" w:type="pct"/>
                  <w:vAlign w:val="center"/>
                </w:tcPr>
                <w:p w14:paraId="15B8C8AA">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浓度限值/(mg/L)</w:t>
                  </w:r>
                </w:p>
              </w:tc>
              <w:tc>
                <w:tcPr>
                  <w:tcW w:w="525" w:type="pct"/>
                  <w:vMerge w:val="continue"/>
                  <w:vAlign w:val="center"/>
                </w:tcPr>
                <w:p w14:paraId="6476736A">
                  <w:pPr>
                    <w:spacing w:line="240" w:lineRule="auto"/>
                    <w:jc w:val="center"/>
                    <w:rPr>
                      <w:rFonts w:hint="default" w:ascii="Times New Roman" w:hAnsi="Times New Roman" w:cs="Times New Roman"/>
                      <w:b/>
                      <w:bCs/>
                      <w:color w:val="auto"/>
                      <w:sz w:val="21"/>
                      <w:szCs w:val="21"/>
                      <w:lang w:val="zh-CN"/>
                    </w:rPr>
                  </w:pPr>
                </w:p>
              </w:tc>
            </w:tr>
            <w:tr w14:paraId="68B4A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0" w:type="pct"/>
                  <w:vMerge w:val="restart"/>
                  <w:vAlign w:val="center"/>
                </w:tcPr>
                <w:p w14:paraId="2608999A">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1</w:t>
                  </w:r>
                </w:p>
              </w:tc>
              <w:tc>
                <w:tcPr>
                  <w:tcW w:w="265" w:type="pct"/>
                  <w:vMerge w:val="restart"/>
                  <w:vAlign w:val="center"/>
                </w:tcPr>
                <w:p w14:paraId="279F47E0">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DW001</w:t>
                  </w:r>
                </w:p>
              </w:tc>
              <w:tc>
                <w:tcPr>
                  <w:tcW w:w="490" w:type="pct"/>
                  <w:vMerge w:val="restart"/>
                  <w:vAlign w:val="center"/>
                </w:tcPr>
                <w:p w14:paraId="2C4DE8F8">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zh-CN"/>
                    </w:rPr>
                    <w:t>114.012343</w:t>
                  </w:r>
                  <w:r>
                    <w:rPr>
                      <w:rFonts w:hint="default" w:ascii="Times New Roman" w:hAnsi="Times New Roman" w:cs="Times New Roman"/>
                      <w:color w:val="auto"/>
                      <w:sz w:val="21"/>
                      <w:szCs w:val="21"/>
                    </w:rPr>
                    <w:t>°</w:t>
                  </w:r>
                </w:p>
              </w:tc>
              <w:tc>
                <w:tcPr>
                  <w:tcW w:w="448" w:type="pct"/>
                  <w:vMerge w:val="restart"/>
                  <w:vAlign w:val="center"/>
                </w:tcPr>
                <w:p w14:paraId="51A6BAC2">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23.111754</w:t>
                  </w:r>
                  <w:r>
                    <w:rPr>
                      <w:rFonts w:hint="default" w:ascii="Times New Roman" w:hAnsi="Times New Roman" w:cs="Times New Roman"/>
                      <w:color w:val="auto"/>
                      <w:sz w:val="21"/>
                      <w:szCs w:val="21"/>
                    </w:rPr>
                    <w:t>°</w:t>
                  </w:r>
                </w:p>
              </w:tc>
              <w:tc>
                <w:tcPr>
                  <w:tcW w:w="339" w:type="pct"/>
                  <w:vMerge w:val="restart"/>
                  <w:vAlign w:val="center"/>
                </w:tcPr>
                <w:p w14:paraId="43773186">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450</w:t>
                  </w:r>
                </w:p>
              </w:tc>
              <w:tc>
                <w:tcPr>
                  <w:tcW w:w="397" w:type="pct"/>
                  <w:vMerge w:val="restart"/>
                  <w:vAlign w:val="center"/>
                </w:tcPr>
                <w:p w14:paraId="4C730383">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进入</w:t>
                  </w:r>
                  <w:r>
                    <w:rPr>
                      <w:rFonts w:hint="default" w:ascii="Times New Roman" w:hAnsi="Times New Roman" w:cs="Times New Roman"/>
                      <w:color w:val="auto"/>
                      <w:sz w:val="21"/>
                      <w:szCs w:val="21"/>
                      <w:lang w:eastAsia="zh-CN"/>
                    </w:rPr>
                    <w:t>园洲镇第五污水处理厂</w:t>
                  </w:r>
                  <w:r>
                    <w:rPr>
                      <w:rFonts w:hint="default" w:ascii="Times New Roman" w:hAnsi="Times New Roman" w:cs="Times New Roman"/>
                      <w:color w:val="auto"/>
                      <w:sz w:val="21"/>
                      <w:szCs w:val="21"/>
                    </w:rPr>
                    <w:t>处理</w:t>
                  </w:r>
                </w:p>
              </w:tc>
              <w:tc>
                <w:tcPr>
                  <w:tcW w:w="560" w:type="pct"/>
                  <w:vMerge w:val="restart"/>
                  <w:vAlign w:val="center"/>
                </w:tcPr>
                <w:p w14:paraId="00D0F89C">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间断排放，排放期间流量不稳定，但有周期性规律</w:t>
                  </w:r>
                </w:p>
              </w:tc>
              <w:tc>
                <w:tcPr>
                  <w:tcW w:w="434" w:type="pct"/>
                  <w:vMerge w:val="restart"/>
                  <w:vAlign w:val="center"/>
                </w:tcPr>
                <w:p w14:paraId="2FD8E481">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8:00-</w:t>
                  </w:r>
                  <w:r>
                    <w:rPr>
                      <w:rFonts w:hint="default" w:ascii="Times New Roman" w:hAnsi="Times New Roman" w:cs="Times New Roman"/>
                      <w:color w:val="auto"/>
                      <w:sz w:val="21"/>
                      <w:szCs w:val="21"/>
                      <w:lang w:val="en-US" w:eastAsia="zh-CN"/>
                    </w:rPr>
                    <w:t>24</w:t>
                  </w:r>
                  <w:r>
                    <w:rPr>
                      <w:rFonts w:hint="default" w:ascii="Times New Roman" w:hAnsi="Times New Roman" w:cs="Times New Roman"/>
                      <w:color w:val="auto"/>
                      <w:sz w:val="21"/>
                      <w:szCs w:val="21"/>
                    </w:rPr>
                    <w:t>:00</w:t>
                  </w:r>
                </w:p>
              </w:tc>
              <w:tc>
                <w:tcPr>
                  <w:tcW w:w="408" w:type="pct"/>
                  <w:vMerge w:val="restart"/>
                  <w:vAlign w:val="center"/>
                </w:tcPr>
                <w:p w14:paraId="37DD52B1">
                  <w:pPr>
                    <w:spacing w:line="240" w:lineRule="auto"/>
                    <w:jc w:val="center"/>
                    <w:rPr>
                      <w:rFonts w:hint="default" w:ascii="Times New Roman" w:hAnsi="Times New Roman" w:eastAsia="宋体" w:cs="Times New Roman"/>
                      <w:color w:val="auto"/>
                      <w:sz w:val="21"/>
                      <w:szCs w:val="21"/>
                      <w:lang w:val="zh-CN" w:eastAsia="zh-CN"/>
                    </w:rPr>
                  </w:pPr>
                  <w:r>
                    <w:rPr>
                      <w:rFonts w:hint="default" w:ascii="Times New Roman" w:hAnsi="Times New Roman" w:cs="Times New Roman"/>
                      <w:color w:val="auto"/>
                      <w:sz w:val="21"/>
                      <w:szCs w:val="21"/>
                      <w:lang w:eastAsia="zh-CN"/>
                    </w:rPr>
                    <w:t>园洲镇第五污水处理厂</w:t>
                  </w:r>
                </w:p>
              </w:tc>
              <w:tc>
                <w:tcPr>
                  <w:tcW w:w="517" w:type="pct"/>
                  <w:vAlign w:val="center"/>
                </w:tcPr>
                <w:p w14:paraId="78DE5CB4">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CODcr</w:t>
                  </w:r>
                </w:p>
              </w:tc>
              <w:tc>
                <w:tcPr>
                  <w:tcW w:w="401" w:type="pct"/>
                  <w:vAlign w:val="center"/>
                </w:tcPr>
                <w:p w14:paraId="574D8603">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40</w:t>
                  </w:r>
                </w:p>
              </w:tc>
              <w:tc>
                <w:tcPr>
                  <w:tcW w:w="890" w:type="dxa"/>
                  <w:vAlign w:val="center"/>
                </w:tcPr>
                <w:p w14:paraId="00A3AEA6">
                  <w:pPr>
                    <w:keepNext/>
                    <w:keepLines/>
                    <w:pageBreakBefore/>
                    <w:wordWrap/>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kern w:val="21"/>
                      <w:sz w:val="21"/>
                      <w:szCs w:val="21"/>
                      <w:lang w:val="en-US" w:eastAsia="zh-CN"/>
                    </w:rPr>
                    <w:t>0.018</w:t>
                  </w:r>
                </w:p>
              </w:tc>
            </w:tr>
            <w:tr w14:paraId="64238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0" w:type="pct"/>
                  <w:vMerge w:val="continue"/>
                  <w:vAlign w:val="center"/>
                </w:tcPr>
                <w:p w14:paraId="7A40A654">
                  <w:pPr>
                    <w:spacing w:line="240" w:lineRule="auto"/>
                    <w:jc w:val="center"/>
                    <w:rPr>
                      <w:rFonts w:hint="default" w:ascii="Times New Roman" w:hAnsi="Times New Roman" w:cs="Times New Roman"/>
                      <w:color w:val="auto"/>
                      <w:sz w:val="21"/>
                      <w:szCs w:val="21"/>
                      <w:lang w:val="zh-CN"/>
                    </w:rPr>
                  </w:pPr>
                </w:p>
              </w:tc>
              <w:tc>
                <w:tcPr>
                  <w:tcW w:w="265" w:type="pct"/>
                  <w:vMerge w:val="continue"/>
                  <w:vAlign w:val="center"/>
                </w:tcPr>
                <w:p w14:paraId="7DB9FEEF">
                  <w:pPr>
                    <w:spacing w:line="240" w:lineRule="auto"/>
                    <w:jc w:val="center"/>
                    <w:rPr>
                      <w:rFonts w:hint="default" w:ascii="Times New Roman" w:hAnsi="Times New Roman" w:cs="Times New Roman"/>
                      <w:color w:val="auto"/>
                      <w:sz w:val="21"/>
                      <w:szCs w:val="21"/>
                      <w:lang w:val="zh-CN"/>
                    </w:rPr>
                  </w:pPr>
                </w:p>
              </w:tc>
              <w:tc>
                <w:tcPr>
                  <w:tcW w:w="490" w:type="pct"/>
                  <w:vMerge w:val="continue"/>
                  <w:vAlign w:val="center"/>
                </w:tcPr>
                <w:p w14:paraId="4E44050F">
                  <w:pPr>
                    <w:spacing w:line="240" w:lineRule="auto"/>
                    <w:jc w:val="center"/>
                    <w:rPr>
                      <w:rFonts w:hint="default" w:ascii="Times New Roman" w:hAnsi="Times New Roman" w:cs="Times New Roman"/>
                      <w:color w:val="auto"/>
                      <w:sz w:val="21"/>
                      <w:szCs w:val="21"/>
                      <w:lang w:val="zh-CN"/>
                    </w:rPr>
                  </w:pPr>
                </w:p>
              </w:tc>
              <w:tc>
                <w:tcPr>
                  <w:tcW w:w="448" w:type="pct"/>
                  <w:vMerge w:val="continue"/>
                  <w:vAlign w:val="center"/>
                </w:tcPr>
                <w:p w14:paraId="2356791C">
                  <w:pPr>
                    <w:spacing w:line="240" w:lineRule="auto"/>
                    <w:jc w:val="center"/>
                    <w:rPr>
                      <w:rFonts w:hint="default" w:ascii="Times New Roman" w:hAnsi="Times New Roman" w:cs="Times New Roman"/>
                      <w:color w:val="auto"/>
                      <w:sz w:val="21"/>
                      <w:szCs w:val="21"/>
                      <w:lang w:val="zh-CN"/>
                    </w:rPr>
                  </w:pPr>
                </w:p>
              </w:tc>
              <w:tc>
                <w:tcPr>
                  <w:tcW w:w="339" w:type="pct"/>
                  <w:vMerge w:val="continue"/>
                  <w:vAlign w:val="center"/>
                </w:tcPr>
                <w:p w14:paraId="623F048E">
                  <w:pPr>
                    <w:spacing w:line="240" w:lineRule="auto"/>
                    <w:jc w:val="center"/>
                    <w:rPr>
                      <w:rFonts w:hint="default" w:ascii="Times New Roman" w:hAnsi="Times New Roman" w:cs="Times New Roman"/>
                      <w:color w:val="auto"/>
                      <w:sz w:val="21"/>
                      <w:szCs w:val="21"/>
                      <w:lang w:val="zh-CN"/>
                    </w:rPr>
                  </w:pPr>
                </w:p>
              </w:tc>
              <w:tc>
                <w:tcPr>
                  <w:tcW w:w="397" w:type="pct"/>
                  <w:vMerge w:val="continue"/>
                  <w:vAlign w:val="center"/>
                </w:tcPr>
                <w:p w14:paraId="37E8EF68">
                  <w:pPr>
                    <w:spacing w:line="240" w:lineRule="auto"/>
                    <w:jc w:val="center"/>
                    <w:rPr>
                      <w:rFonts w:hint="default" w:ascii="Times New Roman" w:hAnsi="Times New Roman" w:cs="Times New Roman"/>
                      <w:color w:val="auto"/>
                      <w:sz w:val="21"/>
                      <w:szCs w:val="21"/>
                      <w:lang w:val="zh-CN"/>
                    </w:rPr>
                  </w:pPr>
                </w:p>
              </w:tc>
              <w:tc>
                <w:tcPr>
                  <w:tcW w:w="560" w:type="pct"/>
                  <w:vMerge w:val="continue"/>
                  <w:vAlign w:val="center"/>
                </w:tcPr>
                <w:p w14:paraId="00566716">
                  <w:pPr>
                    <w:spacing w:line="240" w:lineRule="auto"/>
                    <w:jc w:val="center"/>
                    <w:rPr>
                      <w:rFonts w:hint="default" w:ascii="Times New Roman" w:hAnsi="Times New Roman" w:cs="Times New Roman"/>
                      <w:color w:val="auto"/>
                      <w:sz w:val="21"/>
                      <w:szCs w:val="21"/>
                      <w:lang w:val="zh-CN"/>
                    </w:rPr>
                  </w:pPr>
                </w:p>
              </w:tc>
              <w:tc>
                <w:tcPr>
                  <w:tcW w:w="434" w:type="pct"/>
                  <w:vMerge w:val="continue"/>
                  <w:vAlign w:val="center"/>
                </w:tcPr>
                <w:p w14:paraId="728518C1">
                  <w:pPr>
                    <w:spacing w:line="240" w:lineRule="auto"/>
                    <w:jc w:val="center"/>
                    <w:rPr>
                      <w:rFonts w:hint="default" w:ascii="Times New Roman" w:hAnsi="Times New Roman" w:cs="Times New Roman"/>
                      <w:color w:val="auto"/>
                      <w:sz w:val="21"/>
                      <w:szCs w:val="21"/>
                      <w:lang w:val="zh-CN"/>
                    </w:rPr>
                  </w:pPr>
                </w:p>
              </w:tc>
              <w:tc>
                <w:tcPr>
                  <w:tcW w:w="408" w:type="pct"/>
                  <w:vMerge w:val="continue"/>
                  <w:vAlign w:val="center"/>
                </w:tcPr>
                <w:p w14:paraId="153EF3DF">
                  <w:pPr>
                    <w:spacing w:line="240" w:lineRule="auto"/>
                    <w:jc w:val="center"/>
                    <w:rPr>
                      <w:rFonts w:hint="default" w:ascii="Times New Roman" w:hAnsi="Times New Roman" w:cs="Times New Roman"/>
                      <w:color w:val="auto"/>
                      <w:sz w:val="21"/>
                      <w:szCs w:val="21"/>
                      <w:lang w:val="zh-CN"/>
                    </w:rPr>
                  </w:pPr>
                </w:p>
              </w:tc>
              <w:tc>
                <w:tcPr>
                  <w:tcW w:w="878" w:type="dxa"/>
                  <w:vAlign w:val="center"/>
                </w:tcPr>
                <w:p w14:paraId="09E21D69">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BOD</w:t>
                  </w:r>
                  <w:r>
                    <w:rPr>
                      <w:rFonts w:hint="default" w:ascii="Times New Roman" w:hAnsi="Times New Roman" w:cs="Times New Roman"/>
                      <w:bCs/>
                      <w:color w:val="auto"/>
                      <w:kern w:val="21"/>
                      <w:sz w:val="21"/>
                      <w:szCs w:val="21"/>
                      <w:vertAlign w:val="subscript"/>
                    </w:rPr>
                    <w:t>5</w:t>
                  </w:r>
                </w:p>
              </w:tc>
              <w:tc>
                <w:tcPr>
                  <w:tcW w:w="681" w:type="dxa"/>
                  <w:vAlign w:val="center"/>
                </w:tcPr>
                <w:p w14:paraId="20F6AB48">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10</w:t>
                  </w:r>
                </w:p>
              </w:tc>
              <w:tc>
                <w:tcPr>
                  <w:tcW w:w="890" w:type="dxa"/>
                  <w:vAlign w:val="center"/>
                </w:tcPr>
                <w:p w14:paraId="123BB545">
                  <w:pPr>
                    <w:keepNext/>
                    <w:keepLines/>
                    <w:pageBreakBefore/>
                    <w:wordWrap/>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kern w:val="21"/>
                      <w:sz w:val="21"/>
                      <w:szCs w:val="21"/>
                      <w:lang w:val="en-US" w:eastAsia="zh-CN"/>
                    </w:rPr>
                    <w:t>0.01</w:t>
                  </w:r>
                </w:p>
              </w:tc>
            </w:tr>
            <w:tr w14:paraId="370BB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0" w:type="pct"/>
                  <w:vMerge w:val="continue"/>
                  <w:vAlign w:val="center"/>
                </w:tcPr>
                <w:p w14:paraId="0535D626">
                  <w:pPr>
                    <w:spacing w:line="240" w:lineRule="auto"/>
                    <w:jc w:val="center"/>
                    <w:rPr>
                      <w:rFonts w:hint="default" w:ascii="Times New Roman" w:hAnsi="Times New Roman" w:cs="Times New Roman"/>
                      <w:color w:val="auto"/>
                      <w:sz w:val="21"/>
                      <w:szCs w:val="21"/>
                      <w:lang w:val="zh-CN"/>
                    </w:rPr>
                  </w:pPr>
                </w:p>
              </w:tc>
              <w:tc>
                <w:tcPr>
                  <w:tcW w:w="265" w:type="pct"/>
                  <w:vMerge w:val="continue"/>
                  <w:vAlign w:val="center"/>
                </w:tcPr>
                <w:p w14:paraId="3FC1265F">
                  <w:pPr>
                    <w:spacing w:line="240" w:lineRule="auto"/>
                    <w:jc w:val="center"/>
                    <w:rPr>
                      <w:rFonts w:hint="default" w:ascii="Times New Roman" w:hAnsi="Times New Roman" w:cs="Times New Roman"/>
                      <w:color w:val="auto"/>
                      <w:sz w:val="21"/>
                      <w:szCs w:val="21"/>
                      <w:lang w:val="zh-CN"/>
                    </w:rPr>
                  </w:pPr>
                </w:p>
              </w:tc>
              <w:tc>
                <w:tcPr>
                  <w:tcW w:w="490" w:type="pct"/>
                  <w:vMerge w:val="continue"/>
                  <w:vAlign w:val="center"/>
                </w:tcPr>
                <w:p w14:paraId="2A9C57EB">
                  <w:pPr>
                    <w:spacing w:line="240" w:lineRule="auto"/>
                    <w:jc w:val="center"/>
                    <w:rPr>
                      <w:rFonts w:hint="default" w:ascii="Times New Roman" w:hAnsi="Times New Roman" w:cs="Times New Roman"/>
                      <w:color w:val="auto"/>
                      <w:sz w:val="21"/>
                      <w:szCs w:val="21"/>
                      <w:lang w:val="zh-CN"/>
                    </w:rPr>
                  </w:pPr>
                </w:p>
              </w:tc>
              <w:tc>
                <w:tcPr>
                  <w:tcW w:w="448" w:type="pct"/>
                  <w:vMerge w:val="continue"/>
                  <w:vAlign w:val="center"/>
                </w:tcPr>
                <w:p w14:paraId="23EA63A2">
                  <w:pPr>
                    <w:spacing w:line="240" w:lineRule="auto"/>
                    <w:jc w:val="center"/>
                    <w:rPr>
                      <w:rFonts w:hint="default" w:ascii="Times New Roman" w:hAnsi="Times New Roman" w:cs="Times New Roman"/>
                      <w:color w:val="auto"/>
                      <w:sz w:val="21"/>
                      <w:szCs w:val="21"/>
                      <w:lang w:val="zh-CN"/>
                    </w:rPr>
                  </w:pPr>
                </w:p>
              </w:tc>
              <w:tc>
                <w:tcPr>
                  <w:tcW w:w="339" w:type="pct"/>
                  <w:vMerge w:val="continue"/>
                  <w:vAlign w:val="center"/>
                </w:tcPr>
                <w:p w14:paraId="44C004A4">
                  <w:pPr>
                    <w:spacing w:line="240" w:lineRule="auto"/>
                    <w:jc w:val="center"/>
                    <w:rPr>
                      <w:rFonts w:hint="default" w:ascii="Times New Roman" w:hAnsi="Times New Roman" w:cs="Times New Roman"/>
                      <w:color w:val="auto"/>
                      <w:sz w:val="21"/>
                      <w:szCs w:val="21"/>
                      <w:lang w:val="zh-CN"/>
                    </w:rPr>
                  </w:pPr>
                </w:p>
              </w:tc>
              <w:tc>
                <w:tcPr>
                  <w:tcW w:w="397" w:type="pct"/>
                  <w:vMerge w:val="continue"/>
                  <w:vAlign w:val="center"/>
                </w:tcPr>
                <w:p w14:paraId="53635949">
                  <w:pPr>
                    <w:spacing w:line="240" w:lineRule="auto"/>
                    <w:jc w:val="center"/>
                    <w:rPr>
                      <w:rFonts w:hint="default" w:ascii="Times New Roman" w:hAnsi="Times New Roman" w:cs="Times New Roman"/>
                      <w:color w:val="auto"/>
                      <w:sz w:val="21"/>
                      <w:szCs w:val="21"/>
                      <w:lang w:val="zh-CN"/>
                    </w:rPr>
                  </w:pPr>
                </w:p>
              </w:tc>
              <w:tc>
                <w:tcPr>
                  <w:tcW w:w="560" w:type="pct"/>
                  <w:vMerge w:val="continue"/>
                  <w:vAlign w:val="center"/>
                </w:tcPr>
                <w:p w14:paraId="47311A06">
                  <w:pPr>
                    <w:spacing w:line="240" w:lineRule="auto"/>
                    <w:jc w:val="center"/>
                    <w:rPr>
                      <w:rFonts w:hint="default" w:ascii="Times New Roman" w:hAnsi="Times New Roman" w:cs="Times New Roman"/>
                      <w:color w:val="auto"/>
                      <w:sz w:val="21"/>
                      <w:szCs w:val="21"/>
                      <w:lang w:val="zh-CN"/>
                    </w:rPr>
                  </w:pPr>
                </w:p>
              </w:tc>
              <w:tc>
                <w:tcPr>
                  <w:tcW w:w="434" w:type="pct"/>
                  <w:vMerge w:val="continue"/>
                  <w:vAlign w:val="center"/>
                </w:tcPr>
                <w:p w14:paraId="46C36A7D">
                  <w:pPr>
                    <w:spacing w:line="240" w:lineRule="auto"/>
                    <w:jc w:val="center"/>
                    <w:rPr>
                      <w:rFonts w:hint="default" w:ascii="Times New Roman" w:hAnsi="Times New Roman" w:cs="Times New Roman"/>
                      <w:color w:val="auto"/>
                      <w:sz w:val="21"/>
                      <w:szCs w:val="21"/>
                      <w:lang w:val="zh-CN"/>
                    </w:rPr>
                  </w:pPr>
                </w:p>
              </w:tc>
              <w:tc>
                <w:tcPr>
                  <w:tcW w:w="408" w:type="pct"/>
                  <w:vMerge w:val="continue"/>
                  <w:vAlign w:val="center"/>
                </w:tcPr>
                <w:p w14:paraId="01F33AA8">
                  <w:pPr>
                    <w:spacing w:line="240" w:lineRule="auto"/>
                    <w:jc w:val="center"/>
                    <w:rPr>
                      <w:rFonts w:hint="default" w:ascii="Times New Roman" w:hAnsi="Times New Roman" w:cs="Times New Roman"/>
                      <w:color w:val="auto"/>
                      <w:sz w:val="21"/>
                      <w:szCs w:val="21"/>
                      <w:lang w:val="zh-CN"/>
                    </w:rPr>
                  </w:pPr>
                </w:p>
              </w:tc>
              <w:tc>
                <w:tcPr>
                  <w:tcW w:w="878" w:type="dxa"/>
                  <w:vAlign w:val="center"/>
                </w:tcPr>
                <w:p w14:paraId="68F83377">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SS</w:t>
                  </w:r>
                </w:p>
              </w:tc>
              <w:tc>
                <w:tcPr>
                  <w:tcW w:w="681" w:type="dxa"/>
                  <w:vAlign w:val="center"/>
                </w:tcPr>
                <w:p w14:paraId="1AE12E14">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10</w:t>
                  </w:r>
                </w:p>
              </w:tc>
              <w:tc>
                <w:tcPr>
                  <w:tcW w:w="890" w:type="dxa"/>
                  <w:vAlign w:val="center"/>
                </w:tcPr>
                <w:p w14:paraId="44E3E9B4">
                  <w:pPr>
                    <w:keepNext/>
                    <w:keepLines/>
                    <w:pageBreakBefore/>
                    <w:wordWrap/>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kern w:val="21"/>
                      <w:sz w:val="21"/>
                      <w:szCs w:val="21"/>
                      <w:lang w:val="en-US" w:eastAsia="zh-CN"/>
                    </w:rPr>
                    <w:t>0.01</w:t>
                  </w:r>
                </w:p>
              </w:tc>
            </w:tr>
            <w:tr w14:paraId="75A3A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0" w:type="pct"/>
                  <w:vMerge w:val="continue"/>
                  <w:vAlign w:val="center"/>
                </w:tcPr>
                <w:p w14:paraId="2A3BE55F">
                  <w:pPr>
                    <w:spacing w:line="240" w:lineRule="auto"/>
                    <w:jc w:val="center"/>
                    <w:rPr>
                      <w:rFonts w:hint="default" w:ascii="Times New Roman" w:hAnsi="Times New Roman" w:cs="Times New Roman"/>
                      <w:color w:val="auto"/>
                      <w:sz w:val="21"/>
                      <w:szCs w:val="21"/>
                      <w:lang w:val="zh-CN"/>
                    </w:rPr>
                  </w:pPr>
                </w:p>
              </w:tc>
              <w:tc>
                <w:tcPr>
                  <w:tcW w:w="265" w:type="pct"/>
                  <w:vMerge w:val="continue"/>
                  <w:vAlign w:val="center"/>
                </w:tcPr>
                <w:p w14:paraId="28B772BA">
                  <w:pPr>
                    <w:spacing w:line="240" w:lineRule="auto"/>
                    <w:jc w:val="center"/>
                    <w:rPr>
                      <w:rFonts w:hint="default" w:ascii="Times New Roman" w:hAnsi="Times New Roman" w:cs="Times New Roman"/>
                      <w:color w:val="auto"/>
                      <w:sz w:val="21"/>
                      <w:szCs w:val="21"/>
                      <w:lang w:val="zh-CN"/>
                    </w:rPr>
                  </w:pPr>
                </w:p>
              </w:tc>
              <w:tc>
                <w:tcPr>
                  <w:tcW w:w="490" w:type="pct"/>
                  <w:vMerge w:val="continue"/>
                  <w:vAlign w:val="center"/>
                </w:tcPr>
                <w:p w14:paraId="0B5E6E72">
                  <w:pPr>
                    <w:spacing w:line="240" w:lineRule="auto"/>
                    <w:jc w:val="center"/>
                    <w:rPr>
                      <w:rFonts w:hint="default" w:ascii="Times New Roman" w:hAnsi="Times New Roman" w:cs="Times New Roman"/>
                      <w:color w:val="auto"/>
                      <w:sz w:val="21"/>
                      <w:szCs w:val="21"/>
                      <w:lang w:val="zh-CN"/>
                    </w:rPr>
                  </w:pPr>
                </w:p>
              </w:tc>
              <w:tc>
                <w:tcPr>
                  <w:tcW w:w="448" w:type="pct"/>
                  <w:vMerge w:val="continue"/>
                  <w:vAlign w:val="center"/>
                </w:tcPr>
                <w:p w14:paraId="52F31FD5">
                  <w:pPr>
                    <w:spacing w:line="240" w:lineRule="auto"/>
                    <w:jc w:val="center"/>
                    <w:rPr>
                      <w:rFonts w:hint="default" w:ascii="Times New Roman" w:hAnsi="Times New Roman" w:cs="Times New Roman"/>
                      <w:color w:val="auto"/>
                      <w:sz w:val="21"/>
                      <w:szCs w:val="21"/>
                      <w:lang w:val="zh-CN"/>
                    </w:rPr>
                  </w:pPr>
                </w:p>
              </w:tc>
              <w:tc>
                <w:tcPr>
                  <w:tcW w:w="339" w:type="pct"/>
                  <w:vMerge w:val="continue"/>
                  <w:vAlign w:val="center"/>
                </w:tcPr>
                <w:p w14:paraId="212DEFB6">
                  <w:pPr>
                    <w:spacing w:line="240" w:lineRule="auto"/>
                    <w:jc w:val="center"/>
                    <w:rPr>
                      <w:rFonts w:hint="default" w:ascii="Times New Roman" w:hAnsi="Times New Roman" w:cs="Times New Roman"/>
                      <w:color w:val="auto"/>
                      <w:sz w:val="21"/>
                      <w:szCs w:val="21"/>
                      <w:lang w:val="zh-CN"/>
                    </w:rPr>
                  </w:pPr>
                </w:p>
              </w:tc>
              <w:tc>
                <w:tcPr>
                  <w:tcW w:w="397" w:type="pct"/>
                  <w:vMerge w:val="continue"/>
                  <w:vAlign w:val="center"/>
                </w:tcPr>
                <w:p w14:paraId="413A8646">
                  <w:pPr>
                    <w:spacing w:line="240" w:lineRule="auto"/>
                    <w:jc w:val="center"/>
                    <w:rPr>
                      <w:rFonts w:hint="default" w:ascii="Times New Roman" w:hAnsi="Times New Roman" w:cs="Times New Roman"/>
                      <w:color w:val="auto"/>
                      <w:sz w:val="21"/>
                      <w:szCs w:val="21"/>
                      <w:lang w:val="zh-CN"/>
                    </w:rPr>
                  </w:pPr>
                </w:p>
              </w:tc>
              <w:tc>
                <w:tcPr>
                  <w:tcW w:w="560" w:type="pct"/>
                  <w:vMerge w:val="continue"/>
                  <w:vAlign w:val="center"/>
                </w:tcPr>
                <w:p w14:paraId="21C7D3B0">
                  <w:pPr>
                    <w:spacing w:line="240" w:lineRule="auto"/>
                    <w:jc w:val="center"/>
                    <w:rPr>
                      <w:rFonts w:hint="default" w:ascii="Times New Roman" w:hAnsi="Times New Roman" w:cs="Times New Roman"/>
                      <w:color w:val="auto"/>
                      <w:sz w:val="21"/>
                      <w:szCs w:val="21"/>
                      <w:lang w:val="zh-CN"/>
                    </w:rPr>
                  </w:pPr>
                </w:p>
              </w:tc>
              <w:tc>
                <w:tcPr>
                  <w:tcW w:w="434" w:type="pct"/>
                  <w:vMerge w:val="continue"/>
                  <w:vAlign w:val="center"/>
                </w:tcPr>
                <w:p w14:paraId="01220892">
                  <w:pPr>
                    <w:spacing w:line="240" w:lineRule="auto"/>
                    <w:jc w:val="center"/>
                    <w:rPr>
                      <w:rFonts w:hint="default" w:ascii="Times New Roman" w:hAnsi="Times New Roman" w:cs="Times New Roman"/>
                      <w:color w:val="auto"/>
                      <w:sz w:val="21"/>
                      <w:szCs w:val="21"/>
                      <w:lang w:val="zh-CN"/>
                    </w:rPr>
                  </w:pPr>
                </w:p>
              </w:tc>
              <w:tc>
                <w:tcPr>
                  <w:tcW w:w="408" w:type="pct"/>
                  <w:vMerge w:val="continue"/>
                  <w:vAlign w:val="center"/>
                </w:tcPr>
                <w:p w14:paraId="522AC19E">
                  <w:pPr>
                    <w:spacing w:line="240" w:lineRule="auto"/>
                    <w:jc w:val="center"/>
                    <w:rPr>
                      <w:rFonts w:hint="default" w:ascii="Times New Roman" w:hAnsi="Times New Roman" w:cs="Times New Roman"/>
                      <w:color w:val="auto"/>
                      <w:sz w:val="21"/>
                      <w:szCs w:val="21"/>
                      <w:lang w:val="zh-CN"/>
                    </w:rPr>
                  </w:pPr>
                </w:p>
              </w:tc>
              <w:tc>
                <w:tcPr>
                  <w:tcW w:w="878" w:type="dxa"/>
                  <w:vAlign w:val="center"/>
                </w:tcPr>
                <w:p w14:paraId="73BD0FA0">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氨氮</w:t>
                  </w:r>
                </w:p>
              </w:tc>
              <w:tc>
                <w:tcPr>
                  <w:tcW w:w="681" w:type="dxa"/>
                  <w:vAlign w:val="center"/>
                </w:tcPr>
                <w:p w14:paraId="12A6237F">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5</w:t>
                  </w:r>
                </w:p>
              </w:tc>
              <w:tc>
                <w:tcPr>
                  <w:tcW w:w="890" w:type="dxa"/>
                  <w:vAlign w:val="center"/>
                </w:tcPr>
                <w:p w14:paraId="6CF94844">
                  <w:pPr>
                    <w:keepNext/>
                    <w:keepLines/>
                    <w:pageBreakBefore/>
                    <w:wordWrap/>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kern w:val="21"/>
                      <w:sz w:val="21"/>
                      <w:szCs w:val="21"/>
                      <w:lang w:val="en-US" w:eastAsia="zh-CN"/>
                    </w:rPr>
                    <w:t>0.005</w:t>
                  </w:r>
                </w:p>
              </w:tc>
            </w:tr>
          </w:tbl>
          <w:p w14:paraId="022C9FBA">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3）监测要求</w:t>
            </w:r>
          </w:p>
          <w:p w14:paraId="55639963">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rPr>
              <w:t>项目从事</w:t>
            </w:r>
            <w:r>
              <w:rPr>
                <w:rFonts w:hint="default" w:ascii="Times New Roman" w:hAnsi="Times New Roman" w:cs="Times New Roman"/>
                <w:color w:val="auto"/>
                <w:lang w:val="en-US" w:eastAsia="zh-CN"/>
              </w:rPr>
              <w:t>硅胶制品和模具</w:t>
            </w:r>
            <w:r>
              <w:rPr>
                <w:rFonts w:hint="default" w:ascii="Times New Roman" w:hAnsi="Times New Roman" w:cs="Times New Roman"/>
                <w:color w:val="auto"/>
              </w:rPr>
              <w:t>的生产，属于C</w:t>
            </w:r>
            <w:r>
              <w:rPr>
                <w:rFonts w:hint="default" w:ascii="Times New Roman" w:hAnsi="Times New Roman" w:cs="Times New Roman"/>
                <w:color w:val="auto"/>
                <w:sz w:val="24"/>
                <w:lang w:val="en-US" w:eastAsia="zh-CN"/>
              </w:rPr>
              <w:t>2919其他橡胶制品制造</w:t>
            </w:r>
            <w:r>
              <w:rPr>
                <w:rFonts w:hint="default" w:ascii="Times New Roman" w:hAnsi="Times New Roman" w:cs="Times New Roman"/>
                <w:color w:val="auto"/>
              </w:rPr>
              <w:t>，</w:t>
            </w:r>
            <w:r>
              <w:rPr>
                <w:rFonts w:hint="default" w:ascii="Times New Roman" w:hAnsi="Times New Roman" w:cs="Times New Roman"/>
                <w:color w:val="auto"/>
                <w:szCs w:val="22"/>
              </w:rPr>
              <w:t>项目</w:t>
            </w:r>
            <w:r>
              <w:rPr>
                <w:rFonts w:hint="default" w:ascii="Times New Roman" w:hAnsi="Times New Roman" w:cs="Times New Roman"/>
                <w:color w:val="auto"/>
                <w:szCs w:val="22"/>
                <w:lang w:val="en-US" w:eastAsia="zh-CN"/>
              </w:rPr>
              <w:t>以</w:t>
            </w:r>
            <w:r>
              <w:rPr>
                <w:rFonts w:hint="default" w:ascii="Times New Roman" w:hAnsi="Times New Roman" w:cs="Times New Roman"/>
                <w:color w:val="auto"/>
                <w:szCs w:val="22"/>
              </w:rPr>
              <w:t xml:space="preserve">《排污单位自行监测技术指南 </w:t>
            </w:r>
            <w:r>
              <w:rPr>
                <w:rFonts w:hint="default" w:ascii="Times New Roman" w:hAnsi="Times New Roman" w:cs="Times New Roman"/>
                <w:color w:val="auto"/>
                <w:szCs w:val="22"/>
                <w:lang w:val="en-US" w:eastAsia="zh-CN"/>
              </w:rPr>
              <w:t>橡胶和塑料制品</w:t>
            </w:r>
            <w:r>
              <w:rPr>
                <w:rFonts w:hint="default" w:ascii="Times New Roman" w:hAnsi="Times New Roman" w:cs="Times New Roman"/>
                <w:color w:val="auto"/>
                <w:szCs w:val="22"/>
              </w:rPr>
              <w:t xml:space="preserve">》（HJ </w:t>
            </w:r>
            <w:r>
              <w:rPr>
                <w:rFonts w:hint="default" w:ascii="Times New Roman" w:hAnsi="Times New Roman" w:cs="Times New Roman"/>
                <w:color w:val="auto"/>
                <w:szCs w:val="22"/>
                <w:lang w:val="en-US" w:eastAsia="zh-CN"/>
              </w:rPr>
              <w:t>1207-2021</w:t>
            </w:r>
            <w:r>
              <w:rPr>
                <w:rFonts w:hint="default" w:ascii="Times New Roman" w:hAnsi="Times New Roman" w:cs="Times New Roman"/>
                <w:color w:val="auto"/>
                <w:szCs w:val="22"/>
              </w:rPr>
              <w:t>）</w:t>
            </w:r>
            <w:r>
              <w:rPr>
                <w:rFonts w:hint="default" w:ascii="Times New Roman" w:hAnsi="Times New Roman" w:cs="Times New Roman"/>
                <w:color w:val="auto"/>
                <w:szCs w:val="22"/>
                <w:lang w:val="en-US" w:eastAsia="zh-CN"/>
              </w:rPr>
              <w:t>其他橡胶制品制造行业的监测要求</w:t>
            </w:r>
            <w:r>
              <w:rPr>
                <w:rFonts w:hint="default" w:ascii="Times New Roman" w:hAnsi="Times New Roman" w:cs="Times New Roman"/>
                <w:color w:val="auto"/>
              </w:rPr>
              <w:t>作为依照，项目</w:t>
            </w:r>
            <w:r>
              <w:rPr>
                <w:rFonts w:hint="default" w:ascii="Times New Roman" w:hAnsi="Times New Roman" w:cs="Times New Roman"/>
                <w:color w:val="auto"/>
                <w:lang w:val="en-US" w:eastAsia="zh-CN"/>
              </w:rPr>
              <w:t>属于非重点排污单位，</w:t>
            </w:r>
            <w:r>
              <w:rPr>
                <w:rFonts w:hint="default" w:ascii="Times New Roman" w:hAnsi="Times New Roman" w:cs="Times New Roman"/>
                <w:bCs/>
                <w:color w:val="auto"/>
                <w:szCs w:val="22"/>
              </w:rPr>
              <w:t>生活污水经三级化粪池预处理后纳入市政管网进入</w:t>
            </w:r>
            <w:r>
              <w:rPr>
                <w:rFonts w:hint="default" w:ascii="Times New Roman" w:hAnsi="Times New Roman" w:cs="Times New Roman"/>
                <w:bCs/>
                <w:color w:val="auto"/>
                <w:szCs w:val="22"/>
                <w:lang w:eastAsia="zh-CN"/>
              </w:rPr>
              <w:t>园洲镇第五污水处理厂</w:t>
            </w:r>
            <w:r>
              <w:rPr>
                <w:rFonts w:hint="default" w:ascii="Times New Roman" w:hAnsi="Times New Roman" w:cs="Times New Roman"/>
                <w:bCs/>
                <w:color w:val="auto"/>
                <w:szCs w:val="22"/>
              </w:rPr>
              <w:t>处理</w:t>
            </w:r>
            <w:r>
              <w:rPr>
                <w:rFonts w:hint="default" w:ascii="Times New Roman" w:hAnsi="Times New Roman" w:cs="Times New Roman"/>
                <w:color w:val="auto"/>
              </w:rPr>
              <w:t>，排放方式为间接排放，</w:t>
            </w:r>
            <w:r>
              <w:rPr>
                <w:rFonts w:hint="default" w:ascii="Times New Roman" w:hAnsi="Times New Roman" w:cs="Times New Roman"/>
                <w:color w:val="auto"/>
                <w:lang w:val="en-US" w:eastAsia="zh-CN"/>
              </w:rPr>
              <w:t>间接冷却废水循环使用不外排，喷淋废水、水帘柜</w:t>
            </w:r>
            <w:r>
              <w:rPr>
                <w:rFonts w:hint="default" w:ascii="Times New Roman" w:hAnsi="Times New Roman" w:cs="Times New Roman"/>
                <w:color w:val="auto"/>
              </w:rPr>
              <w:t>废水</w:t>
            </w:r>
            <w:r>
              <w:rPr>
                <w:rFonts w:hint="default" w:ascii="Times New Roman" w:hAnsi="Times New Roman" w:cs="Times New Roman"/>
                <w:color w:val="auto"/>
                <w:lang w:val="en-US" w:eastAsia="zh-CN"/>
              </w:rPr>
              <w:t>和喷枪清洗废水</w:t>
            </w:r>
            <w:r>
              <w:rPr>
                <w:rFonts w:hint="default" w:ascii="Times New Roman" w:hAnsi="Times New Roman" w:cs="Times New Roman"/>
                <w:color w:val="auto"/>
              </w:rPr>
              <w:t>收集后交由有资质的单位处置，不外排，因此</w:t>
            </w:r>
            <w:r>
              <w:rPr>
                <w:rFonts w:hint="default" w:ascii="Times New Roman" w:hAnsi="Times New Roman" w:cs="Times New Roman"/>
                <w:color w:val="auto"/>
                <w:szCs w:val="22"/>
              </w:rPr>
              <w:t>无需对项目废水排放污染物进行监测。</w:t>
            </w:r>
          </w:p>
          <w:p w14:paraId="2130E324">
            <w:pPr>
              <w:pStyle w:val="30"/>
              <w:ind w:firstLine="0" w:firstLineChars="0"/>
              <w:rPr>
                <w:rFonts w:hint="default" w:ascii="Times New Roman" w:hAnsi="Times New Roman" w:cs="Times New Roman"/>
                <w:color w:val="auto"/>
              </w:rPr>
            </w:pPr>
          </w:p>
        </w:tc>
      </w:tr>
    </w:tbl>
    <w:p w14:paraId="1E9CE76C">
      <w:pPr>
        <w:adjustRightInd w:val="0"/>
        <w:snapToGrid w:val="0"/>
        <w:rPr>
          <w:rFonts w:hint="default" w:ascii="Times New Roman" w:hAnsi="Times New Roman" w:cs="Times New Roman"/>
          <w:b/>
          <w:color w:val="auto"/>
          <w:kern w:val="0"/>
          <w:sz w:val="28"/>
          <w:szCs w:val="28"/>
        </w:rPr>
        <w:sectPr>
          <w:pgSz w:w="11907" w:h="16840"/>
          <w:pgMar w:top="1701" w:right="1531" w:bottom="2127" w:left="1531" w:header="851" w:footer="1701" w:gutter="0"/>
          <w:cols w:space="720" w:num="1"/>
          <w:docGrid w:linePitch="312" w:charSpace="0"/>
        </w:sectPr>
      </w:pPr>
    </w:p>
    <w:tbl>
      <w:tblPr>
        <w:tblStyle w:val="22"/>
        <w:tblW w:w="141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3557"/>
      </w:tblGrid>
      <w:tr w14:paraId="47FA8E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18" w:hRule="atLeast"/>
          <w:jc w:val="center"/>
        </w:trPr>
        <w:tc>
          <w:tcPr>
            <w:tcW w:w="642" w:type="dxa"/>
            <w:noWrap w:val="0"/>
            <w:tcMar>
              <w:left w:w="28" w:type="dxa"/>
              <w:right w:w="28" w:type="dxa"/>
            </w:tcMar>
            <w:vAlign w:val="center"/>
          </w:tcPr>
          <w:p w14:paraId="740B1A39">
            <w:pPr>
              <w:keepNext w:val="0"/>
              <w:keepLines w:val="0"/>
              <w:suppressLineNumbers w:val="0"/>
              <w:wordWrap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Cs/>
                <w:color w:val="auto"/>
                <w:sz w:val="24"/>
                <w:szCs w:val="21"/>
              </w:rPr>
            </w:pPr>
          </w:p>
        </w:tc>
        <w:tc>
          <w:tcPr>
            <w:tcW w:w="13557" w:type="dxa"/>
            <w:noWrap w:val="0"/>
            <w:vAlign w:val="top"/>
          </w:tcPr>
          <w:p w14:paraId="73DF5256">
            <w:pPr>
              <w:keepNext w:val="0"/>
              <w:keepLines w:val="0"/>
              <w:suppressLineNumbers w:val="0"/>
              <w:wordWrap w:val="0"/>
              <w:spacing w:before="0" w:beforeAutospacing="0" w:after="0" w:afterAutospacing="0"/>
              <w:ind w:left="0" w:right="0" w:firstLine="0" w:firstLineChars="0"/>
              <w:textAlignment w:val="baseline"/>
              <w:rPr>
                <w:rFonts w:hint="default" w:ascii="Times New Roman" w:hAnsi="Times New Roman" w:eastAsia="宋体" w:cs="Times New Roman"/>
                <w:color w:val="auto"/>
                <w:kern w:val="0"/>
                <w:sz w:val="24"/>
                <w:szCs w:val="24"/>
              </w:rPr>
            </w:pPr>
            <w:r>
              <w:rPr>
                <w:rFonts w:hint="default" w:ascii="Times New Roman" w:hAnsi="Times New Roman" w:eastAsia="宋体" w:cs="Times New Roman"/>
                <w:b/>
                <w:color w:val="auto"/>
                <w:kern w:val="0"/>
                <w:sz w:val="24"/>
                <w:szCs w:val="24"/>
              </w:rPr>
              <w:t>3、噪声</w:t>
            </w:r>
          </w:p>
          <w:p w14:paraId="7952F1CF">
            <w:pPr>
              <w:keepNext w:val="0"/>
              <w:keepLines w:val="0"/>
              <w:suppressLineNumbers w:val="0"/>
              <w:wordWrap w:val="0"/>
              <w:spacing w:before="0" w:beforeAutospacing="0" w:after="0" w:afterAutospacing="0"/>
              <w:ind w:left="0" w:right="0" w:firstLine="482" w:firstLineChars="20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（1）噪声源强分析</w:t>
            </w:r>
          </w:p>
          <w:p w14:paraId="09589EB0">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根据项目提供的资料，项目主要噪声为注塑机</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密炼机</w:t>
            </w:r>
            <w:r>
              <w:rPr>
                <w:rFonts w:hint="default" w:ascii="Times New Roman" w:hAnsi="Times New Roman" w:eastAsia="宋体" w:cs="Times New Roman"/>
                <w:color w:val="auto"/>
                <w:sz w:val="24"/>
                <w:szCs w:val="24"/>
              </w:rPr>
              <w:t>等机械设备运作时产生机械噪声，约7</w:t>
            </w:r>
            <w:r>
              <w:rPr>
                <w:rFonts w:hint="default" w:ascii="Times New Roman" w:hAnsi="Times New Roman" w:cs="Times New Roman"/>
                <w:color w:val="auto"/>
                <w:sz w:val="24"/>
                <w:szCs w:val="24"/>
                <w:lang w:val="en-US" w:eastAsia="zh-CN"/>
              </w:rPr>
              <w:t>0</w:t>
            </w:r>
            <w:r>
              <w:rPr>
                <w:rFonts w:hint="default" w:ascii="Times New Roman" w:hAnsi="Times New Roman" w:eastAsia="宋体" w:cs="Times New Roman"/>
                <w:color w:val="auto"/>
                <w:sz w:val="24"/>
                <w:szCs w:val="24"/>
                <w:lang w:val="en-US" w:eastAsia="zh-CN"/>
              </w:rPr>
              <w:t>-90</w:t>
            </w:r>
            <w:r>
              <w:rPr>
                <w:rFonts w:hint="default" w:ascii="Times New Roman" w:hAnsi="Times New Roman" w:eastAsia="宋体" w:cs="Times New Roman"/>
                <w:color w:val="auto"/>
                <w:sz w:val="24"/>
                <w:szCs w:val="24"/>
              </w:rPr>
              <w:t>dB(A)，根据刘惠玲主编《环境噪声控制》（2002年</w:t>
            </w:r>
            <w:r>
              <w:rPr>
                <w:rFonts w:hint="default"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rPr>
              <w:t>月第</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版），采用隔声间（室）技术措施，降噪效果可达20~40dB(A)。本项目降噪值选</w:t>
            </w:r>
            <w:r>
              <w:rPr>
                <w:rFonts w:hint="default" w:ascii="Times New Roman" w:hAnsi="Times New Roman" w:eastAsia="宋体" w:cs="Times New Roman"/>
                <w:color w:val="auto"/>
                <w:sz w:val="24"/>
                <w:szCs w:val="24"/>
                <w:lang w:val="en-US" w:eastAsia="zh-CN"/>
              </w:rPr>
              <w:t>30</w:t>
            </w:r>
            <w:r>
              <w:rPr>
                <w:rFonts w:hint="default" w:ascii="Times New Roman" w:hAnsi="Times New Roman" w:eastAsia="宋体" w:cs="Times New Roman"/>
                <w:color w:val="auto"/>
                <w:sz w:val="24"/>
                <w:szCs w:val="24"/>
              </w:rPr>
              <w:t>dB(A)。项目噪声源情况详见下表。</w:t>
            </w:r>
          </w:p>
          <w:p w14:paraId="595895E5">
            <w:pPr>
              <w:keepNext w:val="0"/>
              <w:keepLines w:val="0"/>
              <w:numPr>
                <w:ilvl w:val="0"/>
                <w:numId w:val="0"/>
              </w:numPr>
              <w:suppressLineNumbers w:val="0"/>
              <w:tabs>
                <w:tab w:val="left" w:pos="0"/>
              </w:tabs>
              <w:wordWrap/>
              <w:adjustRightInd w:val="0"/>
              <w:snapToGrid w:val="0"/>
              <w:spacing w:before="0" w:beforeAutospacing="0" w:after="0" w:afterAutospacing="0" w:line="240" w:lineRule="auto"/>
              <w:ind w:left="0" w:leftChars="0" w:right="0" w:rightChars="0" w:firstLine="420" w:firstLineChars="0"/>
              <w:jc w:val="center"/>
              <w:rPr>
                <w:rFonts w:hint="default" w:ascii="Times New Roman" w:hAnsi="Times New Roman" w:eastAsia="宋体" w:cs="Times New Roman"/>
                <w:bCs/>
                <w:color w:val="auto"/>
                <w:kern w:val="21"/>
                <w:sz w:val="24"/>
                <w:szCs w:val="24"/>
              </w:rPr>
            </w:pPr>
            <w:r>
              <w:rPr>
                <w:rFonts w:hint="default" w:ascii="Times New Roman" w:hAnsi="Times New Roman" w:eastAsia="宋体" w:cs="Times New Roman"/>
                <w:b/>
                <w:bCs/>
                <w:color w:val="auto"/>
                <w:kern w:val="21"/>
                <w:sz w:val="24"/>
                <w:szCs w:val="24"/>
                <w:lang w:val="en-US" w:eastAsia="zh-CN" w:bidi="ar-SA"/>
              </w:rPr>
              <w:t>表4-</w:t>
            </w:r>
            <w:r>
              <w:rPr>
                <w:rFonts w:hint="default" w:ascii="Times New Roman" w:hAnsi="Times New Roman" w:cs="Times New Roman"/>
                <w:b/>
                <w:bCs/>
                <w:color w:val="auto"/>
                <w:kern w:val="21"/>
                <w:sz w:val="24"/>
                <w:szCs w:val="24"/>
                <w:lang w:val="en-US" w:eastAsia="zh-CN" w:bidi="ar-SA"/>
              </w:rPr>
              <w:t>19</w:t>
            </w:r>
            <w:r>
              <w:rPr>
                <w:rFonts w:hint="default" w:ascii="Times New Roman" w:hAnsi="Times New Roman" w:eastAsia="宋体" w:cs="Times New Roman"/>
                <w:b/>
                <w:bCs/>
                <w:color w:val="auto"/>
                <w:kern w:val="21"/>
                <w:sz w:val="21"/>
                <w:szCs w:val="21"/>
                <w:lang w:val="en-US" w:eastAsia="zh-CN" w:bidi="ar-SA"/>
              </w:rPr>
              <w:t xml:space="preserve"> </w:t>
            </w:r>
            <w:r>
              <w:rPr>
                <w:rFonts w:hint="default" w:ascii="Times New Roman" w:hAnsi="Times New Roman" w:eastAsia="宋体" w:cs="Times New Roman"/>
                <w:b/>
                <w:color w:val="auto"/>
                <w:kern w:val="21"/>
                <w:sz w:val="24"/>
                <w:szCs w:val="24"/>
              </w:rPr>
              <w:t>工业企业噪声源强调查清单（室内声源）</w:t>
            </w:r>
          </w:p>
          <w:tbl>
            <w:tblPr>
              <w:tblStyle w:val="23"/>
              <w:tblW w:w="13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889"/>
              <w:gridCol w:w="2031"/>
              <w:gridCol w:w="894"/>
              <w:gridCol w:w="1194"/>
              <w:gridCol w:w="1180"/>
              <w:gridCol w:w="996"/>
              <w:gridCol w:w="920"/>
              <w:gridCol w:w="1040"/>
              <w:gridCol w:w="1330"/>
              <w:gridCol w:w="1142"/>
              <w:gridCol w:w="901"/>
            </w:tblGrid>
            <w:tr w14:paraId="49528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vMerge w:val="restart"/>
                  <w:noWrap w:val="0"/>
                  <w:vAlign w:val="center"/>
                </w:tcPr>
                <w:p w14:paraId="772833A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序号</w:t>
                  </w:r>
                </w:p>
              </w:tc>
              <w:tc>
                <w:tcPr>
                  <w:tcW w:w="889" w:type="dxa"/>
                  <w:vMerge w:val="restart"/>
                  <w:noWrap w:val="0"/>
                  <w:vAlign w:val="center"/>
                </w:tcPr>
                <w:p w14:paraId="418F1BF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建筑物名称</w:t>
                  </w:r>
                </w:p>
              </w:tc>
              <w:tc>
                <w:tcPr>
                  <w:tcW w:w="2031" w:type="dxa"/>
                  <w:vMerge w:val="restart"/>
                  <w:noWrap w:val="0"/>
                  <w:vAlign w:val="center"/>
                </w:tcPr>
                <w:p w14:paraId="6E6906B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设备名称</w:t>
                  </w:r>
                </w:p>
              </w:tc>
              <w:tc>
                <w:tcPr>
                  <w:tcW w:w="894" w:type="dxa"/>
                  <w:vMerge w:val="restart"/>
                  <w:noWrap w:val="0"/>
                  <w:vAlign w:val="center"/>
                </w:tcPr>
                <w:p w14:paraId="6C73123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设备数量</w:t>
                  </w:r>
                </w:p>
              </w:tc>
              <w:tc>
                <w:tcPr>
                  <w:tcW w:w="3370" w:type="dxa"/>
                  <w:gridSpan w:val="3"/>
                  <w:noWrap w:val="0"/>
                  <w:vAlign w:val="center"/>
                </w:tcPr>
                <w:p w14:paraId="6464358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lang w:val="en-US" w:eastAsia="zh-CN"/>
                    </w:rPr>
                  </w:pPr>
                  <w:r>
                    <w:rPr>
                      <w:rFonts w:hint="default" w:ascii="Times New Roman" w:hAnsi="Times New Roman" w:eastAsia="宋体" w:cs="Times New Roman"/>
                      <w:b/>
                      <w:color w:val="auto"/>
                      <w:kern w:val="21"/>
                      <w:sz w:val="21"/>
                      <w:szCs w:val="21"/>
                      <w:lang w:val="en-US" w:eastAsia="zh-CN"/>
                    </w:rPr>
                    <w:t>空间相对位置/m</w:t>
                  </w:r>
                </w:p>
              </w:tc>
              <w:tc>
                <w:tcPr>
                  <w:tcW w:w="1960" w:type="dxa"/>
                  <w:gridSpan w:val="2"/>
                  <w:noWrap w:val="0"/>
                  <w:vAlign w:val="center"/>
                </w:tcPr>
                <w:p w14:paraId="4C4A791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声源源强</w:t>
                  </w:r>
                </w:p>
              </w:tc>
              <w:tc>
                <w:tcPr>
                  <w:tcW w:w="1330" w:type="dxa"/>
                  <w:vMerge w:val="restart"/>
                  <w:noWrap w:val="0"/>
                  <w:vAlign w:val="center"/>
                </w:tcPr>
                <w:p w14:paraId="25FCF33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声源控制措施</w:t>
                  </w:r>
                </w:p>
              </w:tc>
              <w:tc>
                <w:tcPr>
                  <w:tcW w:w="1142" w:type="dxa"/>
                  <w:vMerge w:val="restart"/>
                  <w:noWrap w:val="0"/>
                  <w:vAlign w:val="center"/>
                </w:tcPr>
                <w:p w14:paraId="7F70093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建筑物插入损失/dB（A)</w:t>
                  </w:r>
                </w:p>
              </w:tc>
              <w:tc>
                <w:tcPr>
                  <w:tcW w:w="901" w:type="dxa"/>
                  <w:vMerge w:val="restart"/>
                  <w:noWrap w:val="0"/>
                  <w:vAlign w:val="center"/>
                </w:tcPr>
                <w:p w14:paraId="7E82BAB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运行时段</w:t>
                  </w:r>
                </w:p>
              </w:tc>
            </w:tr>
            <w:tr w14:paraId="794C1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59" w:type="dxa"/>
                  <w:vMerge w:val="continue"/>
                  <w:noWrap w:val="0"/>
                  <w:vAlign w:val="center"/>
                </w:tcPr>
                <w:p w14:paraId="6317685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889" w:type="dxa"/>
                  <w:vMerge w:val="continue"/>
                  <w:noWrap w:val="0"/>
                  <w:vAlign w:val="center"/>
                </w:tcPr>
                <w:p w14:paraId="1D33183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2031" w:type="dxa"/>
                  <w:vMerge w:val="continue"/>
                  <w:noWrap w:val="0"/>
                  <w:vAlign w:val="center"/>
                </w:tcPr>
                <w:p w14:paraId="3B53B86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894" w:type="dxa"/>
                  <w:vMerge w:val="continue"/>
                  <w:noWrap w:val="0"/>
                  <w:vAlign w:val="center"/>
                </w:tcPr>
                <w:p w14:paraId="56D05D3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94" w:type="dxa"/>
                  <w:noWrap w:val="0"/>
                  <w:vAlign w:val="center"/>
                </w:tcPr>
                <w:p w14:paraId="40A16C0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1"/>
                      <w:sz w:val="21"/>
                      <w:szCs w:val="21"/>
                      <w:lang w:val="en-US" w:eastAsia="zh-CN"/>
                    </w:rPr>
                  </w:pPr>
                  <w:r>
                    <w:rPr>
                      <w:rFonts w:hint="default" w:ascii="Times New Roman" w:hAnsi="Times New Roman" w:eastAsia="宋体" w:cs="Times New Roman"/>
                      <w:b/>
                      <w:bCs w:val="0"/>
                      <w:color w:val="auto"/>
                      <w:kern w:val="21"/>
                      <w:sz w:val="21"/>
                      <w:szCs w:val="21"/>
                      <w:lang w:val="en-US" w:eastAsia="zh-CN"/>
                    </w:rPr>
                    <w:t>X</w:t>
                  </w:r>
                </w:p>
              </w:tc>
              <w:tc>
                <w:tcPr>
                  <w:tcW w:w="1180" w:type="dxa"/>
                  <w:noWrap w:val="0"/>
                  <w:vAlign w:val="center"/>
                </w:tcPr>
                <w:p w14:paraId="7637CDC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1"/>
                      <w:sz w:val="21"/>
                      <w:szCs w:val="21"/>
                      <w:lang w:val="en-US" w:eastAsia="zh-CN"/>
                    </w:rPr>
                  </w:pPr>
                  <w:r>
                    <w:rPr>
                      <w:rFonts w:hint="default" w:ascii="Times New Roman" w:hAnsi="Times New Roman" w:eastAsia="宋体" w:cs="Times New Roman"/>
                      <w:b/>
                      <w:bCs w:val="0"/>
                      <w:color w:val="auto"/>
                      <w:kern w:val="21"/>
                      <w:sz w:val="21"/>
                      <w:szCs w:val="21"/>
                      <w:lang w:val="en-US" w:eastAsia="zh-CN"/>
                    </w:rPr>
                    <w:t>Y</w:t>
                  </w:r>
                </w:p>
              </w:tc>
              <w:tc>
                <w:tcPr>
                  <w:tcW w:w="996" w:type="dxa"/>
                  <w:noWrap w:val="0"/>
                  <w:vAlign w:val="center"/>
                </w:tcPr>
                <w:p w14:paraId="20915D2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1"/>
                      <w:sz w:val="21"/>
                      <w:szCs w:val="21"/>
                      <w:lang w:val="en-US" w:eastAsia="zh-CN"/>
                    </w:rPr>
                  </w:pPr>
                  <w:r>
                    <w:rPr>
                      <w:rFonts w:hint="default" w:ascii="Times New Roman" w:hAnsi="Times New Roman" w:eastAsia="宋体" w:cs="Times New Roman"/>
                      <w:b/>
                      <w:bCs w:val="0"/>
                      <w:color w:val="auto"/>
                      <w:kern w:val="21"/>
                      <w:sz w:val="21"/>
                      <w:szCs w:val="21"/>
                      <w:lang w:val="en-US" w:eastAsia="zh-CN"/>
                    </w:rPr>
                    <w:t>Z</w:t>
                  </w:r>
                </w:p>
              </w:tc>
              <w:tc>
                <w:tcPr>
                  <w:tcW w:w="920" w:type="dxa"/>
                  <w:noWrap w:val="0"/>
                  <w:vAlign w:val="center"/>
                </w:tcPr>
                <w:p w14:paraId="089AE18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声压级/dB(A)</w:t>
                  </w:r>
                </w:p>
              </w:tc>
              <w:tc>
                <w:tcPr>
                  <w:tcW w:w="1040" w:type="dxa"/>
                  <w:noWrap w:val="0"/>
                  <w:vAlign w:val="center"/>
                </w:tcPr>
                <w:p w14:paraId="6C348E3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声功率级/dB（A)</w:t>
                  </w:r>
                </w:p>
              </w:tc>
              <w:tc>
                <w:tcPr>
                  <w:tcW w:w="1330" w:type="dxa"/>
                  <w:vMerge w:val="continue"/>
                  <w:noWrap w:val="0"/>
                  <w:vAlign w:val="center"/>
                </w:tcPr>
                <w:p w14:paraId="795A556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187B72F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vMerge w:val="continue"/>
                  <w:noWrap w:val="0"/>
                  <w:vAlign w:val="center"/>
                </w:tcPr>
                <w:p w14:paraId="4062C84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r>
            <w:tr w14:paraId="128E1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3016C4D8">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lang w:val="en-US" w:eastAsia="zh-CN" w:bidi="ar-SA"/>
                    </w:rPr>
                  </w:pPr>
                  <w:r>
                    <w:rPr>
                      <w:rFonts w:hint="default" w:ascii="Times New Roman" w:hAnsi="Times New Roman" w:eastAsia="宋体" w:cs="Times New Roman"/>
                      <w:bCs/>
                      <w:color w:val="auto"/>
                      <w:kern w:val="21"/>
                      <w:sz w:val="21"/>
                      <w:szCs w:val="21"/>
                      <w:lang w:val="en-US" w:eastAsia="zh-CN"/>
                    </w:rPr>
                    <w:t>1</w:t>
                  </w:r>
                </w:p>
              </w:tc>
              <w:tc>
                <w:tcPr>
                  <w:tcW w:w="889" w:type="dxa"/>
                  <w:vMerge w:val="restart"/>
                  <w:noWrap w:val="0"/>
                  <w:vAlign w:val="center"/>
                </w:tcPr>
                <w:p w14:paraId="13BE2461">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生产车间</w:t>
                  </w:r>
                </w:p>
              </w:tc>
              <w:tc>
                <w:tcPr>
                  <w:tcW w:w="2031" w:type="dxa"/>
                  <w:noWrap w:val="0"/>
                  <w:vAlign w:val="center"/>
                </w:tcPr>
                <w:p w14:paraId="16B12E42">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lang w:val="en-US" w:eastAsia="zh-CN"/>
                    </w:rPr>
                    <w:t>密炼机</w:t>
                  </w:r>
                </w:p>
              </w:tc>
              <w:tc>
                <w:tcPr>
                  <w:tcW w:w="894" w:type="dxa"/>
                  <w:noWrap w:val="0"/>
                  <w:vAlign w:val="center"/>
                </w:tcPr>
                <w:p w14:paraId="0F976004">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lang w:val="en-US" w:eastAsia="zh-CN"/>
                    </w:rPr>
                    <w:t>4</w:t>
                  </w:r>
                </w:p>
              </w:tc>
              <w:tc>
                <w:tcPr>
                  <w:tcW w:w="1194" w:type="dxa"/>
                  <w:noWrap w:val="0"/>
                  <w:vAlign w:val="center"/>
                </w:tcPr>
                <w:p w14:paraId="385C35B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kern w:val="2"/>
                      <w:sz w:val="21"/>
                      <w:szCs w:val="21"/>
                      <w:lang w:val="en-US" w:eastAsia="zh-CN" w:bidi="ar-SA"/>
                    </w:rPr>
                    <w:t>-19.53</w:t>
                  </w:r>
                </w:p>
              </w:tc>
              <w:tc>
                <w:tcPr>
                  <w:tcW w:w="1180" w:type="dxa"/>
                  <w:noWrap w:val="0"/>
                  <w:vAlign w:val="center"/>
                </w:tcPr>
                <w:p w14:paraId="48B4EDDF">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kern w:val="2"/>
                      <w:sz w:val="21"/>
                      <w:szCs w:val="21"/>
                      <w:lang w:val="en-US" w:eastAsia="zh-CN" w:bidi="ar-SA"/>
                    </w:rPr>
                    <w:t>-16.56</w:t>
                  </w:r>
                </w:p>
              </w:tc>
              <w:tc>
                <w:tcPr>
                  <w:tcW w:w="996" w:type="dxa"/>
                  <w:noWrap w:val="0"/>
                  <w:vAlign w:val="center"/>
                </w:tcPr>
                <w:p w14:paraId="457A6778">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2B4243CA">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75</w:t>
                  </w:r>
                </w:p>
              </w:tc>
              <w:tc>
                <w:tcPr>
                  <w:tcW w:w="1040" w:type="dxa"/>
                  <w:noWrap w:val="0"/>
                  <w:vAlign w:val="center"/>
                </w:tcPr>
                <w:p w14:paraId="7DF8667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kern w:val="2"/>
                      <w:sz w:val="21"/>
                      <w:szCs w:val="21"/>
                      <w:lang w:val="en-US" w:eastAsia="zh-CN" w:bidi="ar-SA"/>
                    </w:rPr>
                    <w:t>81.02</w:t>
                  </w:r>
                </w:p>
              </w:tc>
              <w:tc>
                <w:tcPr>
                  <w:tcW w:w="1330" w:type="dxa"/>
                  <w:vMerge w:val="restart"/>
                  <w:noWrap w:val="0"/>
                  <w:vAlign w:val="center"/>
                </w:tcPr>
                <w:p w14:paraId="052A691A">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eastAsia="宋体" w:cs="Times New Roman"/>
                      <w:bCs/>
                      <w:color w:val="auto"/>
                      <w:kern w:val="21"/>
                      <w:sz w:val="21"/>
                      <w:szCs w:val="21"/>
                    </w:rPr>
                    <w:t>选用低噪声设备、低噪声工艺，采取隔声、减震等措施、优化平面布局</w:t>
                  </w:r>
                </w:p>
              </w:tc>
              <w:tc>
                <w:tcPr>
                  <w:tcW w:w="1142" w:type="dxa"/>
                  <w:vMerge w:val="restart"/>
                  <w:noWrap w:val="0"/>
                  <w:vAlign w:val="center"/>
                </w:tcPr>
                <w:p w14:paraId="213527A6">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lang w:val="en-US"/>
                    </w:rPr>
                  </w:pPr>
                  <w:r>
                    <w:rPr>
                      <w:rFonts w:hint="default" w:ascii="Times New Roman" w:hAnsi="Times New Roman" w:eastAsia="宋体" w:cs="Times New Roman"/>
                      <w:bCs/>
                      <w:color w:val="auto"/>
                      <w:kern w:val="21"/>
                      <w:sz w:val="21"/>
                      <w:szCs w:val="21"/>
                      <w:lang w:val="en-US" w:eastAsia="zh-CN"/>
                    </w:rPr>
                    <w:t>30</w:t>
                  </w:r>
                </w:p>
              </w:tc>
              <w:tc>
                <w:tcPr>
                  <w:tcW w:w="901" w:type="dxa"/>
                  <w:noWrap w:val="0"/>
                  <w:vAlign w:val="center"/>
                </w:tcPr>
                <w:p w14:paraId="7702A8B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7E1EC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2E6FC15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lang w:val="en-US" w:eastAsia="zh-CN" w:bidi="ar-SA"/>
                    </w:rPr>
                  </w:pPr>
                  <w:r>
                    <w:rPr>
                      <w:rFonts w:hint="default" w:ascii="Times New Roman" w:hAnsi="Times New Roman" w:eastAsia="宋体" w:cs="Times New Roman"/>
                      <w:bCs/>
                      <w:color w:val="auto"/>
                      <w:kern w:val="21"/>
                      <w:sz w:val="21"/>
                      <w:szCs w:val="21"/>
                      <w:lang w:val="en-US" w:eastAsia="zh-CN"/>
                    </w:rPr>
                    <w:t>2</w:t>
                  </w:r>
                </w:p>
              </w:tc>
              <w:tc>
                <w:tcPr>
                  <w:tcW w:w="889" w:type="dxa"/>
                  <w:vMerge w:val="continue"/>
                  <w:noWrap w:val="0"/>
                  <w:vAlign w:val="center"/>
                </w:tcPr>
                <w:p w14:paraId="57206256">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44108E60">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切料机</w:t>
                  </w:r>
                </w:p>
              </w:tc>
              <w:tc>
                <w:tcPr>
                  <w:tcW w:w="894" w:type="dxa"/>
                  <w:noWrap w:val="0"/>
                  <w:vAlign w:val="center"/>
                </w:tcPr>
                <w:p w14:paraId="6B4E1BEE">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194" w:type="dxa"/>
                  <w:noWrap w:val="0"/>
                  <w:vAlign w:val="center"/>
                </w:tcPr>
                <w:p w14:paraId="60A1330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-13.42</w:t>
                  </w:r>
                </w:p>
              </w:tc>
              <w:tc>
                <w:tcPr>
                  <w:tcW w:w="1180" w:type="dxa"/>
                  <w:noWrap w:val="0"/>
                  <w:vAlign w:val="center"/>
                </w:tcPr>
                <w:p w14:paraId="5F66E27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-14.75</w:t>
                  </w:r>
                </w:p>
              </w:tc>
              <w:tc>
                <w:tcPr>
                  <w:tcW w:w="996" w:type="dxa"/>
                  <w:noWrap w:val="0"/>
                  <w:vAlign w:val="center"/>
                </w:tcPr>
                <w:p w14:paraId="12558B4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142CBF5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75</w:t>
                  </w:r>
                </w:p>
              </w:tc>
              <w:tc>
                <w:tcPr>
                  <w:tcW w:w="1040" w:type="dxa"/>
                  <w:noWrap w:val="0"/>
                  <w:vAlign w:val="center"/>
                </w:tcPr>
                <w:p w14:paraId="3398CC4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78.01</w:t>
                  </w:r>
                </w:p>
              </w:tc>
              <w:tc>
                <w:tcPr>
                  <w:tcW w:w="1330" w:type="dxa"/>
                  <w:vMerge w:val="continue"/>
                  <w:noWrap w:val="0"/>
                  <w:vAlign w:val="center"/>
                </w:tcPr>
                <w:p w14:paraId="2F7FB404">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4ED4FF5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lang w:val="en-US"/>
                    </w:rPr>
                  </w:pPr>
                </w:p>
              </w:tc>
              <w:tc>
                <w:tcPr>
                  <w:tcW w:w="901" w:type="dxa"/>
                  <w:noWrap w:val="0"/>
                  <w:vAlign w:val="center"/>
                </w:tcPr>
                <w:p w14:paraId="5790C04C">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0B41F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59" w:type="dxa"/>
                  <w:noWrap w:val="0"/>
                  <w:vAlign w:val="center"/>
                </w:tcPr>
                <w:p w14:paraId="14674FC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3</w:t>
                  </w:r>
                </w:p>
              </w:tc>
              <w:tc>
                <w:tcPr>
                  <w:tcW w:w="889" w:type="dxa"/>
                  <w:vMerge w:val="continue"/>
                  <w:noWrap w:val="0"/>
                  <w:vAlign w:val="center"/>
                </w:tcPr>
                <w:p w14:paraId="09B99E51">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4BFB5963">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lang w:val="en-US" w:eastAsia="zh-CN"/>
                    </w:rPr>
                    <w:t>平板硫化机</w:t>
                  </w:r>
                </w:p>
              </w:tc>
              <w:tc>
                <w:tcPr>
                  <w:tcW w:w="894" w:type="dxa"/>
                  <w:noWrap w:val="0"/>
                  <w:vAlign w:val="center"/>
                </w:tcPr>
                <w:p w14:paraId="45381857">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lang w:val="en-US" w:eastAsia="zh-CN"/>
                    </w:rPr>
                    <w:t>10</w:t>
                  </w:r>
                </w:p>
              </w:tc>
              <w:tc>
                <w:tcPr>
                  <w:tcW w:w="1194" w:type="dxa"/>
                  <w:noWrap w:val="0"/>
                  <w:vAlign w:val="center"/>
                </w:tcPr>
                <w:p w14:paraId="1E5ADCD3">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kern w:val="2"/>
                      <w:sz w:val="21"/>
                      <w:szCs w:val="21"/>
                      <w:lang w:val="en-US" w:eastAsia="zh-CN" w:bidi="ar-SA"/>
                    </w:rPr>
                    <w:t>-15.32</w:t>
                  </w:r>
                </w:p>
              </w:tc>
              <w:tc>
                <w:tcPr>
                  <w:tcW w:w="1180" w:type="dxa"/>
                  <w:noWrap w:val="0"/>
                  <w:vAlign w:val="center"/>
                </w:tcPr>
                <w:p w14:paraId="5AE69052">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kern w:val="2"/>
                      <w:sz w:val="21"/>
                      <w:szCs w:val="21"/>
                      <w:lang w:val="en-US" w:eastAsia="zh-CN" w:bidi="ar-SA"/>
                    </w:rPr>
                    <w:t>-17.66</w:t>
                  </w:r>
                </w:p>
              </w:tc>
              <w:tc>
                <w:tcPr>
                  <w:tcW w:w="996" w:type="dxa"/>
                  <w:noWrap w:val="0"/>
                  <w:vAlign w:val="center"/>
                </w:tcPr>
                <w:p w14:paraId="7A6A052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3E04ECCE">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75</w:t>
                  </w:r>
                </w:p>
              </w:tc>
              <w:tc>
                <w:tcPr>
                  <w:tcW w:w="1040" w:type="dxa"/>
                  <w:noWrap w:val="0"/>
                  <w:vAlign w:val="center"/>
                </w:tcPr>
                <w:p w14:paraId="3D62A97F">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kern w:val="2"/>
                      <w:sz w:val="21"/>
                      <w:szCs w:val="21"/>
                      <w:lang w:val="en-US" w:eastAsia="zh-CN" w:bidi="ar-SA"/>
                    </w:rPr>
                    <w:t>85</w:t>
                  </w:r>
                </w:p>
              </w:tc>
              <w:tc>
                <w:tcPr>
                  <w:tcW w:w="1330" w:type="dxa"/>
                  <w:vMerge w:val="continue"/>
                  <w:noWrap w:val="0"/>
                  <w:vAlign w:val="center"/>
                </w:tcPr>
                <w:p w14:paraId="3C23D47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467379B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61DBD24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58127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025B894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4</w:t>
                  </w:r>
                </w:p>
              </w:tc>
              <w:tc>
                <w:tcPr>
                  <w:tcW w:w="889" w:type="dxa"/>
                  <w:vMerge w:val="continue"/>
                  <w:noWrap w:val="0"/>
                  <w:vAlign w:val="center"/>
                </w:tcPr>
                <w:p w14:paraId="3E92CE56">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2E6B6128">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水帘柜</w:t>
                  </w:r>
                </w:p>
              </w:tc>
              <w:tc>
                <w:tcPr>
                  <w:tcW w:w="894" w:type="dxa"/>
                  <w:noWrap w:val="0"/>
                  <w:vAlign w:val="center"/>
                </w:tcPr>
                <w:p w14:paraId="5E0924A6">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194" w:type="dxa"/>
                  <w:noWrap w:val="0"/>
                  <w:vAlign w:val="center"/>
                </w:tcPr>
                <w:p w14:paraId="58CE334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-20.73</w:t>
                  </w:r>
                </w:p>
              </w:tc>
              <w:tc>
                <w:tcPr>
                  <w:tcW w:w="1180" w:type="dxa"/>
                  <w:noWrap w:val="0"/>
                  <w:vAlign w:val="center"/>
                </w:tcPr>
                <w:p w14:paraId="78DB401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-12.45</w:t>
                  </w:r>
                </w:p>
              </w:tc>
              <w:tc>
                <w:tcPr>
                  <w:tcW w:w="996" w:type="dxa"/>
                  <w:noWrap w:val="0"/>
                  <w:vAlign w:val="center"/>
                </w:tcPr>
                <w:p w14:paraId="761A7EF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2AF8AA8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80</w:t>
                  </w:r>
                </w:p>
              </w:tc>
              <w:tc>
                <w:tcPr>
                  <w:tcW w:w="1040" w:type="dxa"/>
                  <w:noWrap w:val="0"/>
                  <w:vAlign w:val="center"/>
                </w:tcPr>
                <w:p w14:paraId="3545D2C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83.01</w:t>
                  </w:r>
                </w:p>
              </w:tc>
              <w:tc>
                <w:tcPr>
                  <w:tcW w:w="1330" w:type="dxa"/>
                  <w:vMerge w:val="continue"/>
                  <w:noWrap w:val="0"/>
                  <w:vAlign w:val="center"/>
                </w:tcPr>
                <w:p w14:paraId="552654F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2C451D7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122F9AA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4EEA4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167234C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5</w:t>
                  </w:r>
                </w:p>
              </w:tc>
              <w:tc>
                <w:tcPr>
                  <w:tcW w:w="889" w:type="dxa"/>
                  <w:vMerge w:val="continue"/>
                  <w:noWrap w:val="0"/>
                  <w:vAlign w:val="center"/>
                </w:tcPr>
                <w:p w14:paraId="04D53D00">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399E0B91">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烘烤炉</w:t>
                  </w:r>
                </w:p>
              </w:tc>
              <w:tc>
                <w:tcPr>
                  <w:tcW w:w="894" w:type="dxa"/>
                  <w:noWrap w:val="0"/>
                  <w:vAlign w:val="center"/>
                </w:tcPr>
                <w:p w14:paraId="5BCC23EB">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194" w:type="dxa"/>
                  <w:noWrap w:val="0"/>
                  <w:vAlign w:val="center"/>
                </w:tcPr>
                <w:p w14:paraId="28164BC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-28.14</w:t>
                  </w:r>
                </w:p>
              </w:tc>
              <w:tc>
                <w:tcPr>
                  <w:tcW w:w="1180" w:type="dxa"/>
                  <w:noWrap w:val="0"/>
                  <w:vAlign w:val="center"/>
                </w:tcPr>
                <w:p w14:paraId="07DB3A4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-12.95</w:t>
                  </w:r>
                </w:p>
              </w:tc>
              <w:tc>
                <w:tcPr>
                  <w:tcW w:w="996" w:type="dxa"/>
                  <w:noWrap w:val="0"/>
                  <w:vAlign w:val="center"/>
                </w:tcPr>
                <w:p w14:paraId="69FD508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7682BE7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80</w:t>
                  </w:r>
                </w:p>
              </w:tc>
              <w:tc>
                <w:tcPr>
                  <w:tcW w:w="1040" w:type="dxa"/>
                  <w:noWrap w:val="0"/>
                  <w:vAlign w:val="center"/>
                </w:tcPr>
                <w:p w14:paraId="67BCE24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80</w:t>
                  </w:r>
                </w:p>
              </w:tc>
              <w:tc>
                <w:tcPr>
                  <w:tcW w:w="1330" w:type="dxa"/>
                  <w:vMerge w:val="continue"/>
                  <w:noWrap w:val="0"/>
                  <w:vAlign w:val="center"/>
                </w:tcPr>
                <w:p w14:paraId="633CE0B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20E1DDD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3D6DF91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6BBAA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51D501C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6</w:t>
                  </w:r>
                </w:p>
              </w:tc>
              <w:tc>
                <w:tcPr>
                  <w:tcW w:w="889" w:type="dxa"/>
                  <w:vMerge w:val="continue"/>
                  <w:noWrap w:val="0"/>
                  <w:vAlign w:val="center"/>
                </w:tcPr>
                <w:p w14:paraId="71BA55EE">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7BB1DBB6">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移印机</w:t>
                  </w:r>
                </w:p>
              </w:tc>
              <w:tc>
                <w:tcPr>
                  <w:tcW w:w="894" w:type="dxa"/>
                  <w:noWrap w:val="0"/>
                  <w:vAlign w:val="center"/>
                </w:tcPr>
                <w:p w14:paraId="327A4EAB">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1194" w:type="dxa"/>
                  <w:noWrap w:val="0"/>
                  <w:vAlign w:val="center"/>
                </w:tcPr>
                <w:p w14:paraId="7A2CEF9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-15.22</w:t>
                  </w:r>
                </w:p>
              </w:tc>
              <w:tc>
                <w:tcPr>
                  <w:tcW w:w="1180" w:type="dxa"/>
                  <w:noWrap w:val="0"/>
                  <w:vAlign w:val="center"/>
                </w:tcPr>
                <w:p w14:paraId="17EDCC7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-4.14</w:t>
                  </w:r>
                </w:p>
              </w:tc>
              <w:tc>
                <w:tcPr>
                  <w:tcW w:w="996" w:type="dxa"/>
                  <w:noWrap w:val="0"/>
                  <w:vAlign w:val="center"/>
                </w:tcPr>
                <w:p w14:paraId="6BA2BB5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7B5953A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1040" w:type="dxa"/>
                  <w:noWrap w:val="0"/>
                  <w:vAlign w:val="center"/>
                </w:tcPr>
                <w:p w14:paraId="122E1E3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85</w:t>
                  </w:r>
                </w:p>
              </w:tc>
              <w:tc>
                <w:tcPr>
                  <w:tcW w:w="1330" w:type="dxa"/>
                  <w:vMerge w:val="continue"/>
                  <w:noWrap w:val="0"/>
                  <w:vAlign w:val="center"/>
                </w:tcPr>
                <w:p w14:paraId="6C89A0D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15B5F0C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4A0BCFB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3C1A2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0217ECF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7</w:t>
                  </w:r>
                </w:p>
              </w:tc>
              <w:tc>
                <w:tcPr>
                  <w:tcW w:w="889" w:type="dxa"/>
                  <w:vMerge w:val="continue"/>
                  <w:noWrap w:val="0"/>
                  <w:vAlign w:val="center"/>
                </w:tcPr>
                <w:p w14:paraId="7572F2C8">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575B7D46">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 xml:space="preserve">液态机 </w:t>
                  </w:r>
                </w:p>
              </w:tc>
              <w:tc>
                <w:tcPr>
                  <w:tcW w:w="894" w:type="dxa"/>
                  <w:noWrap w:val="0"/>
                  <w:vAlign w:val="center"/>
                </w:tcPr>
                <w:p w14:paraId="70FACA05">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8</w:t>
                  </w:r>
                </w:p>
              </w:tc>
              <w:tc>
                <w:tcPr>
                  <w:tcW w:w="1194" w:type="dxa"/>
                  <w:noWrap w:val="0"/>
                  <w:vAlign w:val="center"/>
                </w:tcPr>
                <w:p w14:paraId="6DD6867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-16.52</w:t>
                  </w:r>
                </w:p>
              </w:tc>
              <w:tc>
                <w:tcPr>
                  <w:tcW w:w="1180" w:type="dxa"/>
                  <w:noWrap w:val="0"/>
                  <w:vAlign w:val="center"/>
                </w:tcPr>
                <w:p w14:paraId="5300548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-11.65</w:t>
                  </w:r>
                </w:p>
              </w:tc>
              <w:tc>
                <w:tcPr>
                  <w:tcW w:w="996" w:type="dxa"/>
                  <w:noWrap w:val="0"/>
                  <w:vAlign w:val="center"/>
                </w:tcPr>
                <w:p w14:paraId="0779C52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29.5</w:t>
                  </w:r>
                </w:p>
              </w:tc>
              <w:tc>
                <w:tcPr>
                  <w:tcW w:w="920" w:type="dxa"/>
                  <w:noWrap w:val="0"/>
                  <w:vAlign w:val="center"/>
                </w:tcPr>
                <w:p w14:paraId="7D7604F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80</w:t>
                  </w:r>
                </w:p>
              </w:tc>
              <w:tc>
                <w:tcPr>
                  <w:tcW w:w="1040" w:type="dxa"/>
                  <w:noWrap w:val="0"/>
                  <w:vAlign w:val="center"/>
                </w:tcPr>
                <w:p w14:paraId="011D4BB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89.03</w:t>
                  </w:r>
                </w:p>
              </w:tc>
              <w:tc>
                <w:tcPr>
                  <w:tcW w:w="1330" w:type="dxa"/>
                  <w:vMerge w:val="continue"/>
                  <w:noWrap w:val="0"/>
                  <w:vAlign w:val="center"/>
                </w:tcPr>
                <w:p w14:paraId="0E361C3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6256AE2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452D074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3B699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4A5ABB5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8</w:t>
                  </w:r>
                </w:p>
              </w:tc>
              <w:tc>
                <w:tcPr>
                  <w:tcW w:w="889" w:type="dxa"/>
                  <w:vMerge w:val="continue"/>
                  <w:noWrap w:val="0"/>
                  <w:vAlign w:val="center"/>
                </w:tcPr>
                <w:p w14:paraId="3C96CD68">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15BBEAFA">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卧室注塑机</w:t>
                  </w:r>
                </w:p>
              </w:tc>
              <w:tc>
                <w:tcPr>
                  <w:tcW w:w="894" w:type="dxa"/>
                  <w:noWrap w:val="0"/>
                  <w:vAlign w:val="center"/>
                </w:tcPr>
                <w:p w14:paraId="0D8C8EB5">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28</w:t>
                  </w:r>
                </w:p>
              </w:tc>
              <w:tc>
                <w:tcPr>
                  <w:tcW w:w="1194" w:type="dxa"/>
                  <w:noWrap w:val="0"/>
                  <w:vAlign w:val="center"/>
                </w:tcPr>
                <w:p w14:paraId="1552A39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-17.62</w:t>
                  </w:r>
                </w:p>
              </w:tc>
              <w:tc>
                <w:tcPr>
                  <w:tcW w:w="1180" w:type="dxa"/>
                  <w:noWrap w:val="0"/>
                  <w:vAlign w:val="center"/>
                </w:tcPr>
                <w:p w14:paraId="1D1708B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1.97</w:t>
                  </w:r>
                </w:p>
              </w:tc>
              <w:tc>
                <w:tcPr>
                  <w:tcW w:w="996" w:type="dxa"/>
                  <w:noWrap w:val="0"/>
                  <w:vAlign w:val="center"/>
                </w:tcPr>
                <w:p w14:paraId="208D4A9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29.5</w:t>
                  </w:r>
                </w:p>
              </w:tc>
              <w:tc>
                <w:tcPr>
                  <w:tcW w:w="920" w:type="dxa"/>
                  <w:noWrap w:val="0"/>
                  <w:vAlign w:val="center"/>
                </w:tcPr>
                <w:p w14:paraId="072A496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80</w:t>
                  </w:r>
                </w:p>
              </w:tc>
              <w:tc>
                <w:tcPr>
                  <w:tcW w:w="1040" w:type="dxa"/>
                  <w:noWrap w:val="0"/>
                  <w:vAlign w:val="center"/>
                </w:tcPr>
                <w:p w14:paraId="7CB737F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94.47</w:t>
                  </w:r>
                </w:p>
              </w:tc>
              <w:tc>
                <w:tcPr>
                  <w:tcW w:w="1330" w:type="dxa"/>
                  <w:vMerge w:val="continue"/>
                  <w:noWrap w:val="0"/>
                  <w:vAlign w:val="center"/>
                </w:tcPr>
                <w:p w14:paraId="72E9695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74CC581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65FB525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44DFB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5DA8141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9</w:t>
                  </w:r>
                </w:p>
              </w:tc>
              <w:tc>
                <w:tcPr>
                  <w:tcW w:w="889" w:type="dxa"/>
                  <w:vMerge w:val="continue"/>
                  <w:noWrap w:val="0"/>
                  <w:vAlign w:val="center"/>
                </w:tcPr>
                <w:p w14:paraId="0C20B93E">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6C8FB68F">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立式注塑机</w:t>
                  </w:r>
                </w:p>
              </w:tc>
              <w:tc>
                <w:tcPr>
                  <w:tcW w:w="894" w:type="dxa"/>
                  <w:noWrap w:val="0"/>
                  <w:vAlign w:val="center"/>
                </w:tcPr>
                <w:p w14:paraId="0A5ACF67">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1194" w:type="dxa"/>
                  <w:noWrap w:val="0"/>
                  <w:vAlign w:val="center"/>
                </w:tcPr>
                <w:p w14:paraId="504ED6F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-16.12</w:t>
                  </w:r>
                </w:p>
              </w:tc>
              <w:tc>
                <w:tcPr>
                  <w:tcW w:w="1180" w:type="dxa"/>
                  <w:noWrap w:val="0"/>
                  <w:vAlign w:val="center"/>
                </w:tcPr>
                <w:p w14:paraId="77F4EAE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-5.04</w:t>
                  </w:r>
                </w:p>
              </w:tc>
              <w:tc>
                <w:tcPr>
                  <w:tcW w:w="996" w:type="dxa"/>
                  <w:noWrap w:val="0"/>
                  <w:vAlign w:val="center"/>
                </w:tcPr>
                <w:p w14:paraId="7DAE0BD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29.5</w:t>
                  </w:r>
                </w:p>
              </w:tc>
              <w:tc>
                <w:tcPr>
                  <w:tcW w:w="920" w:type="dxa"/>
                  <w:noWrap w:val="0"/>
                  <w:vAlign w:val="center"/>
                </w:tcPr>
                <w:p w14:paraId="432BEFC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80</w:t>
                  </w:r>
                </w:p>
              </w:tc>
              <w:tc>
                <w:tcPr>
                  <w:tcW w:w="1040" w:type="dxa"/>
                  <w:noWrap w:val="0"/>
                  <w:vAlign w:val="center"/>
                </w:tcPr>
                <w:p w14:paraId="5AE5A83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90</w:t>
                  </w:r>
                </w:p>
              </w:tc>
              <w:tc>
                <w:tcPr>
                  <w:tcW w:w="1330" w:type="dxa"/>
                  <w:vMerge w:val="continue"/>
                  <w:noWrap w:val="0"/>
                  <w:vAlign w:val="center"/>
                </w:tcPr>
                <w:p w14:paraId="3CFC8A6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6A7F75A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5D0ED93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4931A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6913586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10</w:t>
                  </w:r>
                </w:p>
              </w:tc>
              <w:tc>
                <w:tcPr>
                  <w:tcW w:w="889" w:type="dxa"/>
                  <w:vMerge w:val="continue"/>
                  <w:noWrap w:val="0"/>
                  <w:vAlign w:val="center"/>
                </w:tcPr>
                <w:p w14:paraId="21BF646A">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7EDE233A">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破碎机</w:t>
                  </w:r>
                </w:p>
              </w:tc>
              <w:tc>
                <w:tcPr>
                  <w:tcW w:w="894" w:type="dxa"/>
                  <w:noWrap w:val="0"/>
                  <w:vAlign w:val="center"/>
                </w:tcPr>
                <w:p w14:paraId="155AA687">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6</w:t>
                  </w:r>
                </w:p>
              </w:tc>
              <w:tc>
                <w:tcPr>
                  <w:tcW w:w="1194" w:type="dxa"/>
                  <w:noWrap w:val="0"/>
                  <w:vAlign w:val="center"/>
                </w:tcPr>
                <w:p w14:paraId="14393AC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-32.94</w:t>
                  </w:r>
                </w:p>
              </w:tc>
              <w:tc>
                <w:tcPr>
                  <w:tcW w:w="1180" w:type="dxa"/>
                  <w:noWrap w:val="0"/>
                  <w:vAlign w:val="center"/>
                </w:tcPr>
                <w:p w14:paraId="4D299DD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5.77</w:t>
                  </w:r>
                </w:p>
              </w:tc>
              <w:tc>
                <w:tcPr>
                  <w:tcW w:w="996" w:type="dxa"/>
                  <w:noWrap w:val="0"/>
                  <w:vAlign w:val="center"/>
                </w:tcPr>
                <w:p w14:paraId="7692B1A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29.5</w:t>
                  </w:r>
                </w:p>
              </w:tc>
              <w:tc>
                <w:tcPr>
                  <w:tcW w:w="920" w:type="dxa"/>
                  <w:noWrap w:val="0"/>
                  <w:vAlign w:val="center"/>
                </w:tcPr>
                <w:p w14:paraId="646DB77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85</w:t>
                  </w:r>
                </w:p>
              </w:tc>
              <w:tc>
                <w:tcPr>
                  <w:tcW w:w="1040" w:type="dxa"/>
                  <w:noWrap w:val="0"/>
                  <w:vAlign w:val="center"/>
                </w:tcPr>
                <w:p w14:paraId="58DB1A1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92.78</w:t>
                  </w:r>
                </w:p>
              </w:tc>
              <w:tc>
                <w:tcPr>
                  <w:tcW w:w="1330" w:type="dxa"/>
                  <w:vMerge w:val="continue"/>
                  <w:noWrap w:val="0"/>
                  <w:vAlign w:val="center"/>
                </w:tcPr>
                <w:p w14:paraId="4675D9A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25076C8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0A1E725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2</w:t>
                  </w:r>
                  <w:r>
                    <w:rPr>
                      <w:rFonts w:hint="default" w:ascii="Times New Roman" w:hAnsi="Times New Roman" w:eastAsia="宋体" w:cs="Times New Roman"/>
                      <w:bCs/>
                      <w:color w:val="auto"/>
                      <w:kern w:val="21"/>
                      <w:sz w:val="21"/>
                      <w:szCs w:val="21"/>
                    </w:rPr>
                    <w:t>h/d</w:t>
                  </w:r>
                </w:p>
              </w:tc>
            </w:tr>
            <w:tr w14:paraId="79B5C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385B609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11</w:t>
                  </w:r>
                </w:p>
              </w:tc>
              <w:tc>
                <w:tcPr>
                  <w:tcW w:w="889" w:type="dxa"/>
                  <w:vMerge w:val="continue"/>
                  <w:noWrap w:val="0"/>
                  <w:vAlign w:val="center"/>
                </w:tcPr>
                <w:p w14:paraId="39CED372">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4BA76E1B">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拌料机</w:t>
                  </w:r>
                </w:p>
              </w:tc>
              <w:tc>
                <w:tcPr>
                  <w:tcW w:w="894" w:type="dxa"/>
                  <w:noWrap w:val="0"/>
                  <w:vAlign w:val="center"/>
                </w:tcPr>
                <w:p w14:paraId="5F3D6C98">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4</w:t>
                  </w:r>
                </w:p>
              </w:tc>
              <w:tc>
                <w:tcPr>
                  <w:tcW w:w="1194" w:type="dxa"/>
                  <w:noWrap w:val="0"/>
                  <w:vAlign w:val="center"/>
                </w:tcPr>
                <w:p w14:paraId="40FA0A4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-33.44</w:t>
                  </w:r>
                </w:p>
              </w:tc>
              <w:tc>
                <w:tcPr>
                  <w:tcW w:w="1180" w:type="dxa"/>
                  <w:noWrap w:val="0"/>
                  <w:vAlign w:val="center"/>
                </w:tcPr>
                <w:p w14:paraId="743B248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5.77</w:t>
                  </w:r>
                </w:p>
              </w:tc>
              <w:tc>
                <w:tcPr>
                  <w:tcW w:w="996" w:type="dxa"/>
                  <w:noWrap w:val="0"/>
                  <w:vAlign w:val="center"/>
                </w:tcPr>
                <w:p w14:paraId="3FAFECC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29.5</w:t>
                  </w:r>
                </w:p>
              </w:tc>
              <w:tc>
                <w:tcPr>
                  <w:tcW w:w="920" w:type="dxa"/>
                  <w:noWrap w:val="0"/>
                  <w:vAlign w:val="center"/>
                </w:tcPr>
                <w:p w14:paraId="3C4599F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80</w:t>
                  </w:r>
                </w:p>
              </w:tc>
              <w:tc>
                <w:tcPr>
                  <w:tcW w:w="1040" w:type="dxa"/>
                  <w:noWrap w:val="0"/>
                  <w:vAlign w:val="center"/>
                </w:tcPr>
                <w:p w14:paraId="562A528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86.02</w:t>
                  </w:r>
                </w:p>
              </w:tc>
              <w:tc>
                <w:tcPr>
                  <w:tcW w:w="1330" w:type="dxa"/>
                  <w:vMerge w:val="continue"/>
                  <w:noWrap w:val="0"/>
                  <w:vAlign w:val="center"/>
                </w:tcPr>
                <w:p w14:paraId="5ACDE91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6E4E276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4DA385D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4</w:t>
                  </w:r>
                  <w:r>
                    <w:rPr>
                      <w:rFonts w:hint="default" w:ascii="Times New Roman" w:hAnsi="Times New Roman" w:eastAsia="宋体" w:cs="Times New Roman"/>
                      <w:bCs/>
                      <w:color w:val="auto"/>
                      <w:kern w:val="21"/>
                      <w:sz w:val="21"/>
                      <w:szCs w:val="21"/>
                    </w:rPr>
                    <w:t>h/d</w:t>
                  </w:r>
                </w:p>
              </w:tc>
            </w:tr>
            <w:tr w14:paraId="5828B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39E99C1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12</w:t>
                  </w:r>
                </w:p>
              </w:tc>
              <w:tc>
                <w:tcPr>
                  <w:tcW w:w="889" w:type="dxa"/>
                  <w:vMerge w:val="continue"/>
                  <w:noWrap w:val="0"/>
                  <w:vAlign w:val="center"/>
                </w:tcPr>
                <w:p w14:paraId="3BAC4BD2">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4D5EC378">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CNC</w:t>
                  </w:r>
                </w:p>
              </w:tc>
              <w:tc>
                <w:tcPr>
                  <w:tcW w:w="894" w:type="dxa"/>
                  <w:noWrap w:val="0"/>
                  <w:vAlign w:val="center"/>
                </w:tcPr>
                <w:p w14:paraId="5742519F">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6</w:t>
                  </w:r>
                </w:p>
              </w:tc>
              <w:tc>
                <w:tcPr>
                  <w:tcW w:w="1194" w:type="dxa"/>
                  <w:noWrap w:val="0"/>
                  <w:vAlign w:val="center"/>
                </w:tcPr>
                <w:p w14:paraId="7D1C80E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-23.33</w:t>
                  </w:r>
                </w:p>
              </w:tc>
              <w:tc>
                <w:tcPr>
                  <w:tcW w:w="1180" w:type="dxa"/>
                  <w:noWrap w:val="0"/>
                  <w:vAlign w:val="center"/>
                </w:tcPr>
                <w:p w14:paraId="4644B6D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2.17</w:t>
                  </w:r>
                </w:p>
              </w:tc>
              <w:tc>
                <w:tcPr>
                  <w:tcW w:w="996" w:type="dxa"/>
                  <w:noWrap w:val="0"/>
                  <w:vAlign w:val="center"/>
                </w:tcPr>
                <w:p w14:paraId="66EF77B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3E7A8FF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70</w:t>
                  </w:r>
                </w:p>
              </w:tc>
              <w:tc>
                <w:tcPr>
                  <w:tcW w:w="1040" w:type="dxa"/>
                  <w:noWrap w:val="0"/>
                  <w:vAlign w:val="center"/>
                </w:tcPr>
                <w:p w14:paraId="2AEDA82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77.78</w:t>
                  </w:r>
                </w:p>
              </w:tc>
              <w:tc>
                <w:tcPr>
                  <w:tcW w:w="1330" w:type="dxa"/>
                  <w:vMerge w:val="continue"/>
                  <w:noWrap w:val="0"/>
                  <w:vAlign w:val="center"/>
                </w:tcPr>
                <w:p w14:paraId="6386440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4B9CAE6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2664A11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16h</w:t>
                  </w:r>
                  <w:r>
                    <w:rPr>
                      <w:rFonts w:hint="default" w:ascii="Times New Roman" w:hAnsi="Times New Roman" w:eastAsia="宋体" w:cs="Times New Roman"/>
                      <w:bCs/>
                      <w:color w:val="auto"/>
                      <w:kern w:val="21"/>
                      <w:sz w:val="21"/>
                      <w:szCs w:val="21"/>
                    </w:rPr>
                    <w:t>/d</w:t>
                  </w:r>
                </w:p>
              </w:tc>
            </w:tr>
            <w:tr w14:paraId="4756A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6F89261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13</w:t>
                  </w:r>
                </w:p>
              </w:tc>
              <w:tc>
                <w:tcPr>
                  <w:tcW w:w="889" w:type="dxa"/>
                  <w:vMerge w:val="continue"/>
                  <w:noWrap w:val="0"/>
                  <w:vAlign w:val="center"/>
                </w:tcPr>
                <w:p w14:paraId="46F63A5C">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2DB1E175">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铣床</w:t>
                  </w:r>
                </w:p>
              </w:tc>
              <w:tc>
                <w:tcPr>
                  <w:tcW w:w="894" w:type="dxa"/>
                  <w:noWrap w:val="0"/>
                  <w:vAlign w:val="center"/>
                </w:tcPr>
                <w:p w14:paraId="340B4D44">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194" w:type="dxa"/>
                  <w:noWrap w:val="0"/>
                  <w:vAlign w:val="center"/>
                </w:tcPr>
                <w:p w14:paraId="6CAC082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-21.93</w:t>
                  </w:r>
                </w:p>
              </w:tc>
              <w:tc>
                <w:tcPr>
                  <w:tcW w:w="1180" w:type="dxa"/>
                  <w:noWrap w:val="0"/>
                  <w:vAlign w:val="center"/>
                </w:tcPr>
                <w:p w14:paraId="69835A7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-5.04</w:t>
                  </w:r>
                </w:p>
              </w:tc>
              <w:tc>
                <w:tcPr>
                  <w:tcW w:w="996" w:type="dxa"/>
                  <w:noWrap w:val="0"/>
                  <w:vAlign w:val="center"/>
                </w:tcPr>
                <w:p w14:paraId="4C04B37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4BDB33F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1040" w:type="dxa"/>
                  <w:noWrap w:val="0"/>
                  <w:vAlign w:val="center"/>
                </w:tcPr>
                <w:p w14:paraId="4E690DC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78.01</w:t>
                  </w:r>
                </w:p>
              </w:tc>
              <w:tc>
                <w:tcPr>
                  <w:tcW w:w="1330" w:type="dxa"/>
                  <w:vMerge w:val="continue"/>
                  <w:noWrap w:val="0"/>
                  <w:vAlign w:val="center"/>
                </w:tcPr>
                <w:p w14:paraId="2F45EA1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7609BB2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2ED1B15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518C5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36B9E99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14</w:t>
                  </w:r>
                </w:p>
              </w:tc>
              <w:tc>
                <w:tcPr>
                  <w:tcW w:w="889" w:type="dxa"/>
                  <w:vMerge w:val="continue"/>
                  <w:noWrap w:val="0"/>
                  <w:vAlign w:val="center"/>
                </w:tcPr>
                <w:p w14:paraId="4F102C0B">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4252CA77">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火花机</w:t>
                  </w:r>
                </w:p>
              </w:tc>
              <w:tc>
                <w:tcPr>
                  <w:tcW w:w="894" w:type="dxa"/>
                  <w:noWrap w:val="0"/>
                  <w:vAlign w:val="center"/>
                </w:tcPr>
                <w:p w14:paraId="314E841C">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194" w:type="dxa"/>
                  <w:noWrap w:val="0"/>
                  <w:vAlign w:val="center"/>
                </w:tcPr>
                <w:p w14:paraId="5CD06F4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-30.54</w:t>
                  </w:r>
                </w:p>
              </w:tc>
              <w:tc>
                <w:tcPr>
                  <w:tcW w:w="1180" w:type="dxa"/>
                  <w:noWrap w:val="0"/>
                  <w:vAlign w:val="center"/>
                </w:tcPr>
                <w:p w14:paraId="0CDD72D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0.97</w:t>
                  </w:r>
                </w:p>
              </w:tc>
              <w:tc>
                <w:tcPr>
                  <w:tcW w:w="996" w:type="dxa"/>
                  <w:noWrap w:val="0"/>
                  <w:vAlign w:val="center"/>
                </w:tcPr>
                <w:p w14:paraId="742C4EB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5DAE55C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75</w:t>
                  </w:r>
                </w:p>
              </w:tc>
              <w:tc>
                <w:tcPr>
                  <w:tcW w:w="1040" w:type="dxa"/>
                  <w:noWrap w:val="0"/>
                  <w:vAlign w:val="center"/>
                </w:tcPr>
                <w:p w14:paraId="08D53AC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78.01</w:t>
                  </w:r>
                </w:p>
              </w:tc>
              <w:tc>
                <w:tcPr>
                  <w:tcW w:w="1330" w:type="dxa"/>
                  <w:vMerge w:val="continue"/>
                  <w:noWrap w:val="0"/>
                  <w:vAlign w:val="center"/>
                </w:tcPr>
                <w:p w14:paraId="411864E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4EEC2E0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0ADA696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6632C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476A724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15</w:t>
                  </w:r>
                </w:p>
              </w:tc>
              <w:tc>
                <w:tcPr>
                  <w:tcW w:w="889" w:type="dxa"/>
                  <w:vMerge w:val="continue"/>
                  <w:noWrap w:val="0"/>
                  <w:vAlign w:val="center"/>
                </w:tcPr>
                <w:p w14:paraId="20B6A510">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6B53905A">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车床</w:t>
                  </w:r>
                </w:p>
              </w:tc>
              <w:tc>
                <w:tcPr>
                  <w:tcW w:w="894" w:type="dxa"/>
                  <w:noWrap w:val="0"/>
                  <w:vAlign w:val="center"/>
                </w:tcPr>
                <w:p w14:paraId="75642ECC">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194" w:type="dxa"/>
                  <w:noWrap w:val="0"/>
                  <w:vAlign w:val="center"/>
                </w:tcPr>
                <w:p w14:paraId="0C9C518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-29.54</w:t>
                  </w:r>
                </w:p>
              </w:tc>
              <w:tc>
                <w:tcPr>
                  <w:tcW w:w="1180" w:type="dxa"/>
                  <w:noWrap w:val="0"/>
                  <w:vAlign w:val="center"/>
                </w:tcPr>
                <w:p w14:paraId="291BCB3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-5.74</w:t>
                  </w:r>
                </w:p>
              </w:tc>
              <w:tc>
                <w:tcPr>
                  <w:tcW w:w="996" w:type="dxa"/>
                  <w:noWrap w:val="0"/>
                  <w:vAlign w:val="center"/>
                </w:tcPr>
                <w:p w14:paraId="3A22934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06CB170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1040" w:type="dxa"/>
                  <w:noWrap w:val="0"/>
                  <w:vAlign w:val="center"/>
                </w:tcPr>
                <w:p w14:paraId="44380CC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78.01</w:t>
                  </w:r>
                </w:p>
              </w:tc>
              <w:tc>
                <w:tcPr>
                  <w:tcW w:w="1330" w:type="dxa"/>
                  <w:vMerge w:val="continue"/>
                  <w:noWrap w:val="0"/>
                  <w:vAlign w:val="center"/>
                </w:tcPr>
                <w:p w14:paraId="02B06BC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59EBD33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1F424A4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6</w:t>
                  </w:r>
                  <w:r>
                    <w:rPr>
                      <w:rFonts w:hint="default" w:ascii="Times New Roman" w:hAnsi="Times New Roman" w:eastAsia="宋体" w:cs="Times New Roman"/>
                      <w:bCs/>
                      <w:color w:val="auto"/>
                      <w:kern w:val="21"/>
                      <w:sz w:val="21"/>
                      <w:szCs w:val="21"/>
                    </w:rPr>
                    <w:t>h/d</w:t>
                  </w:r>
                </w:p>
              </w:tc>
            </w:tr>
            <w:tr w14:paraId="551AB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360077C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16</w:t>
                  </w:r>
                </w:p>
              </w:tc>
              <w:tc>
                <w:tcPr>
                  <w:tcW w:w="889" w:type="dxa"/>
                  <w:vMerge w:val="continue"/>
                  <w:noWrap w:val="0"/>
                  <w:vAlign w:val="center"/>
                </w:tcPr>
                <w:p w14:paraId="47AA3AA3">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4BE1C041">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冲床</w:t>
                  </w:r>
                </w:p>
              </w:tc>
              <w:tc>
                <w:tcPr>
                  <w:tcW w:w="894" w:type="dxa"/>
                  <w:noWrap w:val="0"/>
                  <w:vAlign w:val="center"/>
                </w:tcPr>
                <w:p w14:paraId="268443FB">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194" w:type="dxa"/>
                  <w:noWrap w:val="0"/>
                  <w:vAlign w:val="center"/>
                </w:tcPr>
                <w:p w14:paraId="4FCF22B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-33.54</w:t>
                  </w:r>
                </w:p>
              </w:tc>
              <w:tc>
                <w:tcPr>
                  <w:tcW w:w="1180" w:type="dxa"/>
                  <w:noWrap w:val="0"/>
                  <w:vAlign w:val="center"/>
                </w:tcPr>
                <w:p w14:paraId="2E3D934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7.17</w:t>
                  </w:r>
                </w:p>
              </w:tc>
              <w:tc>
                <w:tcPr>
                  <w:tcW w:w="996" w:type="dxa"/>
                  <w:noWrap w:val="0"/>
                  <w:vAlign w:val="center"/>
                </w:tcPr>
                <w:p w14:paraId="6EACC14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2A9B984B">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1040" w:type="dxa"/>
                  <w:noWrap w:val="0"/>
                  <w:vAlign w:val="center"/>
                </w:tcPr>
                <w:p w14:paraId="1E866D48">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78.01</w:t>
                  </w:r>
                </w:p>
              </w:tc>
              <w:tc>
                <w:tcPr>
                  <w:tcW w:w="1330" w:type="dxa"/>
                  <w:vMerge w:val="continue"/>
                  <w:noWrap w:val="0"/>
                  <w:vAlign w:val="center"/>
                </w:tcPr>
                <w:p w14:paraId="0F77217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152B5C8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2FE4C9A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6</w:t>
                  </w:r>
                  <w:r>
                    <w:rPr>
                      <w:rFonts w:hint="default" w:ascii="Times New Roman" w:hAnsi="Times New Roman" w:eastAsia="宋体" w:cs="Times New Roman"/>
                      <w:bCs/>
                      <w:color w:val="auto"/>
                      <w:kern w:val="21"/>
                      <w:sz w:val="21"/>
                      <w:szCs w:val="21"/>
                    </w:rPr>
                    <w:t>h/d</w:t>
                  </w:r>
                </w:p>
              </w:tc>
            </w:tr>
            <w:tr w14:paraId="63AB1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28E96C6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17</w:t>
                  </w:r>
                </w:p>
              </w:tc>
              <w:tc>
                <w:tcPr>
                  <w:tcW w:w="889" w:type="dxa"/>
                  <w:vMerge w:val="continue"/>
                  <w:noWrap w:val="0"/>
                  <w:vAlign w:val="center"/>
                </w:tcPr>
                <w:p w14:paraId="31178817">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55CE83DD">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空压机</w:t>
                  </w:r>
                </w:p>
              </w:tc>
              <w:tc>
                <w:tcPr>
                  <w:tcW w:w="894" w:type="dxa"/>
                  <w:noWrap w:val="0"/>
                  <w:vAlign w:val="center"/>
                </w:tcPr>
                <w:p w14:paraId="4625EB1E">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194" w:type="dxa"/>
                  <w:noWrap w:val="0"/>
                  <w:vAlign w:val="center"/>
                </w:tcPr>
                <w:p w14:paraId="4969B82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-28.14</w:t>
                  </w:r>
                </w:p>
              </w:tc>
              <w:tc>
                <w:tcPr>
                  <w:tcW w:w="1180" w:type="dxa"/>
                  <w:noWrap w:val="0"/>
                  <w:vAlign w:val="center"/>
                </w:tcPr>
                <w:p w14:paraId="0ED50E2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-12.95</w:t>
                  </w:r>
                </w:p>
              </w:tc>
              <w:tc>
                <w:tcPr>
                  <w:tcW w:w="996" w:type="dxa"/>
                  <w:noWrap w:val="0"/>
                  <w:vAlign w:val="center"/>
                </w:tcPr>
                <w:p w14:paraId="711FFE6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w:t>
                  </w:r>
                </w:p>
              </w:tc>
              <w:tc>
                <w:tcPr>
                  <w:tcW w:w="920" w:type="dxa"/>
                  <w:noWrap w:val="0"/>
                  <w:vAlign w:val="center"/>
                </w:tcPr>
                <w:p w14:paraId="5F8C9E18">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kern w:val="21"/>
                      <w:sz w:val="21"/>
                      <w:szCs w:val="21"/>
                    </w:rPr>
                    <w:t>85</w:t>
                  </w:r>
                </w:p>
              </w:tc>
              <w:tc>
                <w:tcPr>
                  <w:tcW w:w="1040" w:type="dxa"/>
                  <w:noWrap w:val="0"/>
                  <w:vAlign w:val="center"/>
                </w:tcPr>
                <w:p w14:paraId="5FE907AF">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kern w:val="21"/>
                      <w:sz w:val="21"/>
                      <w:szCs w:val="21"/>
                      <w:lang w:val="en-US" w:eastAsia="zh-CN"/>
                    </w:rPr>
                    <w:t>88.01</w:t>
                  </w:r>
                </w:p>
              </w:tc>
              <w:tc>
                <w:tcPr>
                  <w:tcW w:w="1330" w:type="dxa"/>
                  <w:vMerge w:val="continue"/>
                  <w:noWrap w:val="0"/>
                  <w:vAlign w:val="center"/>
                </w:tcPr>
                <w:p w14:paraId="45AA138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24E80C5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42ADE25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12E97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3276" w:type="dxa"/>
                  <w:gridSpan w:val="12"/>
                  <w:noWrap w:val="0"/>
                  <w:vAlign w:val="center"/>
                </w:tcPr>
                <w:p w14:paraId="2AF3F61B">
                  <w:pPr>
                    <w:keepNext w:val="0"/>
                    <w:keepLines w:val="0"/>
                    <w:suppressLineNumbers w:val="0"/>
                    <w:wordWrap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注：坐标原点经纬度坐标为E114.011961°，N23.111700°。</w:t>
                  </w:r>
                </w:p>
              </w:tc>
            </w:tr>
          </w:tbl>
          <w:p w14:paraId="2FD95FCC">
            <w:pPr>
              <w:keepNext w:val="0"/>
              <w:keepLines w:val="0"/>
              <w:numPr>
                <w:ilvl w:val="0"/>
                <w:numId w:val="0"/>
              </w:numPr>
              <w:suppressLineNumbers w:val="0"/>
              <w:tabs>
                <w:tab w:val="left" w:pos="0"/>
              </w:tabs>
              <w:wordWrap/>
              <w:adjustRightInd w:val="0"/>
              <w:snapToGrid w:val="0"/>
              <w:spacing w:before="0" w:beforeAutospacing="0" w:after="0" w:afterAutospacing="0" w:line="240" w:lineRule="auto"/>
              <w:ind w:left="0" w:leftChars="0" w:right="0" w:rightChars="0" w:firstLine="420" w:firstLineChars="0"/>
              <w:jc w:val="center"/>
              <w:rPr>
                <w:rFonts w:hint="default" w:ascii="Times New Roman" w:hAnsi="Times New Roman" w:eastAsia="宋体" w:cs="Times New Roman"/>
                <w:bCs/>
                <w:color w:val="auto"/>
                <w:kern w:val="21"/>
                <w:sz w:val="24"/>
                <w:szCs w:val="24"/>
              </w:rPr>
            </w:pPr>
            <w:r>
              <w:rPr>
                <w:rFonts w:hint="default" w:ascii="Times New Roman" w:hAnsi="Times New Roman" w:eastAsia="宋体" w:cs="Times New Roman"/>
                <w:b/>
                <w:bCs/>
                <w:color w:val="auto"/>
                <w:kern w:val="21"/>
                <w:sz w:val="24"/>
                <w:szCs w:val="24"/>
                <w:lang w:val="en-US" w:eastAsia="zh-CN" w:bidi="ar-SA"/>
              </w:rPr>
              <w:t>表4-2</w:t>
            </w:r>
            <w:r>
              <w:rPr>
                <w:rFonts w:hint="default" w:ascii="Times New Roman" w:hAnsi="Times New Roman" w:cs="Times New Roman"/>
                <w:b/>
                <w:bCs/>
                <w:color w:val="auto"/>
                <w:kern w:val="21"/>
                <w:sz w:val="24"/>
                <w:szCs w:val="24"/>
                <w:lang w:val="en-US" w:eastAsia="zh-CN" w:bidi="ar-SA"/>
              </w:rPr>
              <w:t>0</w:t>
            </w:r>
            <w:r>
              <w:rPr>
                <w:rFonts w:hint="default" w:ascii="Times New Roman" w:hAnsi="Times New Roman" w:eastAsia="宋体" w:cs="Times New Roman"/>
                <w:b/>
                <w:bCs/>
                <w:color w:val="auto"/>
                <w:kern w:val="21"/>
                <w:sz w:val="18"/>
                <w:szCs w:val="18"/>
                <w:lang w:val="en-US" w:eastAsia="zh-CN" w:bidi="ar-SA"/>
              </w:rPr>
              <w:t xml:space="preserve"> </w:t>
            </w:r>
            <w:r>
              <w:rPr>
                <w:rFonts w:hint="default" w:ascii="Times New Roman" w:hAnsi="Times New Roman" w:eastAsia="宋体" w:cs="Times New Roman"/>
                <w:b/>
                <w:color w:val="auto"/>
                <w:kern w:val="21"/>
                <w:sz w:val="24"/>
                <w:szCs w:val="24"/>
              </w:rPr>
              <w:t>工业企业噪声源强调查清单（室外声源）</w:t>
            </w:r>
          </w:p>
          <w:tbl>
            <w:tblPr>
              <w:tblStyle w:val="22"/>
              <w:tblW w:w="13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294"/>
              <w:gridCol w:w="920"/>
              <w:gridCol w:w="1340"/>
              <w:gridCol w:w="1340"/>
              <w:gridCol w:w="1344"/>
              <w:gridCol w:w="1588"/>
              <w:gridCol w:w="1690"/>
              <w:gridCol w:w="1723"/>
              <w:gridCol w:w="1322"/>
            </w:tblGrid>
            <w:tr w14:paraId="3BD02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716" w:type="dxa"/>
                  <w:vMerge w:val="restart"/>
                  <w:noWrap w:val="0"/>
                  <w:vAlign w:val="center"/>
                </w:tcPr>
                <w:p w14:paraId="0E50B87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序号</w:t>
                  </w:r>
                </w:p>
              </w:tc>
              <w:tc>
                <w:tcPr>
                  <w:tcW w:w="1294" w:type="dxa"/>
                  <w:vMerge w:val="restart"/>
                  <w:noWrap w:val="0"/>
                  <w:vAlign w:val="center"/>
                </w:tcPr>
                <w:p w14:paraId="40AA996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声源名称</w:t>
                  </w:r>
                </w:p>
              </w:tc>
              <w:tc>
                <w:tcPr>
                  <w:tcW w:w="920" w:type="dxa"/>
                  <w:vMerge w:val="restart"/>
                  <w:noWrap w:val="0"/>
                  <w:vAlign w:val="center"/>
                </w:tcPr>
                <w:p w14:paraId="7CCE8C5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设备数量</w:t>
                  </w:r>
                </w:p>
              </w:tc>
              <w:tc>
                <w:tcPr>
                  <w:tcW w:w="4024" w:type="dxa"/>
                  <w:gridSpan w:val="3"/>
                  <w:noWrap w:val="0"/>
                  <w:vAlign w:val="center"/>
                </w:tcPr>
                <w:p w14:paraId="03925F5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lang w:val="en-US" w:eastAsia="zh-CN"/>
                    </w:rPr>
                  </w:pPr>
                  <w:r>
                    <w:rPr>
                      <w:rFonts w:hint="default" w:ascii="Times New Roman" w:hAnsi="Times New Roman" w:eastAsia="宋体" w:cs="Times New Roman"/>
                      <w:b/>
                      <w:color w:val="auto"/>
                      <w:kern w:val="21"/>
                      <w:sz w:val="21"/>
                      <w:szCs w:val="21"/>
                      <w:lang w:val="en-US" w:eastAsia="zh-CN"/>
                    </w:rPr>
                    <w:t>空间相对位置/m</w:t>
                  </w:r>
                </w:p>
              </w:tc>
              <w:tc>
                <w:tcPr>
                  <w:tcW w:w="3278" w:type="dxa"/>
                  <w:gridSpan w:val="2"/>
                  <w:noWrap w:val="0"/>
                  <w:vAlign w:val="center"/>
                </w:tcPr>
                <w:p w14:paraId="699C6F2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声源源强</w:t>
                  </w:r>
                </w:p>
              </w:tc>
              <w:tc>
                <w:tcPr>
                  <w:tcW w:w="1723" w:type="dxa"/>
                  <w:vMerge w:val="restart"/>
                  <w:noWrap w:val="0"/>
                  <w:vAlign w:val="center"/>
                </w:tcPr>
                <w:p w14:paraId="47AEF74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声源控制措施</w:t>
                  </w:r>
                </w:p>
              </w:tc>
              <w:tc>
                <w:tcPr>
                  <w:tcW w:w="1322" w:type="dxa"/>
                  <w:vMerge w:val="restart"/>
                  <w:noWrap w:val="0"/>
                  <w:vAlign w:val="center"/>
                </w:tcPr>
                <w:p w14:paraId="707834E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运行时段</w:t>
                  </w:r>
                </w:p>
              </w:tc>
            </w:tr>
            <w:tr w14:paraId="48127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716" w:type="dxa"/>
                  <w:vMerge w:val="continue"/>
                  <w:noWrap w:val="0"/>
                  <w:vAlign w:val="center"/>
                </w:tcPr>
                <w:p w14:paraId="1223C5A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294" w:type="dxa"/>
                  <w:vMerge w:val="continue"/>
                  <w:noWrap w:val="0"/>
                  <w:vAlign w:val="center"/>
                </w:tcPr>
                <w:p w14:paraId="265E07B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20" w:type="dxa"/>
                  <w:vMerge w:val="continue"/>
                  <w:noWrap w:val="0"/>
                  <w:vAlign w:val="center"/>
                </w:tcPr>
                <w:p w14:paraId="69DAEC4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p>
              </w:tc>
              <w:tc>
                <w:tcPr>
                  <w:tcW w:w="1340" w:type="dxa"/>
                  <w:noWrap w:val="0"/>
                  <w:vAlign w:val="center"/>
                </w:tcPr>
                <w:p w14:paraId="0EB90FFE">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bCs w:val="0"/>
                      <w:color w:val="auto"/>
                      <w:kern w:val="21"/>
                      <w:sz w:val="21"/>
                      <w:szCs w:val="21"/>
                      <w:lang w:val="en-US" w:eastAsia="zh-CN"/>
                    </w:rPr>
                    <w:t>X</w:t>
                  </w:r>
                </w:p>
              </w:tc>
              <w:tc>
                <w:tcPr>
                  <w:tcW w:w="1340" w:type="dxa"/>
                  <w:noWrap w:val="0"/>
                  <w:vAlign w:val="center"/>
                </w:tcPr>
                <w:p w14:paraId="3250E07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bCs w:val="0"/>
                      <w:color w:val="auto"/>
                      <w:kern w:val="21"/>
                      <w:sz w:val="21"/>
                      <w:szCs w:val="21"/>
                      <w:lang w:val="en-US" w:eastAsia="zh-CN"/>
                    </w:rPr>
                    <w:t>Y</w:t>
                  </w:r>
                </w:p>
              </w:tc>
              <w:tc>
                <w:tcPr>
                  <w:tcW w:w="1344" w:type="dxa"/>
                  <w:noWrap w:val="0"/>
                  <w:vAlign w:val="center"/>
                </w:tcPr>
                <w:p w14:paraId="43FD82BB">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bCs w:val="0"/>
                      <w:color w:val="auto"/>
                      <w:kern w:val="21"/>
                      <w:sz w:val="21"/>
                      <w:szCs w:val="21"/>
                      <w:lang w:val="en-US" w:eastAsia="zh-CN"/>
                    </w:rPr>
                    <w:t>Z</w:t>
                  </w:r>
                </w:p>
              </w:tc>
              <w:tc>
                <w:tcPr>
                  <w:tcW w:w="1588" w:type="dxa"/>
                  <w:noWrap w:val="0"/>
                  <w:vAlign w:val="center"/>
                </w:tcPr>
                <w:p w14:paraId="483BB36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声压级/dB(A)</w:t>
                  </w:r>
                </w:p>
              </w:tc>
              <w:tc>
                <w:tcPr>
                  <w:tcW w:w="1690" w:type="dxa"/>
                  <w:noWrap w:val="0"/>
                  <w:vAlign w:val="center"/>
                </w:tcPr>
                <w:p w14:paraId="0DE6C71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声功率级/dB（A)</w:t>
                  </w:r>
                </w:p>
              </w:tc>
              <w:tc>
                <w:tcPr>
                  <w:tcW w:w="1723" w:type="dxa"/>
                  <w:vMerge w:val="continue"/>
                  <w:noWrap w:val="0"/>
                  <w:vAlign w:val="center"/>
                </w:tcPr>
                <w:p w14:paraId="215681A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322" w:type="dxa"/>
                  <w:vMerge w:val="continue"/>
                  <w:noWrap w:val="0"/>
                  <w:vAlign w:val="center"/>
                </w:tcPr>
                <w:p w14:paraId="5C33FFA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r>
            <w:tr w14:paraId="1F789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6" w:type="dxa"/>
                  <w:noWrap w:val="0"/>
                  <w:vAlign w:val="center"/>
                </w:tcPr>
                <w:p w14:paraId="5591930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eastAsia="zh-CN"/>
                    </w:rPr>
                    <w:t>1</w:t>
                  </w:r>
                </w:p>
              </w:tc>
              <w:tc>
                <w:tcPr>
                  <w:tcW w:w="1294" w:type="dxa"/>
                  <w:noWrap w:val="0"/>
                  <w:vAlign w:val="center"/>
                </w:tcPr>
                <w:p w14:paraId="25C7C3D1">
                  <w:pPr>
                    <w:adjustRightInd w:val="0"/>
                    <w:snapToGrid w:val="0"/>
                    <w:spacing w:line="240" w:lineRule="auto"/>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color w:val="auto"/>
                      <w:sz w:val="21"/>
                      <w:szCs w:val="21"/>
                      <w:lang w:val="en-US" w:eastAsia="zh-CN"/>
                    </w:rPr>
                    <w:t>冷却水塔</w:t>
                  </w:r>
                </w:p>
              </w:tc>
              <w:tc>
                <w:tcPr>
                  <w:tcW w:w="920" w:type="dxa"/>
                  <w:noWrap w:val="0"/>
                  <w:vAlign w:val="center"/>
                </w:tcPr>
                <w:p w14:paraId="22D17536">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3</w:t>
                  </w:r>
                </w:p>
              </w:tc>
              <w:tc>
                <w:tcPr>
                  <w:tcW w:w="1340" w:type="dxa"/>
                  <w:noWrap w:val="0"/>
                  <w:vAlign w:val="center"/>
                </w:tcPr>
                <w:p w14:paraId="5DBD7CE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-11.21</w:t>
                  </w:r>
                </w:p>
              </w:tc>
              <w:tc>
                <w:tcPr>
                  <w:tcW w:w="1340" w:type="dxa"/>
                  <w:noWrap w:val="0"/>
                  <w:vAlign w:val="center"/>
                </w:tcPr>
                <w:p w14:paraId="73BEC10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-11</w:t>
                  </w:r>
                </w:p>
              </w:tc>
              <w:tc>
                <w:tcPr>
                  <w:tcW w:w="1344" w:type="dxa"/>
                  <w:noWrap w:val="0"/>
                  <w:vAlign w:val="center"/>
                </w:tcPr>
                <w:p w14:paraId="4B90A59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52</w:t>
                  </w:r>
                </w:p>
              </w:tc>
              <w:tc>
                <w:tcPr>
                  <w:tcW w:w="1588" w:type="dxa"/>
                  <w:noWrap w:val="0"/>
                  <w:vAlign w:val="center"/>
                </w:tcPr>
                <w:p w14:paraId="73A6E37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Cs/>
                      <w:color w:val="auto"/>
                      <w:kern w:val="21"/>
                      <w:sz w:val="21"/>
                      <w:szCs w:val="21"/>
                    </w:rPr>
                    <w:t>90</w:t>
                  </w:r>
                </w:p>
              </w:tc>
              <w:tc>
                <w:tcPr>
                  <w:tcW w:w="1690" w:type="dxa"/>
                  <w:noWrap w:val="0"/>
                  <w:vAlign w:val="center"/>
                </w:tcPr>
                <w:p w14:paraId="242E966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9</w:t>
                  </w:r>
                  <w:r>
                    <w:rPr>
                      <w:rFonts w:hint="default" w:ascii="Times New Roman" w:hAnsi="Times New Roman" w:cs="Times New Roman"/>
                      <w:bCs/>
                      <w:color w:val="auto"/>
                      <w:kern w:val="21"/>
                      <w:sz w:val="21"/>
                      <w:szCs w:val="21"/>
                      <w:lang w:val="en-US" w:eastAsia="zh-CN"/>
                    </w:rPr>
                    <w:t>4.77</w:t>
                  </w:r>
                </w:p>
              </w:tc>
              <w:tc>
                <w:tcPr>
                  <w:tcW w:w="1723" w:type="dxa"/>
                  <w:vMerge w:val="continue"/>
                  <w:noWrap w:val="0"/>
                  <w:vAlign w:val="center"/>
                </w:tcPr>
                <w:p w14:paraId="1F17197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322" w:type="dxa"/>
                  <w:noWrap w:val="0"/>
                  <w:vAlign w:val="center"/>
                </w:tcPr>
                <w:p w14:paraId="2842841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77B0F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716" w:type="dxa"/>
                  <w:noWrap w:val="0"/>
                  <w:vAlign w:val="center"/>
                </w:tcPr>
                <w:p w14:paraId="7EB9AC0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2</w:t>
                  </w:r>
                </w:p>
              </w:tc>
              <w:tc>
                <w:tcPr>
                  <w:tcW w:w="1294" w:type="dxa"/>
                  <w:noWrap w:val="0"/>
                  <w:vAlign w:val="center"/>
                </w:tcPr>
                <w:p w14:paraId="2F4555B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风机</w:t>
                  </w:r>
                </w:p>
              </w:tc>
              <w:tc>
                <w:tcPr>
                  <w:tcW w:w="920" w:type="dxa"/>
                  <w:noWrap w:val="0"/>
                  <w:vAlign w:val="center"/>
                </w:tcPr>
                <w:p w14:paraId="796B693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2台</w:t>
                  </w:r>
                </w:p>
              </w:tc>
              <w:tc>
                <w:tcPr>
                  <w:tcW w:w="1340" w:type="dxa"/>
                  <w:noWrap w:val="0"/>
                  <w:vAlign w:val="center"/>
                </w:tcPr>
                <w:p w14:paraId="25FF0ED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-23.33</w:t>
                  </w:r>
                </w:p>
              </w:tc>
              <w:tc>
                <w:tcPr>
                  <w:tcW w:w="1340" w:type="dxa"/>
                  <w:noWrap w:val="0"/>
                  <w:vAlign w:val="center"/>
                </w:tcPr>
                <w:p w14:paraId="259C12A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-15.15</w:t>
                  </w:r>
                </w:p>
              </w:tc>
              <w:tc>
                <w:tcPr>
                  <w:tcW w:w="1344" w:type="dxa"/>
                  <w:noWrap w:val="0"/>
                  <w:vAlign w:val="center"/>
                </w:tcPr>
                <w:p w14:paraId="7B88537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52</w:t>
                  </w:r>
                </w:p>
              </w:tc>
              <w:tc>
                <w:tcPr>
                  <w:tcW w:w="1588" w:type="dxa"/>
                  <w:noWrap w:val="0"/>
                  <w:vAlign w:val="center"/>
                </w:tcPr>
                <w:p w14:paraId="070AB98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90</w:t>
                  </w:r>
                </w:p>
              </w:tc>
              <w:tc>
                <w:tcPr>
                  <w:tcW w:w="1690" w:type="dxa"/>
                  <w:noWrap w:val="0"/>
                  <w:vAlign w:val="center"/>
                </w:tcPr>
                <w:p w14:paraId="7B3931E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93.01</w:t>
                  </w:r>
                </w:p>
              </w:tc>
              <w:tc>
                <w:tcPr>
                  <w:tcW w:w="1723" w:type="dxa"/>
                  <w:vMerge w:val="continue"/>
                  <w:noWrap w:val="0"/>
                  <w:vAlign w:val="center"/>
                </w:tcPr>
                <w:p w14:paraId="491B0DF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322" w:type="dxa"/>
                  <w:noWrap w:val="0"/>
                  <w:vAlign w:val="center"/>
                </w:tcPr>
                <w:p w14:paraId="3A6DF3C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bl>
          <w:p w14:paraId="19E75966">
            <w:pPr>
              <w:keepNext w:val="0"/>
              <w:keepLines w:val="0"/>
              <w:suppressLineNumbers w:val="0"/>
              <w:wordWrap w:val="0"/>
              <w:spacing w:before="0" w:beforeAutospacing="0" w:after="0" w:afterAutospacing="0"/>
              <w:ind w:left="0" w:right="0" w:firstLine="0" w:firstLineChars="0"/>
              <w:rPr>
                <w:rFonts w:hint="default" w:ascii="Times New Roman" w:hAnsi="Times New Roman" w:eastAsia="宋体" w:cs="Times New Roman"/>
                <w:color w:val="auto"/>
                <w:sz w:val="24"/>
                <w:szCs w:val="24"/>
              </w:rPr>
            </w:pPr>
          </w:p>
        </w:tc>
      </w:tr>
    </w:tbl>
    <w:p w14:paraId="7015115E">
      <w:pPr>
        <w:adjustRightInd w:val="0"/>
        <w:snapToGrid w:val="0"/>
        <w:rPr>
          <w:rFonts w:hint="default" w:ascii="Times New Roman" w:hAnsi="Times New Roman" w:cs="Times New Roman"/>
          <w:b/>
          <w:color w:val="auto"/>
          <w:kern w:val="0"/>
          <w:sz w:val="28"/>
          <w:szCs w:val="28"/>
        </w:rPr>
        <w:sectPr>
          <w:pgSz w:w="16840" w:h="11907" w:orient="landscape"/>
          <w:pgMar w:top="1531" w:right="1701" w:bottom="1531" w:left="2127" w:header="851" w:footer="1701" w:gutter="0"/>
          <w:cols w:space="720" w:num="1"/>
          <w:docGrid w:linePitch="312" w:charSpace="0"/>
        </w:sect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8588"/>
      </w:tblGrid>
      <w:tr w14:paraId="0E3B8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2" w:type="dxa"/>
          </w:tcPr>
          <w:p w14:paraId="04A2FBE2">
            <w:pPr>
              <w:pStyle w:val="18"/>
              <w:jc w:val="center"/>
              <w:outlineLvl w:val="0"/>
              <w:rPr>
                <w:rFonts w:hint="default" w:ascii="Times New Roman" w:hAnsi="Times New Roman" w:eastAsia="黑体" w:cs="Times New Roman"/>
                <w:snapToGrid w:val="0"/>
                <w:color w:val="auto"/>
                <w:sz w:val="30"/>
                <w:szCs w:val="30"/>
                <w:vertAlign w:val="baseline"/>
              </w:rPr>
            </w:pPr>
          </w:p>
        </w:tc>
        <w:tc>
          <w:tcPr>
            <w:tcW w:w="8588" w:type="dxa"/>
          </w:tcPr>
          <w:p w14:paraId="62347ACE">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（2）噪声环境影响分析</w:t>
            </w:r>
          </w:p>
          <w:p w14:paraId="03DB1568">
            <w:pPr>
              <w:ind w:firstLine="420" w:firstLineChars="200"/>
              <w:rPr>
                <w:rFonts w:hint="default" w:ascii="Times New Roman" w:hAnsi="Times New Roman" w:cs="Times New Roman"/>
                <w:color w:val="auto"/>
                <w:szCs w:val="22"/>
              </w:rPr>
            </w:pPr>
            <w:r>
              <w:rPr>
                <w:rFonts w:hint="default" w:ascii="Times New Roman" w:hAnsi="Times New Roman" w:cs="Times New Roman"/>
                <w:color w:val="auto"/>
                <w:sz w:val="21"/>
                <w:szCs w:val="21"/>
              </w:rPr>
              <w:t>根据《环境影响评价技术导则——声环境》（HJ2.4-2021）的要求，可选择点声源预测模式，来模拟预测</w:t>
            </w:r>
            <w:r>
              <w:rPr>
                <w:rFonts w:hint="default" w:ascii="Times New Roman" w:hAnsi="Times New Roman" w:cs="Times New Roman"/>
                <w:color w:val="auto"/>
                <w:szCs w:val="22"/>
              </w:rPr>
              <w:t>项目主要声源排放噪声随距离的衰减变化规律。</w:t>
            </w:r>
          </w:p>
          <w:p w14:paraId="735E97A2">
            <w:pPr>
              <w:ind w:firstLine="482" w:firstLineChars="200"/>
              <w:rPr>
                <w:rFonts w:hint="default" w:ascii="Times New Roman" w:hAnsi="Times New Roman" w:cs="Times New Roman"/>
                <w:b/>
                <w:bCs/>
                <w:color w:val="auto"/>
                <w:szCs w:val="22"/>
              </w:rPr>
            </w:pPr>
            <w:bookmarkStart w:id="25" w:name="_Toc475973557"/>
            <w:bookmarkStart w:id="26" w:name="_Toc428192097"/>
            <w:bookmarkStart w:id="27" w:name="_Toc467511382"/>
            <w:bookmarkStart w:id="28" w:name="_Toc474762629"/>
            <w:r>
              <w:rPr>
                <w:rFonts w:hint="default" w:ascii="Times New Roman" w:hAnsi="Times New Roman" w:cs="Times New Roman"/>
                <w:b/>
                <w:bCs/>
                <w:color w:val="auto"/>
                <w:szCs w:val="22"/>
              </w:rPr>
              <w:t>①室内点声源的预测</w:t>
            </w:r>
          </w:p>
          <w:p w14:paraId="05A4A46C">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设靠近开口处(或窗户)室内、室外某倍频带的声压级分为L</w:t>
            </w:r>
            <w:r>
              <w:rPr>
                <w:rFonts w:hint="default" w:ascii="Times New Roman" w:hAnsi="Times New Roman" w:cs="Times New Roman"/>
                <w:color w:val="auto"/>
                <w:szCs w:val="22"/>
                <w:vertAlign w:val="subscript"/>
              </w:rPr>
              <w:t>P1</w:t>
            </w:r>
            <w:r>
              <w:rPr>
                <w:rFonts w:hint="default" w:ascii="Times New Roman" w:hAnsi="Times New Roman" w:cs="Times New Roman"/>
                <w:color w:val="auto"/>
                <w:szCs w:val="22"/>
              </w:rPr>
              <w:t>和L</w:t>
            </w:r>
            <w:r>
              <w:rPr>
                <w:rFonts w:hint="default" w:ascii="Times New Roman" w:hAnsi="Times New Roman" w:cs="Times New Roman"/>
                <w:color w:val="auto"/>
                <w:szCs w:val="22"/>
                <w:vertAlign w:val="subscript"/>
              </w:rPr>
              <w:t>P2</w:t>
            </w:r>
            <w:r>
              <w:rPr>
                <w:rFonts w:hint="default" w:ascii="Times New Roman" w:hAnsi="Times New Roman" w:cs="Times New Roman"/>
                <w:color w:val="auto"/>
                <w:szCs w:val="22"/>
              </w:rPr>
              <w:t>。若声源所在室内声场为近似扩散声场，则室外的倍频带声压级可按下列公式近似求出：</w:t>
            </w:r>
          </w:p>
          <w:p w14:paraId="222E72DF">
            <w:pPr>
              <w:jc w:val="center"/>
              <w:rPr>
                <w:rFonts w:hint="default" w:ascii="Times New Roman" w:hAnsi="Times New Roman" w:cs="Times New Roman"/>
                <w:color w:val="auto"/>
                <w:szCs w:val="22"/>
              </w:rPr>
            </w:pPr>
            <w:r>
              <w:rPr>
                <w:rFonts w:hint="default" w:ascii="Times New Roman" w:hAnsi="Times New Roman" w:cs="Times New Roman"/>
                <w:color w:val="auto"/>
                <w:position w:val="-10"/>
                <w:szCs w:val="22"/>
              </w:rPr>
              <w:object>
                <v:shape id="_x0000_i1032" o:spt="75" type="#_x0000_t75" style="height:17.3pt;width:96.25pt;" o:ole="t" filled="f" o:preferrelative="t" stroked="f" coordsize="21600,21600">
                  <v:path/>
                  <v:fill on="f" focussize="0,0"/>
                  <v:stroke on="f" joinstyle="miter"/>
                  <v:imagedata r:id="rId34" o:title=""/>
                  <o:lock v:ext="edit" aspectratio="t"/>
                  <w10:wrap type="none"/>
                  <w10:anchorlock/>
                </v:shape>
                <o:OLEObject Type="Embed" ProgID="Equation.KSEE3" ShapeID="_x0000_i1032" DrawAspect="Content" ObjectID="_1468075732" r:id="rId33">
                  <o:LockedField>false</o:LockedField>
                </o:OLEObject>
              </w:object>
            </w:r>
          </w:p>
          <w:p w14:paraId="39405413">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式中：TL—隔墙（或窗户）倍频带的隔声量，dB（A）；</w:t>
            </w:r>
          </w:p>
          <w:p w14:paraId="09490231">
            <w:pPr>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3476625" cy="1476375"/>
                  <wp:effectExtent l="0" t="0" r="3175" b="9525"/>
                  <wp:docPr id="9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5"/>
                          <pic:cNvPicPr>
                            <a:picLocks noChangeAspect="1"/>
                          </pic:cNvPicPr>
                        </pic:nvPicPr>
                        <pic:blipFill>
                          <a:blip r:embed="rId35"/>
                          <a:stretch>
                            <a:fillRect/>
                          </a:stretch>
                        </pic:blipFill>
                        <pic:spPr>
                          <a:xfrm>
                            <a:off x="0" y="0"/>
                            <a:ext cx="3476625" cy="1476375"/>
                          </a:xfrm>
                          <a:prstGeom prst="rect">
                            <a:avLst/>
                          </a:prstGeom>
                          <a:noFill/>
                          <a:ln>
                            <a:noFill/>
                          </a:ln>
                        </pic:spPr>
                      </pic:pic>
                    </a:graphicData>
                  </a:graphic>
                </wp:inline>
              </w:drawing>
            </w:r>
          </w:p>
          <w:p w14:paraId="6F55EB78">
            <w:pPr>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t>图</w:t>
            </w:r>
            <w:r>
              <w:rPr>
                <w:rFonts w:hint="default" w:ascii="Times New Roman" w:hAnsi="Times New Roman" w:cs="Times New Roman"/>
                <w:b/>
                <w:bCs/>
                <w:color w:val="auto"/>
                <w:lang w:val="en-US" w:eastAsia="zh-CN"/>
              </w:rPr>
              <w:t>7</w:t>
            </w:r>
            <w:r>
              <w:rPr>
                <w:rFonts w:hint="default" w:ascii="Times New Roman" w:hAnsi="Times New Roman" w:cs="Times New Roman"/>
                <w:b/>
                <w:bCs/>
                <w:color w:val="auto"/>
              </w:rPr>
              <w:t xml:space="preserve"> 室内声源等效为室外声源图例</w:t>
            </w:r>
          </w:p>
          <w:p w14:paraId="73552085">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也可以按下列公式计算某一室内声源靠近围护结构处产生的倍频带声压级：</w:t>
            </w:r>
          </w:p>
          <w:p w14:paraId="607FB2D2">
            <w:pPr>
              <w:jc w:val="center"/>
              <w:rPr>
                <w:rFonts w:hint="default" w:ascii="Times New Roman" w:hAnsi="Times New Roman" w:cs="Times New Roman"/>
                <w:color w:val="auto"/>
                <w:szCs w:val="22"/>
              </w:rPr>
            </w:pPr>
            <w:r>
              <w:rPr>
                <w:rFonts w:hint="default" w:ascii="Times New Roman" w:hAnsi="Times New Roman" w:cs="Times New Roman"/>
                <w:color w:val="auto"/>
                <w:position w:val="-34"/>
                <w:szCs w:val="22"/>
              </w:rPr>
              <w:object>
                <v:shape id="_x0000_i1033" o:spt="75" type="#_x0000_t75" style="height:40.15pt;width:135.7pt;" o:ole="t" filled="f" o:preferrelative="t" stroked="f" coordsize="21600,21600">
                  <v:path/>
                  <v:fill on="f" focussize="0,0"/>
                  <v:stroke on="f" joinstyle="miter"/>
                  <v:imagedata r:id="rId37" o:title=""/>
                  <o:lock v:ext="edit" aspectratio="t"/>
                  <w10:wrap type="none"/>
                  <w10:anchorlock/>
                </v:shape>
                <o:OLEObject Type="Embed" ProgID="Equation.KSEE3" ShapeID="_x0000_i1033" DrawAspect="Content" ObjectID="_1468075733" r:id="rId36">
                  <o:LockedField>false</o:LockedField>
                </o:OLEObject>
              </w:object>
            </w:r>
          </w:p>
          <w:p w14:paraId="2FA90C57">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式中：Q—指向性因数；通常对无指向性声源，当声源放在房间中心时，Q=1；当放在一面墙的中心时，Q=2；当放在两面墙夹角处时，Q=4；当放在三面墙夹角处时，Q=8；</w:t>
            </w:r>
          </w:p>
          <w:p w14:paraId="49440880">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R—房间常数；R=Sα/（1-α），S为房间内表面面积，m</w:t>
            </w:r>
            <w:r>
              <w:rPr>
                <w:rFonts w:hint="default" w:ascii="Times New Roman" w:hAnsi="Times New Roman" w:cs="Times New Roman"/>
                <w:color w:val="auto"/>
                <w:szCs w:val="22"/>
                <w:vertAlign w:val="superscript"/>
              </w:rPr>
              <w:t>2</w:t>
            </w:r>
            <w:r>
              <w:rPr>
                <w:rFonts w:hint="default" w:ascii="Times New Roman" w:hAnsi="Times New Roman" w:cs="Times New Roman"/>
                <w:color w:val="auto"/>
                <w:szCs w:val="22"/>
              </w:rPr>
              <w:t>；α为平均吸声系数；</w:t>
            </w:r>
          </w:p>
          <w:p w14:paraId="5B39C565">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r—声源到靠近围护结构某点处的距离，m。</w:t>
            </w:r>
          </w:p>
          <w:p w14:paraId="790F571E">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然后按下列公式计算出所有室内声源在围护结构处产生的i倍频带叠加声压级：</w:t>
            </w:r>
          </w:p>
          <w:p w14:paraId="67015C6F">
            <w:pPr>
              <w:jc w:val="center"/>
              <w:rPr>
                <w:rFonts w:hint="default" w:ascii="Times New Roman" w:hAnsi="Times New Roman" w:cs="Times New Roman"/>
                <w:color w:val="auto"/>
                <w:szCs w:val="22"/>
              </w:rPr>
            </w:pPr>
            <w:r>
              <w:rPr>
                <w:rFonts w:hint="default" w:ascii="Times New Roman" w:hAnsi="Times New Roman" w:cs="Times New Roman"/>
                <w:color w:val="auto"/>
                <w:position w:val="-30"/>
                <w:szCs w:val="22"/>
              </w:rPr>
              <w:object>
                <v:shape id="_x0000_i1034" o:spt="75" type="#_x0000_t75" style="height:36pt;width:132.25pt;" o:ole="t" filled="f" o:preferrelative="t" stroked="f" coordsize="21600,21600">
                  <v:path/>
                  <v:fill on="f" focussize="0,0"/>
                  <v:stroke on="f" joinstyle="miter"/>
                  <v:imagedata r:id="rId39" o:title=""/>
                  <o:lock v:ext="edit" aspectratio="t"/>
                  <w10:wrap type="none"/>
                  <w10:anchorlock/>
                </v:shape>
                <o:OLEObject Type="Embed" ProgID="Equation.KSEE3" ShapeID="_x0000_i1034" DrawAspect="Content" ObjectID="_1468075734" r:id="rId38">
                  <o:LockedField>false</o:LockedField>
                </o:OLEObject>
              </w:object>
            </w:r>
          </w:p>
          <w:p w14:paraId="562EE3BF">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式中：L</w:t>
            </w:r>
            <w:r>
              <w:rPr>
                <w:rFonts w:hint="default" w:ascii="Times New Roman" w:hAnsi="Times New Roman" w:cs="Times New Roman"/>
                <w:color w:val="auto"/>
                <w:szCs w:val="22"/>
                <w:vertAlign w:val="subscript"/>
              </w:rPr>
              <w:t>P1i</w:t>
            </w:r>
            <w:r>
              <w:rPr>
                <w:rFonts w:hint="default" w:ascii="Times New Roman" w:hAnsi="Times New Roman" w:cs="Times New Roman"/>
                <w:color w:val="auto"/>
                <w:szCs w:val="22"/>
              </w:rPr>
              <w:t>(T)—靠近围护结构处室内N个声源i倍频带的叠加声压级，dB；</w:t>
            </w:r>
          </w:p>
          <w:p w14:paraId="36818BF5">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L</w:t>
            </w:r>
            <w:r>
              <w:rPr>
                <w:rFonts w:hint="default" w:ascii="Times New Roman" w:hAnsi="Times New Roman" w:cs="Times New Roman"/>
                <w:color w:val="auto"/>
                <w:szCs w:val="22"/>
                <w:vertAlign w:val="subscript"/>
              </w:rPr>
              <w:t>P1i,j</w:t>
            </w:r>
            <w:r>
              <w:rPr>
                <w:rFonts w:hint="default" w:ascii="Times New Roman" w:hAnsi="Times New Roman" w:cs="Times New Roman"/>
                <w:color w:val="auto"/>
                <w:szCs w:val="22"/>
              </w:rPr>
              <w:t>—室内j声源i倍频带的声压级，dB；</w:t>
            </w:r>
          </w:p>
          <w:p w14:paraId="57F6A74F">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N—室内声源总数；</w:t>
            </w:r>
          </w:p>
          <w:p w14:paraId="123CCE6F">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在室内近似为扩散声场时，按下列公式计算出靠近室外围护结构处的声压级：</w:t>
            </w:r>
          </w:p>
          <w:p w14:paraId="2F2B4BCB">
            <w:pPr>
              <w:jc w:val="center"/>
              <w:rPr>
                <w:rFonts w:hint="default" w:ascii="Times New Roman" w:hAnsi="Times New Roman" w:cs="Times New Roman"/>
                <w:color w:val="auto"/>
                <w:szCs w:val="22"/>
              </w:rPr>
            </w:pPr>
            <w:r>
              <w:rPr>
                <w:rFonts w:hint="default" w:ascii="Times New Roman" w:hAnsi="Times New Roman" w:cs="Times New Roman"/>
                <w:color w:val="auto"/>
                <w:position w:val="-12"/>
                <w:szCs w:val="22"/>
              </w:rPr>
              <w:object>
                <v:shape id="_x0000_i1035" o:spt="75" type="#_x0000_t75" style="height:18pt;width:135pt;" o:ole="t" filled="f" o:preferrelative="t" stroked="f" coordsize="21600,21600">
                  <v:path/>
                  <v:fill on="f" focussize="0,0"/>
                  <v:stroke on="f" joinstyle="miter"/>
                  <v:imagedata r:id="rId41" o:title=""/>
                  <o:lock v:ext="edit" aspectratio="t"/>
                  <w10:wrap type="none"/>
                  <w10:anchorlock/>
                </v:shape>
                <o:OLEObject Type="Embed" ProgID="Equation.KSEE3" ShapeID="_x0000_i1035" DrawAspect="Content" ObjectID="_1468075735" r:id="rId40">
                  <o:LockedField>false</o:LockedField>
                </o:OLEObject>
              </w:object>
            </w:r>
          </w:p>
          <w:p w14:paraId="6D4EF727">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式中：L</w:t>
            </w:r>
            <w:r>
              <w:rPr>
                <w:rFonts w:hint="default" w:ascii="Times New Roman" w:hAnsi="Times New Roman" w:cs="Times New Roman"/>
                <w:color w:val="auto"/>
                <w:szCs w:val="22"/>
                <w:vertAlign w:val="subscript"/>
              </w:rPr>
              <w:t>P2i</w:t>
            </w:r>
            <w:r>
              <w:rPr>
                <w:rFonts w:hint="default" w:ascii="Times New Roman" w:hAnsi="Times New Roman" w:cs="Times New Roman"/>
                <w:color w:val="auto"/>
                <w:szCs w:val="22"/>
              </w:rPr>
              <w:t>(T)—靠近围护结构处室外N个声源i倍频带的叠加声压级，dB；</w:t>
            </w:r>
          </w:p>
          <w:p w14:paraId="6582BC9C">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TL</w:t>
            </w:r>
            <w:r>
              <w:rPr>
                <w:rFonts w:hint="default" w:ascii="Times New Roman" w:hAnsi="Times New Roman" w:cs="Times New Roman"/>
                <w:color w:val="auto"/>
                <w:szCs w:val="22"/>
                <w:vertAlign w:val="subscript"/>
              </w:rPr>
              <w:t>i</w:t>
            </w:r>
            <w:r>
              <w:rPr>
                <w:rFonts w:hint="default" w:ascii="Times New Roman" w:hAnsi="Times New Roman" w:cs="Times New Roman"/>
                <w:color w:val="auto"/>
                <w:szCs w:val="22"/>
              </w:rPr>
              <w:t>—围护结构i倍频带的隔声量，dB；</w:t>
            </w:r>
          </w:p>
          <w:p w14:paraId="6F65786D">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然后按下列公式将室外声源的声压级和透过面积换算成等效的室外声源，计算出中心位置于透声面积（S）处的等效声源的倍频带声功率级。</w:t>
            </w:r>
          </w:p>
          <w:p w14:paraId="099A7B26">
            <w:pPr>
              <w:jc w:val="center"/>
              <w:rPr>
                <w:rFonts w:hint="default" w:ascii="Times New Roman" w:hAnsi="Times New Roman" w:cs="Times New Roman"/>
                <w:color w:val="auto"/>
                <w:szCs w:val="22"/>
              </w:rPr>
            </w:pPr>
            <w:r>
              <w:rPr>
                <w:rFonts w:hint="default" w:ascii="Times New Roman" w:hAnsi="Times New Roman" w:cs="Times New Roman"/>
                <w:color w:val="auto"/>
                <w:position w:val="-12"/>
                <w:szCs w:val="22"/>
              </w:rPr>
              <w:object>
                <v:shape id="_x0000_i1036" o:spt="75" type="#_x0000_t75" style="height:18pt;width:103.85pt;" o:ole="t" filled="f" o:preferrelative="t" stroked="f" coordsize="21600,21600">
                  <v:path/>
                  <v:fill on="f" focussize="0,0"/>
                  <v:stroke on="f" joinstyle="miter"/>
                  <v:imagedata r:id="rId43" o:title=""/>
                  <o:lock v:ext="edit" aspectratio="t"/>
                  <w10:wrap type="none"/>
                  <w10:anchorlock/>
                </v:shape>
                <o:OLEObject Type="Embed" ProgID="Equation.KSEE3" ShapeID="_x0000_i1036" DrawAspect="Content" ObjectID="_1468075736" r:id="rId42">
                  <o:LockedField>false</o:LockedField>
                </o:OLEObject>
              </w:object>
            </w:r>
          </w:p>
          <w:p w14:paraId="6BFB52A4">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然后按室外声源预测方法计算预测点处的A声级。</w:t>
            </w:r>
          </w:p>
          <w:p w14:paraId="3835F68C">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②室外点声源在预测点的倍频带声压级</w:t>
            </w:r>
          </w:p>
          <w:p w14:paraId="431F35F9">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A、某个声源在预测点的倍频带声压级</w:t>
            </w:r>
          </w:p>
          <w:p w14:paraId="1E87A83E">
            <w:pPr>
              <w:jc w:val="center"/>
              <w:rPr>
                <w:rFonts w:hint="default" w:ascii="Times New Roman" w:hAnsi="Times New Roman" w:cs="Times New Roman"/>
                <w:color w:val="auto"/>
                <w:szCs w:val="22"/>
              </w:rPr>
            </w:pPr>
            <w:r>
              <w:rPr>
                <w:rFonts w:hint="default" w:ascii="Times New Roman" w:hAnsi="Times New Roman" w:cs="Times New Roman"/>
                <w:color w:val="auto"/>
                <w:position w:val="-30"/>
                <w:szCs w:val="22"/>
              </w:rPr>
              <w:object>
                <v:shape id="_x0000_i1037" o:spt="75" type="#_x0000_t75" style="height:33.9pt;width:112.85pt;" o:ole="t" filled="f" o:preferrelative="t" stroked="f" coordsize="21600,21600">
                  <v:path/>
                  <v:fill on="f" focussize="0,0"/>
                  <v:stroke on="f" joinstyle="miter"/>
                  <v:imagedata r:id="rId45" o:title=""/>
                  <o:lock v:ext="edit" aspectratio="t"/>
                  <w10:wrap type="none"/>
                  <w10:anchorlock/>
                </v:shape>
                <o:OLEObject Type="Embed" ProgID="Equation.KSEE3" ShapeID="_x0000_i1037" DrawAspect="Content" ObjectID="_1468075737" r:id="rId44">
                  <o:LockedField>false</o:LockedField>
                </o:OLEObject>
              </w:object>
            </w:r>
          </w:p>
          <w:p w14:paraId="13CEAF2B">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式中：L</w:t>
            </w:r>
            <w:r>
              <w:rPr>
                <w:rFonts w:hint="default" w:ascii="Times New Roman" w:hAnsi="Times New Roman" w:cs="Times New Roman"/>
                <w:color w:val="auto"/>
                <w:szCs w:val="22"/>
                <w:vertAlign w:val="subscript"/>
              </w:rPr>
              <w:t>2</w:t>
            </w:r>
            <w:r>
              <w:rPr>
                <w:rFonts w:hint="default" w:ascii="Times New Roman" w:hAnsi="Times New Roman" w:cs="Times New Roman"/>
                <w:color w:val="auto"/>
                <w:szCs w:val="22"/>
              </w:rPr>
              <w:t>—点声源在预测点产生的声压级，dB（A）；</w:t>
            </w:r>
          </w:p>
          <w:p w14:paraId="28003941">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L</w:t>
            </w:r>
            <w:r>
              <w:rPr>
                <w:rFonts w:hint="default" w:ascii="Times New Roman" w:hAnsi="Times New Roman" w:cs="Times New Roman"/>
                <w:color w:val="auto"/>
                <w:szCs w:val="22"/>
                <w:vertAlign w:val="subscript"/>
              </w:rPr>
              <w:t>1</w:t>
            </w:r>
            <w:r>
              <w:rPr>
                <w:rFonts w:hint="default" w:ascii="Times New Roman" w:hAnsi="Times New Roman" w:cs="Times New Roman"/>
                <w:color w:val="auto"/>
                <w:szCs w:val="22"/>
              </w:rPr>
              <w:t>—点声源在参考点产生的声压级，dB（A）；</w:t>
            </w:r>
          </w:p>
          <w:p w14:paraId="7CAECF46">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r</w:t>
            </w:r>
            <w:r>
              <w:rPr>
                <w:rFonts w:hint="default" w:ascii="Times New Roman" w:hAnsi="Times New Roman" w:cs="Times New Roman"/>
                <w:color w:val="auto"/>
                <w:szCs w:val="22"/>
                <w:vertAlign w:val="subscript"/>
              </w:rPr>
              <w:t>2</w:t>
            </w:r>
            <w:r>
              <w:rPr>
                <w:rFonts w:hint="default" w:ascii="Times New Roman" w:hAnsi="Times New Roman" w:cs="Times New Roman"/>
                <w:color w:val="auto"/>
                <w:szCs w:val="22"/>
              </w:rPr>
              <w:t>—预测点距声源的距离，m；</w:t>
            </w:r>
          </w:p>
          <w:p w14:paraId="2E16E7F7">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r</w:t>
            </w:r>
            <w:r>
              <w:rPr>
                <w:rFonts w:hint="default" w:ascii="Times New Roman" w:hAnsi="Times New Roman" w:cs="Times New Roman"/>
                <w:color w:val="auto"/>
                <w:szCs w:val="22"/>
                <w:vertAlign w:val="subscript"/>
              </w:rPr>
              <w:t>1</w:t>
            </w:r>
            <w:r>
              <w:rPr>
                <w:rFonts w:hint="default" w:ascii="Times New Roman" w:hAnsi="Times New Roman" w:cs="Times New Roman"/>
                <w:color w:val="auto"/>
                <w:szCs w:val="22"/>
              </w:rPr>
              <w:t>—参考点距声源的距离，m；</w:t>
            </w:r>
          </w:p>
          <w:p w14:paraId="7BFF913E">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ΔL—各种因素引起的衰减量(包括声屏障、空气吸收等引起的衰减量)，dB(A)。考虑设备采取减震、吸声等处理，效果取5dB(A)，车间及厂房隔声效果取 15dB(A)，故ΔL取值为20dB(A)。</w:t>
            </w:r>
          </w:p>
          <w:p w14:paraId="490B149A">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B、对两个以上多个声源同时存在时，其预测点总声压级采用下面公式：</w:t>
            </w:r>
          </w:p>
          <w:p w14:paraId="27314F92">
            <w:pPr>
              <w:jc w:val="center"/>
              <w:rPr>
                <w:rFonts w:hint="default" w:ascii="Times New Roman" w:hAnsi="Times New Roman" w:cs="Times New Roman"/>
                <w:color w:val="auto"/>
                <w:szCs w:val="22"/>
              </w:rPr>
            </w:pPr>
            <w:r>
              <w:rPr>
                <w:rFonts w:hint="default" w:ascii="Times New Roman" w:hAnsi="Times New Roman" w:cs="Times New Roman"/>
                <w:color w:val="auto"/>
                <w:position w:val="-14"/>
                <w:szCs w:val="22"/>
              </w:rPr>
              <w:object>
                <v:shape id="_x0000_i1038" o:spt="75" type="#_x0000_t75" style="height:20.1pt;width:110.1pt;" o:ole="t" filled="f" o:preferrelative="t" stroked="f" coordsize="21600,21600">
                  <v:path/>
                  <v:fill on="f" focussize="0,0"/>
                  <v:stroke on="f" joinstyle="miter"/>
                  <v:imagedata r:id="rId47" o:title=""/>
                  <o:lock v:ext="edit" aspectratio="t"/>
                  <w10:wrap type="none"/>
                  <w10:anchorlock/>
                </v:shape>
                <o:OLEObject Type="Embed" ProgID="Equation.KSEE3" ShapeID="_x0000_i1038" DrawAspect="Content" ObjectID="_1468075738" r:id="rId46">
                  <o:LockedField>false</o:LockedField>
                </o:OLEObject>
              </w:object>
            </w:r>
          </w:p>
          <w:p w14:paraId="5C0D2ACC">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式中：Leq—预测点的总等效声级，dB（A）；</w:t>
            </w:r>
          </w:p>
          <w:p w14:paraId="2942536A">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L</w:t>
            </w:r>
            <w:r>
              <w:rPr>
                <w:rFonts w:hint="default" w:ascii="Times New Roman" w:hAnsi="Times New Roman" w:cs="Times New Roman"/>
                <w:color w:val="auto"/>
                <w:szCs w:val="22"/>
                <w:vertAlign w:val="subscript"/>
              </w:rPr>
              <w:t>i</w:t>
            </w:r>
            <w:r>
              <w:rPr>
                <w:rFonts w:hint="default" w:ascii="Times New Roman" w:hAnsi="Times New Roman" w:cs="Times New Roman"/>
                <w:color w:val="auto"/>
                <w:szCs w:val="22"/>
              </w:rPr>
              <w:t>—第i个声源对预测点的声级影响，dB（A）。</w:t>
            </w:r>
          </w:p>
          <w:p w14:paraId="3940DE58">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（3）预测结果与分析</w:t>
            </w:r>
            <w:bookmarkEnd w:id="25"/>
            <w:bookmarkEnd w:id="26"/>
            <w:bookmarkEnd w:id="27"/>
            <w:bookmarkEnd w:id="28"/>
          </w:p>
          <w:p w14:paraId="25B3CAF7">
            <w:pPr>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5310505" cy="5066665"/>
                  <wp:effectExtent l="0" t="0" r="10795" b="635"/>
                  <wp:docPr id="63"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8"/>
                          <pic:cNvPicPr>
                            <a:picLocks noChangeAspect="1"/>
                          </pic:cNvPicPr>
                        </pic:nvPicPr>
                        <pic:blipFill>
                          <a:blip r:embed="rId48"/>
                          <a:stretch>
                            <a:fillRect/>
                          </a:stretch>
                        </pic:blipFill>
                        <pic:spPr>
                          <a:xfrm>
                            <a:off x="0" y="0"/>
                            <a:ext cx="5310505" cy="5066665"/>
                          </a:xfrm>
                          <a:prstGeom prst="rect">
                            <a:avLst/>
                          </a:prstGeom>
                          <a:noFill/>
                          <a:ln>
                            <a:noFill/>
                          </a:ln>
                        </pic:spPr>
                      </pic:pic>
                    </a:graphicData>
                  </a:graphic>
                </wp:inline>
              </w:drawing>
            </w:r>
          </w:p>
          <w:p w14:paraId="0F6CE39B">
            <w:pPr>
              <w:spacing w:line="240" w:lineRule="auto"/>
              <w:jc w:val="center"/>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图6 噪声预测结果等值线图</w:t>
            </w:r>
          </w:p>
          <w:p w14:paraId="6395C672">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根据项目噪声源，经预测，项目厂界噪声值见下表。</w:t>
            </w:r>
          </w:p>
          <w:p w14:paraId="7B2F3422">
            <w:pPr>
              <w:wordWrap/>
              <w:spacing w:line="240" w:lineRule="auto"/>
              <w:jc w:val="center"/>
              <w:rPr>
                <w:rFonts w:hint="default" w:ascii="Times New Roman" w:hAnsi="Times New Roman" w:cs="Times New Roman"/>
                <w:b/>
                <w:bCs/>
                <w:color w:val="auto"/>
                <w:kern w:val="0"/>
                <w:szCs w:val="22"/>
              </w:rPr>
            </w:pPr>
            <w:r>
              <w:rPr>
                <w:rFonts w:hint="default" w:ascii="Times New Roman" w:hAnsi="Times New Roman" w:cs="Times New Roman"/>
                <w:b/>
                <w:bCs/>
                <w:color w:val="auto"/>
                <w:kern w:val="0"/>
                <w:szCs w:val="22"/>
              </w:rPr>
              <w:t>表4</w:t>
            </w:r>
            <w:r>
              <w:rPr>
                <w:rFonts w:hint="default" w:ascii="Times New Roman" w:hAnsi="Times New Roman" w:cs="Times New Roman"/>
                <w:b/>
                <w:bCs/>
                <w:color w:val="auto"/>
                <w:kern w:val="0"/>
                <w:szCs w:val="22"/>
                <w:lang w:val="en-US" w:eastAsia="zh-CN"/>
              </w:rPr>
              <w:t>-21</w:t>
            </w:r>
            <w:r>
              <w:rPr>
                <w:rFonts w:hint="default" w:ascii="Times New Roman" w:hAnsi="Times New Roman" w:cs="Times New Roman"/>
                <w:b/>
                <w:bCs/>
                <w:color w:val="auto"/>
                <w:kern w:val="0"/>
                <w:szCs w:val="22"/>
              </w:rPr>
              <w:t xml:space="preserve"> 项目厂界噪声值  （单位：Leq dB(A)）</w:t>
            </w:r>
          </w:p>
          <w:tbl>
            <w:tblPr>
              <w:tblStyle w:val="22"/>
              <w:tblW w:w="5000" w:type="pct"/>
              <w:jc w:val="center"/>
              <w:tblBorders>
                <w:top w:val="single" w:color="auto" w:sz="6" w:space="0"/>
                <w:left w:val="single" w:color="auto" w:sz="8" w:space="0"/>
                <w:bottom w:val="single" w:color="auto" w:sz="6"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3472"/>
              <w:gridCol w:w="1253"/>
              <w:gridCol w:w="1253"/>
              <w:gridCol w:w="1250"/>
              <w:gridCol w:w="1124"/>
            </w:tblGrid>
            <w:tr w14:paraId="4580A824">
              <w:tblPrEx>
                <w:tblBorders>
                  <w:top w:val="single" w:color="auto" w:sz="6" w:space="0"/>
                  <w:left w:val="single" w:color="auto" w:sz="8" w:space="0"/>
                  <w:bottom w:val="single" w:color="auto" w:sz="6"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078" w:type="pct"/>
                  <w:vAlign w:val="center"/>
                </w:tcPr>
                <w:p w14:paraId="27BEBCB8">
                  <w:pPr>
                    <w:wordWrap/>
                    <w:spacing w:line="240" w:lineRule="auto"/>
                    <w:jc w:val="center"/>
                    <w:rPr>
                      <w:rFonts w:hint="default" w:ascii="Times New Roman" w:hAnsi="Times New Roman" w:cs="Times New Roman"/>
                      <w:b/>
                      <w:color w:val="auto"/>
                      <w:sz w:val="21"/>
                      <w:szCs w:val="22"/>
                    </w:rPr>
                  </w:pPr>
                  <w:r>
                    <w:rPr>
                      <w:rFonts w:hint="default" w:ascii="Times New Roman" w:hAnsi="Times New Roman" w:cs="Times New Roman"/>
                      <w:b/>
                      <w:color w:val="auto"/>
                      <w:sz w:val="21"/>
                      <w:szCs w:val="22"/>
                    </w:rPr>
                    <w:t>方位</w:t>
                  </w:r>
                </w:p>
              </w:tc>
              <w:tc>
                <w:tcPr>
                  <w:tcW w:w="750" w:type="pct"/>
                  <w:vAlign w:val="center"/>
                </w:tcPr>
                <w:p w14:paraId="1853CD18">
                  <w:pPr>
                    <w:wordWrap/>
                    <w:spacing w:line="240" w:lineRule="auto"/>
                    <w:jc w:val="center"/>
                    <w:rPr>
                      <w:rFonts w:hint="default" w:ascii="Times New Roman" w:hAnsi="Times New Roman" w:cs="Times New Roman"/>
                      <w:b/>
                      <w:color w:val="auto"/>
                      <w:sz w:val="21"/>
                      <w:szCs w:val="22"/>
                    </w:rPr>
                  </w:pPr>
                  <w:r>
                    <w:rPr>
                      <w:rFonts w:hint="default" w:ascii="Times New Roman" w:hAnsi="Times New Roman" w:cs="Times New Roman"/>
                      <w:b/>
                      <w:color w:val="auto"/>
                      <w:sz w:val="21"/>
                      <w:szCs w:val="22"/>
                    </w:rPr>
                    <w:t>东面</w:t>
                  </w:r>
                </w:p>
              </w:tc>
              <w:tc>
                <w:tcPr>
                  <w:tcW w:w="750" w:type="pct"/>
                  <w:vAlign w:val="center"/>
                </w:tcPr>
                <w:p w14:paraId="4F11BACB">
                  <w:pPr>
                    <w:wordWrap/>
                    <w:spacing w:line="240" w:lineRule="auto"/>
                    <w:jc w:val="center"/>
                    <w:rPr>
                      <w:rFonts w:hint="default" w:ascii="Times New Roman" w:hAnsi="Times New Roman" w:cs="Times New Roman"/>
                      <w:b/>
                      <w:color w:val="auto"/>
                      <w:sz w:val="21"/>
                      <w:szCs w:val="22"/>
                    </w:rPr>
                  </w:pPr>
                  <w:r>
                    <w:rPr>
                      <w:rFonts w:hint="default" w:ascii="Times New Roman" w:hAnsi="Times New Roman" w:cs="Times New Roman"/>
                      <w:b/>
                      <w:color w:val="auto"/>
                      <w:sz w:val="21"/>
                      <w:szCs w:val="22"/>
                    </w:rPr>
                    <w:t>南面</w:t>
                  </w:r>
                </w:p>
              </w:tc>
              <w:tc>
                <w:tcPr>
                  <w:tcW w:w="748" w:type="pct"/>
                  <w:vAlign w:val="center"/>
                </w:tcPr>
                <w:p w14:paraId="74B9811D">
                  <w:pPr>
                    <w:wordWrap/>
                    <w:spacing w:line="240" w:lineRule="auto"/>
                    <w:jc w:val="center"/>
                    <w:rPr>
                      <w:rFonts w:hint="default" w:ascii="Times New Roman" w:hAnsi="Times New Roman" w:cs="Times New Roman"/>
                      <w:b/>
                      <w:color w:val="auto"/>
                      <w:sz w:val="21"/>
                      <w:szCs w:val="22"/>
                    </w:rPr>
                  </w:pPr>
                  <w:r>
                    <w:rPr>
                      <w:rFonts w:hint="default" w:ascii="Times New Roman" w:hAnsi="Times New Roman" w:cs="Times New Roman"/>
                      <w:b/>
                      <w:color w:val="auto"/>
                      <w:sz w:val="21"/>
                      <w:szCs w:val="22"/>
                    </w:rPr>
                    <w:t>西面</w:t>
                  </w:r>
                </w:p>
              </w:tc>
              <w:tc>
                <w:tcPr>
                  <w:tcW w:w="672" w:type="pct"/>
                  <w:vAlign w:val="center"/>
                </w:tcPr>
                <w:p w14:paraId="6D10BF18">
                  <w:pPr>
                    <w:wordWrap/>
                    <w:spacing w:line="240" w:lineRule="auto"/>
                    <w:jc w:val="center"/>
                    <w:rPr>
                      <w:rFonts w:hint="default" w:ascii="Times New Roman" w:hAnsi="Times New Roman" w:cs="Times New Roman"/>
                      <w:b/>
                      <w:color w:val="auto"/>
                      <w:sz w:val="21"/>
                      <w:szCs w:val="22"/>
                    </w:rPr>
                  </w:pPr>
                  <w:r>
                    <w:rPr>
                      <w:rFonts w:hint="default" w:ascii="Times New Roman" w:hAnsi="Times New Roman" w:cs="Times New Roman"/>
                      <w:b/>
                      <w:color w:val="auto"/>
                      <w:sz w:val="21"/>
                      <w:szCs w:val="22"/>
                    </w:rPr>
                    <w:t>北面</w:t>
                  </w:r>
                </w:p>
              </w:tc>
            </w:tr>
            <w:tr w14:paraId="5930F238">
              <w:tblPrEx>
                <w:tblBorders>
                  <w:top w:val="single" w:color="auto" w:sz="6" w:space="0"/>
                  <w:left w:val="single" w:color="auto" w:sz="8" w:space="0"/>
                  <w:bottom w:val="single" w:color="auto" w:sz="6"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078" w:type="pct"/>
                  <w:vAlign w:val="center"/>
                </w:tcPr>
                <w:p w14:paraId="5E95AC74">
                  <w:pPr>
                    <w:wordWrap/>
                    <w:spacing w:line="240" w:lineRule="auto"/>
                    <w:jc w:val="center"/>
                    <w:rPr>
                      <w:rFonts w:hint="default" w:ascii="Times New Roman" w:hAnsi="Times New Roman" w:cs="Times New Roman"/>
                      <w:color w:val="auto"/>
                      <w:sz w:val="21"/>
                      <w:szCs w:val="22"/>
                    </w:rPr>
                  </w:pPr>
                  <w:r>
                    <w:rPr>
                      <w:rFonts w:hint="default" w:ascii="Times New Roman" w:hAnsi="Times New Roman" w:cs="Times New Roman"/>
                      <w:color w:val="auto"/>
                      <w:sz w:val="21"/>
                      <w:szCs w:val="22"/>
                    </w:rPr>
                    <w:t>车间噪声贡献值（厂界外1m处）</w:t>
                  </w:r>
                </w:p>
              </w:tc>
              <w:tc>
                <w:tcPr>
                  <w:tcW w:w="750" w:type="pct"/>
                  <w:vAlign w:val="center"/>
                </w:tcPr>
                <w:p w14:paraId="272B7C3A">
                  <w:pPr>
                    <w:wordWrap/>
                    <w:spacing w:line="240" w:lineRule="auto"/>
                    <w:jc w:val="center"/>
                    <w:rPr>
                      <w:rFonts w:hint="default" w:ascii="Times New Roman" w:hAnsi="Times New Roman" w:eastAsia="宋体" w:cs="Times New Roman"/>
                      <w:color w:val="auto"/>
                      <w:sz w:val="21"/>
                      <w:szCs w:val="22"/>
                      <w:lang w:val="en-US" w:eastAsia="zh-CN"/>
                    </w:rPr>
                  </w:pPr>
                  <w:r>
                    <w:rPr>
                      <w:rFonts w:hint="default" w:ascii="Times New Roman" w:hAnsi="Times New Roman" w:cs="Times New Roman"/>
                      <w:color w:val="auto"/>
                      <w:sz w:val="21"/>
                      <w:szCs w:val="22"/>
                      <w:lang w:val="en-US" w:eastAsia="zh-CN"/>
                    </w:rPr>
                    <w:t>33.89</w:t>
                  </w:r>
                </w:p>
              </w:tc>
              <w:tc>
                <w:tcPr>
                  <w:tcW w:w="750" w:type="pct"/>
                  <w:vAlign w:val="center"/>
                </w:tcPr>
                <w:p w14:paraId="78C5961D">
                  <w:pPr>
                    <w:wordWrap/>
                    <w:spacing w:line="240" w:lineRule="auto"/>
                    <w:jc w:val="center"/>
                    <w:rPr>
                      <w:rFonts w:hint="default" w:ascii="Times New Roman" w:hAnsi="Times New Roman" w:eastAsia="宋体" w:cs="Times New Roman"/>
                      <w:color w:val="auto"/>
                      <w:sz w:val="21"/>
                      <w:szCs w:val="22"/>
                      <w:lang w:val="en-US" w:eastAsia="zh-CN"/>
                    </w:rPr>
                  </w:pPr>
                  <w:r>
                    <w:rPr>
                      <w:rFonts w:hint="default" w:ascii="Times New Roman" w:hAnsi="Times New Roman" w:eastAsia="宋体" w:cs="Times New Roman"/>
                      <w:color w:val="auto"/>
                      <w:sz w:val="21"/>
                      <w:szCs w:val="22"/>
                      <w:lang w:val="en-US" w:eastAsia="zh-CN"/>
                    </w:rPr>
                    <w:t>43.58</w:t>
                  </w:r>
                </w:p>
              </w:tc>
              <w:tc>
                <w:tcPr>
                  <w:tcW w:w="748" w:type="pct"/>
                  <w:vAlign w:val="center"/>
                </w:tcPr>
                <w:p w14:paraId="36540342">
                  <w:pPr>
                    <w:wordWrap/>
                    <w:spacing w:line="240" w:lineRule="auto"/>
                    <w:jc w:val="center"/>
                    <w:rPr>
                      <w:rFonts w:hint="default" w:ascii="Times New Roman" w:hAnsi="Times New Roman" w:eastAsia="宋体" w:cs="Times New Roman"/>
                      <w:color w:val="auto"/>
                      <w:sz w:val="21"/>
                      <w:szCs w:val="22"/>
                      <w:lang w:val="en-US" w:eastAsia="zh-CN"/>
                    </w:rPr>
                  </w:pPr>
                  <w:r>
                    <w:rPr>
                      <w:rFonts w:hint="default" w:ascii="Times New Roman" w:hAnsi="Times New Roman" w:eastAsia="宋体" w:cs="Times New Roman"/>
                      <w:color w:val="auto"/>
                      <w:sz w:val="21"/>
                      <w:szCs w:val="22"/>
                      <w:lang w:val="en-US" w:eastAsia="zh-CN"/>
                    </w:rPr>
                    <w:t>43.32</w:t>
                  </w:r>
                </w:p>
              </w:tc>
              <w:tc>
                <w:tcPr>
                  <w:tcW w:w="672" w:type="pct"/>
                  <w:vAlign w:val="center"/>
                </w:tcPr>
                <w:p w14:paraId="505FE319">
                  <w:pPr>
                    <w:wordWrap/>
                    <w:spacing w:line="240" w:lineRule="auto"/>
                    <w:jc w:val="center"/>
                    <w:rPr>
                      <w:rFonts w:hint="default" w:ascii="Times New Roman" w:hAnsi="Times New Roman" w:eastAsia="宋体" w:cs="Times New Roman"/>
                      <w:color w:val="auto"/>
                      <w:sz w:val="21"/>
                      <w:szCs w:val="22"/>
                      <w:lang w:val="en-US" w:eastAsia="zh-CN"/>
                    </w:rPr>
                  </w:pPr>
                  <w:r>
                    <w:rPr>
                      <w:rFonts w:hint="default" w:ascii="Times New Roman" w:hAnsi="Times New Roman" w:cs="Times New Roman"/>
                      <w:color w:val="auto"/>
                      <w:sz w:val="21"/>
                      <w:szCs w:val="22"/>
                      <w:lang w:val="en-US" w:eastAsia="zh-CN"/>
                    </w:rPr>
                    <w:t>38.74</w:t>
                  </w:r>
                </w:p>
              </w:tc>
            </w:tr>
            <w:tr w14:paraId="57071E06">
              <w:tblPrEx>
                <w:tblBorders>
                  <w:top w:val="single" w:color="auto" w:sz="6" w:space="0"/>
                  <w:left w:val="single" w:color="auto" w:sz="8" w:space="0"/>
                  <w:bottom w:val="single" w:color="auto" w:sz="6"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078" w:type="pct"/>
                  <w:vAlign w:val="center"/>
                </w:tcPr>
                <w:p w14:paraId="7913CFA1">
                  <w:pPr>
                    <w:wordWrap/>
                    <w:spacing w:line="240" w:lineRule="auto"/>
                    <w:jc w:val="center"/>
                    <w:rPr>
                      <w:rFonts w:hint="default" w:ascii="Times New Roman" w:hAnsi="Times New Roman" w:cs="Times New Roman"/>
                      <w:color w:val="auto"/>
                      <w:sz w:val="21"/>
                      <w:szCs w:val="22"/>
                    </w:rPr>
                  </w:pPr>
                  <w:r>
                    <w:rPr>
                      <w:rFonts w:hint="default" w:ascii="Times New Roman" w:hAnsi="Times New Roman" w:cs="Times New Roman"/>
                      <w:color w:val="auto"/>
                      <w:sz w:val="21"/>
                      <w:szCs w:val="22"/>
                    </w:rPr>
                    <w:t>执行标准</w:t>
                  </w:r>
                </w:p>
              </w:tc>
              <w:tc>
                <w:tcPr>
                  <w:tcW w:w="2921" w:type="pct"/>
                  <w:gridSpan w:val="4"/>
                  <w:vAlign w:val="center"/>
                </w:tcPr>
                <w:p w14:paraId="3E290B97">
                  <w:pPr>
                    <w:wordWrap/>
                    <w:spacing w:line="240" w:lineRule="auto"/>
                    <w:jc w:val="center"/>
                    <w:rPr>
                      <w:rFonts w:hint="default" w:ascii="Times New Roman" w:hAnsi="Times New Roman" w:eastAsia="宋体" w:cs="Times New Roman"/>
                      <w:color w:val="auto"/>
                      <w:sz w:val="21"/>
                      <w:szCs w:val="22"/>
                      <w:lang w:val="en-US" w:eastAsia="zh-CN"/>
                    </w:rPr>
                  </w:pPr>
                  <w:r>
                    <w:rPr>
                      <w:rFonts w:hint="default" w:ascii="Times New Roman" w:hAnsi="Times New Roman" w:cs="Times New Roman"/>
                      <w:color w:val="auto"/>
                      <w:sz w:val="21"/>
                      <w:szCs w:val="22"/>
                    </w:rPr>
                    <w:t>昼间</w:t>
                  </w:r>
                  <w:r>
                    <w:rPr>
                      <w:rFonts w:hint="default" w:ascii="Times New Roman" w:hAnsi="Times New Roman" w:cs="Times New Roman"/>
                      <w:bCs/>
                      <w:color w:val="auto"/>
                      <w:sz w:val="21"/>
                      <w:szCs w:val="21"/>
                    </w:rPr>
                    <w:t>≤6</w:t>
                  </w:r>
                  <w:r>
                    <w:rPr>
                      <w:rFonts w:hint="default" w:ascii="Times New Roman" w:hAnsi="Times New Roman" w:cs="Times New Roman"/>
                      <w:bCs/>
                      <w:color w:val="auto"/>
                      <w:sz w:val="21"/>
                      <w:szCs w:val="21"/>
                      <w:lang w:val="en-US" w:eastAsia="zh-CN"/>
                    </w:rPr>
                    <w:t>0</w:t>
                  </w:r>
                  <w:r>
                    <w:rPr>
                      <w:rFonts w:hint="default" w:ascii="Times New Roman" w:hAnsi="Times New Roman" w:cs="Times New Roman"/>
                      <w:bCs/>
                      <w:color w:val="auto"/>
                      <w:sz w:val="21"/>
                      <w:szCs w:val="21"/>
                    </w:rPr>
                    <w:t>dB(A)；</w:t>
                  </w:r>
                  <w:r>
                    <w:rPr>
                      <w:rFonts w:hint="default" w:ascii="Times New Roman" w:hAnsi="Times New Roman" w:cs="Times New Roman"/>
                      <w:bCs/>
                      <w:color w:val="auto"/>
                      <w:sz w:val="21"/>
                      <w:szCs w:val="21"/>
                      <w:lang w:val="en-US" w:eastAsia="zh-CN"/>
                    </w:rPr>
                    <w:t>夜</w:t>
                  </w:r>
                  <w:r>
                    <w:rPr>
                      <w:rFonts w:hint="default" w:ascii="Times New Roman" w:hAnsi="Times New Roman" w:cs="Times New Roman"/>
                      <w:color w:val="auto"/>
                      <w:sz w:val="21"/>
                      <w:szCs w:val="22"/>
                    </w:rPr>
                    <w:t>间</w:t>
                  </w:r>
                  <w:r>
                    <w:rPr>
                      <w:rFonts w:hint="default" w:ascii="Times New Roman" w:hAnsi="Times New Roman" w:cs="Times New Roman"/>
                      <w:bCs/>
                      <w:color w:val="auto"/>
                      <w:sz w:val="21"/>
                      <w:szCs w:val="21"/>
                    </w:rPr>
                    <w:t>≤</w:t>
                  </w:r>
                  <w:r>
                    <w:rPr>
                      <w:rFonts w:hint="default" w:ascii="Times New Roman" w:hAnsi="Times New Roman" w:cs="Times New Roman"/>
                      <w:bCs/>
                      <w:color w:val="auto"/>
                      <w:sz w:val="21"/>
                      <w:szCs w:val="21"/>
                      <w:lang w:val="en-US" w:eastAsia="zh-CN"/>
                    </w:rPr>
                    <w:t>50</w:t>
                  </w:r>
                  <w:r>
                    <w:rPr>
                      <w:rFonts w:hint="default" w:ascii="Times New Roman" w:hAnsi="Times New Roman" w:cs="Times New Roman"/>
                      <w:bCs/>
                      <w:color w:val="auto"/>
                      <w:sz w:val="21"/>
                      <w:szCs w:val="21"/>
                    </w:rPr>
                    <w:t>dB(A)</w:t>
                  </w:r>
                </w:p>
              </w:tc>
            </w:tr>
          </w:tbl>
          <w:p w14:paraId="666F5E75">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经过上述措施处理后，项目各边界噪声排放达到《工业企业厂界环境噪声排放标准》（GB12348-2008）中的</w:t>
            </w:r>
            <w:r>
              <w:rPr>
                <w:rFonts w:hint="default" w:ascii="Times New Roman" w:hAnsi="Times New Roman" w:cs="Times New Roman"/>
                <w:color w:val="auto"/>
                <w:szCs w:val="22"/>
                <w:lang w:val="en-US" w:eastAsia="zh-CN"/>
              </w:rPr>
              <w:t>2</w:t>
            </w:r>
            <w:r>
              <w:rPr>
                <w:rFonts w:hint="default" w:ascii="Times New Roman" w:hAnsi="Times New Roman" w:cs="Times New Roman"/>
                <w:color w:val="auto"/>
                <w:szCs w:val="22"/>
              </w:rPr>
              <w:t>类标准，项目运营期间所产生的噪声对厂界周围的声环境不会造成明显影响。</w:t>
            </w:r>
          </w:p>
          <w:p w14:paraId="55C97915">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（3）监测要求</w:t>
            </w:r>
          </w:p>
          <w:p w14:paraId="65680663">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项目从事</w:t>
            </w:r>
            <w:r>
              <w:rPr>
                <w:rFonts w:hint="default" w:ascii="Times New Roman" w:hAnsi="Times New Roman" w:cs="Times New Roman"/>
                <w:color w:val="auto"/>
                <w:lang w:val="en-US" w:eastAsia="zh-CN"/>
              </w:rPr>
              <w:t>硅胶制品和模具</w:t>
            </w:r>
            <w:r>
              <w:rPr>
                <w:rFonts w:hint="default" w:ascii="Times New Roman" w:hAnsi="Times New Roman" w:cs="Times New Roman"/>
                <w:color w:val="auto"/>
              </w:rPr>
              <w:t>的生产，属于C</w:t>
            </w:r>
            <w:r>
              <w:rPr>
                <w:rFonts w:hint="default" w:ascii="Times New Roman" w:hAnsi="Times New Roman" w:cs="Times New Roman"/>
                <w:color w:val="auto"/>
                <w:sz w:val="24"/>
                <w:lang w:val="en-US" w:eastAsia="zh-CN"/>
              </w:rPr>
              <w:t>2919其他橡胶制品制造</w:t>
            </w:r>
            <w:r>
              <w:rPr>
                <w:rFonts w:hint="default" w:ascii="Times New Roman" w:hAnsi="Times New Roman" w:cs="Times New Roman"/>
                <w:color w:val="auto"/>
              </w:rPr>
              <w:t>，</w:t>
            </w:r>
            <w:r>
              <w:rPr>
                <w:rFonts w:hint="default" w:ascii="Times New Roman" w:hAnsi="Times New Roman" w:cs="Times New Roman"/>
                <w:color w:val="auto"/>
                <w:szCs w:val="22"/>
              </w:rPr>
              <w:t xml:space="preserve">项目以《排污单位自行监测技术指南 </w:t>
            </w:r>
            <w:r>
              <w:rPr>
                <w:rFonts w:hint="default" w:ascii="Times New Roman" w:hAnsi="Times New Roman" w:cs="Times New Roman"/>
                <w:color w:val="auto"/>
                <w:szCs w:val="22"/>
                <w:lang w:val="en-US" w:eastAsia="zh-CN"/>
              </w:rPr>
              <w:t>橡胶和塑料制品</w:t>
            </w:r>
            <w:r>
              <w:rPr>
                <w:rFonts w:hint="default" w:ascii="Times New Roman" w:hAnsi="Times New Roman" w:cs="Times New Roman"/>
                <w:color w:val="auto"/>
                <w:szCs w:val="22"/>
              </w:rPr>
              <w:t xml:space="preserve">》（HJ </w:t>
            </w:r>
            <w:r>
              <w:rPr>
                <w:rFonts w:hint="default" w:ascii="Times New Roman" w:hAnsi="Times New Roman" w:cs="Times New Roman"/>
                <w:color w:val="auto"/>
                <w:szCs w:val="22"/>
                <w:lang w:val="en-US" w:eastAsia="zh-CN"/>
              </w:rPr>
              <w:t>1207-2021</w:t>
            </w:r>
            <w:r>
              <w:rPr>
                <w:rFonts w:hint="default" w:ascii="Times New Roman" w:hAnsi="Times New Roman" w:cs="Times New Roman"/>
                <w:color w:val="auto"/>
                <w:szCs w:val="22"/>
              </w:rPr>
              <w:t>）</w:t>
            </w:r>
            <w:r>
              <w:rPr>
                <w:rFonts w:hint="default" w:ascii="Times New Roman" w:hAnsi="Times New Roman" w:cs="Times New Roman"/>
                <w:color w:val="auto"/>
              </w:rPr>
              <w:t>作为依照，制定以下监测计划。</w:t>
            </w:r>
          </w:p>
          <w:p w14:paraId="3564A4DE">
            <w:pPr>
              <w:wordWrap/>
              <w:spacing w:line="240" w:lineRule="auto"/>
              <w:jc w:val="center"/>
              <w:rPr>
                <w:rFonts w:hint="default" w:ascii="Times New Roman" w:hAnsi="Times New Roman" w:cs="Times New Roman"/>
                <w:b/>
                <w:color w:val="auto"/>
              </w:rPr>
            </w:pPr>
            <w:r>
              <w:rPr>
                <w:rFonts w:hint="default" w:ascii="Times New Roman" w:hAnsi="Times New Roman" w:cs="Times New Roman"/>
                <w:b/>
                <w:color w:val="auto"/>
                <w:kern w:val="0"/>
                <w:lang w:bidi="ar"/>
              </w:rPr>
              <w:t>表</w:t>
            </w:r>
            <w:r>
              <w:rPr>
                <w:rFonts w:hint="default" w:ascii="Times New Roman" w:hAnsi="Times New Roman" w:cs="Times New Roman"/>
                <w:b/>
                <w:color w:val="auto"/>
                <w:kern w:val="0"/>
                <w:lang w:val="en-US" w:eastAsia="zh-CN" w:bidi="ar"/>
              </w:rPr>
              <w:t>4-22</w:t>
            </w:r>
            <w:r>
              <w:rPr>
                <w:rFonts w:hint="default" w:ascii="Times New Roman" w:hAnsi="Times New Roman" w:cs="Times New Roman"/>
                <w:b/>
                <w:color w:val="auto"/>
                <w:kern w:val="0"/>
                <w:lang w:bidi="ar"/>
              </w:rPr>
              <w:t xml:space="preserve"> 污染源监测计划表</w:t>
            </w:r>
          </w:p>
          <w:tbl>
            <w:tblPr>
              <w:tblStyle w:val="22"/>
              <w:tblW w:w="8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152"/>
              <w:gridCol w:w="1822"/>
              <w:gridCol w:w="988"/>
              <w:gridCol w:w="3623"/>
            </w:tblGrid>
            <w:tr w14:paraId="38215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blHeader/>
                <w:jc w:val="center"/>
              </w:trPr>
              <w:tc>
                <w:tcPr>
                  <w:tcW w:w="874" w:type="dxa"/>
                  <w:tcBorders>
                    <w:top w:val="single" w:color="auto" w:sz="4" w:space="0"/>
                    <w:left w:val="single" w:color="auto" w:sz="4" w:space="0"/>
                    <w:bottom w:val="single" w:color="auto" w:sz="4" w:space="0"/>
                    <w:right w:val="single" w:color="auto" w:sz="4" w:space="0"/>
                  </w:tcBorders>
                  <w:vAlign w:val="center"/>
                </w:tcPr>
                <w:p w14:paraId="51A9DC64">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监测要素</w:t>
                  </w:r>
                </w:p>
              </w:tc>
              <w:tc>
                <w:tcPr>
                  <w:tcW w:w="1152" w:type="dxa"/>
                  <w:tcBorders>
                    <w:top w:val="single" w:color="auto" w:sz="4" w:space="0"/>
                    <w:left w:val="single" w:color="auto" w:sz="4" w:space="0"/>
                    <w:bottom w:val="single" w:color="auto" w:sz="4" w:space="0"/>
                    <w:right w:val="single" w:color="auto" w:sz="4" w:space="0"/>
                  </w:tcBorders>
                  <w:vAlign w:val="center"/>
                </w:tcPr>
                <w:p w14:paraId="1F754F7A">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监测点位</w:t>
                  </w:r>
                </w:p>
              </w:tc>
              <w:tc>
                <w:tcPr>
                  <w:tcW w:w="1822" w:type="dxa"/>
                  <w:tcBorders>
                    <w:top w:val="single" w:color="auto" w:sz="4" w:space="0"/>
                    <w:left w:val="single" w:color="auto" w:sz="4" w:space="0"/>
                    <w:bottom w:val="single" w:color="auto" w:sz="4" w:space="0"/>
                    <w:right w:val="single" w:color="auto" w:sz="4" w:space="0"/>
                  </w:tcBorders>
                  <w:vAlign w:val="center"/>
                </w:tcPr>
                <w:p w14:paraId="7EC2791F">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监测指标</w:t>
                  </w:r>
                </w:p>
              </w:tc>
              <w:tc>
                <w:tcPr>
                  <w:tcW w:w="988" w:type="dxa"/>
                  <w:tcBorders>
                    <w:top w:val="single" w:color="auto" w:sz="4" w:space="0"/>
                    <w:left w:val="single" w:color="auto" w:sz="4" w:space="0"/>
                    <w:bottom w:val="single" w:color="auto" w:sz="4" w:space="0"/>
                    <w:right w:val="single" w:color="auto" w:sz="4" w:space="0"/>
                  </w:tcBorders>
                  <w:vAlign w:val="center"/>
                </w:tcPr>
                <w:p w14:paraId="1B45F6DF">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监测频率</w:t>
                  </w:r>
                </w:p>
              </w:tc>
              <w:tc>
                <w:tcPr>
                  <w:tcW w:w="3623" w:type="dxa"/>
                  <w:tcBorders>
                    <w:top w:val="single" w:color="auto" w:sz="4" w:space="0"/>
                    <w:left w:val="single" w:color="auto" w:sz="4" w:space="0"/>
                    <w:bottom w:val="single" w:color="auto" w:sz="4" w:space="0"/>
                    <w:right w:val="single" w:color="auto" w:sz="4" w:space="0"/>
                  </w:tcBorders>
                  <w:vAlign w:val="center"/>
                </w:tcPr>
                <w:p w14:paraId="48E6AB61">
                  <w:pPr>
                    <w:wordWrap/>
                    <w:spacing w:line="240" w:lineRule="auto"/>
                    <w:ind w:left="-120" w:leftChars="-50" w:right="-120" w:rightChars="-50"/>
                    <w:jc w:val="center"/>
                    <w:rPr>
                      <w:rFonts w:hint="default" w:ascii="Times New Roman" w:hAnsi="Times New Roman" w:cs="Times New Roman"/>
                      <w:b/>
                      <w:color w:val="auto"/>
                      <w:kern w:val="0"/>
                      <w:sz w:val="21"/>
                      <w:szCs w:val="21"/>
                      <w:lang w:bidi="ar"/>
                    </w:rPr>
                  </w:pPr>
                  <w:r>
                    <w:rPr>
                      <w:rFonts w:hint="default" w:ascii="Times New Roman" w:hAnsi="Times New Roman" w:cs="Times New Roman"/>
                      <w:b/>
                      <w:color w:val="auto"/>
                      <w:kern w:val="0"/>
                      <w:sz w:val="21"/>
                      <w:szCs w:val="21"/>
                      <w:lang w:bidi="ar"/>
                    </w:rPr>
                    <w:t>执行排放标准</w:t>
                  </w:r>
                </w:p>
              </w:tc>
            </w:tr>
            <w:tr w14:paraId="1BA30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4" w:type="dxa"/>
                  <w:tcBorders>
                    <w:top w:val="single" w:color="auto" w:sz="4" w:space="0"/>
                    <w:left w:val="single" w:color="auto" w:sz="4" w:space="0"/>
                    <w:bottom w:val="single" w:color="auto" w:sz="4" w:space="0"/>
                    <w:right w:val="single" w:color="auto" w:sz="4" w:space="0"/>
                  </w:tcBorders>
                  <w:vAlign w:val="center"/>
                </w:tcPr>
                <w:p w14:paraId="1AC8A39A">
                  <w:pPr>
                    <w:wordWrap/>
                    <w:spacing w:line="240" w:lineRule="auto"/>
                    <w:ind w:left="-120" w:leftChars="-50" w:right="-120" w:rightChars="-5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噪声</w:t>
                  </w:r>
                </w:p>
              </w:tc>
              <w:tc>
                <w:tcPr>
                  <w:tcW w:w="1152" w:type="dxa"/>
                  <w:tcBorders>
                    <w:top w:val="single" w:color="auto" w:sz="4" w:space="0"/>
                    <w:left w:val="single" w:color="auto" w:sz="4" w:space="0"/>
                    <w:bottom w:val="single" w:color="auto" w:sz="4" w:space="0"/>
                    <w:right w:val="single" w:color="auto" w:sz="4" w:space="0"/>
                  </w:tcBorders>
                  <w:vAlign w:val="center"/>
                </w:tcPr>
                <w:p w14:paraId="0A28274B">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厂界四周</w:t>
                  </w:r>
                </w:p>
              </w:tc>
              <w:tc>
                <w:tcPr>
                  <w:tcW w:w="1822" w:type="dxa"/>
                  <w:tcBorders>
                    <w:top w:val="single" w:color="auto" w:sz="4" w:space="0"/>
                    <w:left w:val="single" w:color="auto" w:sz="4" w:space="0"/>
                    <w:bottom w:val="single" w:color="auto" w:sz="4" w:space="0"/>
                    <w:right w:val="single" w:color="auto" w:sz="4" w:space="0"/>
                  </w:tcBorders>
                  <w:vAlign w:val="center"/>
                </w:tcPr>
                <w:p w14:paraId="32E38202">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等效连续A声级</w:t>
                  </w:r>
                </w:p>
              </w:tc>
              <w:tc>
                <w:tcPr>
                  <w:tcW w:w="988" w:type="dxa"/>
                  <w:tcBorders>
                    <w:top w:val="single" w:color="auto" w:sz="4" w:space="0"/>
                    <w:left w:val="single" w:color="auto" w:sz="4" w:space="0"/>
                    <w:bottom w:val="single" w:color="auto" w:sz="4" w:space="0"/>
                    <w:right w:val="single" w:color="auto" w:sz="4" w:space="0"/>
                  </w:tcBorders>
                  <w:vAlign w:val="center"/>
                </w:tcPr>
                <w:p w14:paraId="26D8960B">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1次/季</w:t>
                  </w:r>
                </w:p>
              </w:tc>
              <w:tc>
                <w:tcPr>
                  <w:tcW w:w="3623" w:type="dxa"/>
                  <w:tcBorders>
                    <w:top w:val="single" w:color="auto" w:sz="4" w:space="0"/>
                    <w:left w:val="single" w:color="auto" w:sz="4" w:space="0"/>
                    <w:bottom w:val="single" w:color="auto" w:sz="4" w:space="0"/>
                    <w:right w:val="single" w:color="auto" w:sz="4" w:space="0"/>
                  </w:tcBorders>
                  <w:vAlign w:val="center"/>
                </w:tcPr>
                <w:p w14:paraId="58F07F1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《工业企业厂界环境噪声排放标准》（GB12348-2008）中的</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类标准</w:t>
                  </w:r>
                </w:p>
              </w:tc>
            </w:tr>
            <w:tr w14:paraId="5CFBD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8459" w:type="dxa"/>
                  <w:gridSpan w:val="5"/>
                  <w:tcBorders>
                    <w:top w:val="single" w:color="auto" w:sz="4" w:space="0"/>
                    <w:left w:val="single" w:color="auto" w:sz="4" w:space="0"/>
                    <w:right w:val="single" w:color="auto" w:sz="4" w:space="0"/>
                  </w:tcBorders>
                  <w:vAlign w:val="center"/>
                </w:tcPr>
                <w:p w14:paraId="232D1EC3">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注：项目夜间不生产，故无需进行夜间噪声监测</w:t>
                  </w:r>
                </w:p>
              </w:tc>
            </w:tr>
          </w:tbl>
          <w:p w14:paraId="75C7C8BD">
            <w:pPr>
              <w:rPr>
                <w:rFonts w:hint="default" w:ascii="Times New Roman" w:hAnsi="Times New Roman" w:cs="Times New Roman"/>
                <w:b/>
                <w:bCs/>
                <w:color w:val="auto"/>
                <w:szCs w:val="22"/>
              </w:rPr>
            </w:pPr>
            <w:r>
              <w:rPr>
                <w:rFonts w:hint="default" w:ascii="Times New Roman" w:hAnsi="Times New Roman" w:cs="Times New Roman"/>
                <w:b/>
                <w:bCs/>
                <w:color w:val="auto"/>
                <w:szCs w:val="22"/>
              </w:rPr>
              <w:t>4、固体废物</w:t>
            </w:r>
          </w:p>
          <w:p w14:paraId="1CCF0CCE">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（1）固体废物产生情况</w:t>
            </w:r>
          </w:p>
          <w:p w14:paraId="03961C19">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项目运营期会产生一般固体废物、危险废物、生活垃圾。</w:t>
            </w:r>
          </w:p>
          <w:p w14:paraId="1D8BAEAE">
            <w:pPr>
              <w:ind w:firstLine="482" w:firstLineChars="200"/>
              <w:rPr>
                <w:rFonts w:hint="default" w:ascii="Times New Roman" w:hAnsi="Times New Roman" w:cs="Times New Roman"/>
                <w:b/>
                <w:bCs/>
                <w:color w:val="auto"/>
                <w:szCs w:val="20"/>
              </w:rPr>
            </w:pPr>
            <w:r>
              <w:rPr>
                <w:rFonts w:hint="default" w:ascii="Times New Roman" w:hAnsi="Times New Roman" w:cs="Times New Roman"/>
                <w:b/>
                <w:bCs/>
                <w:color w:val="auto"/>
                <w:szCs w:val="20"/>
              </w:rPr>
              <w:t>1）一般工业固体废物</w:t>
            </w:r>
          </w:p>
          <w:p w14:paraId="0B913644">
            <w:pPr>
              <w:ind w:firstLine="480" w:firstLineChars="200"/>
              <w:rPr>
                <w:rFonts w:hint="default" w:ascii="Times New Roman" w:hAnsi="Times New Roman" w:cs="Times New Roman"/>
                <w:b/>
                <w:bCs/>
                <w:color w:val="auto"/>
                <w:szCs w:val="20"/>
              </w:rPr>
            </w:pPr>
            <w:r>
              <w:rPr>
                <w:rFonts w:hint="default" w:ascii="Times New Roman" w:hAnsi="Times New Roman" w:cs="Times New Roman"/>
                <w:color w:val="auto"/>
                <w:szCs w:val="20"/>
              </w:rPr>
              <w:t>根据《固体废物鉴别标准 通则》（GB 34330—2017）规定：“任何不需要修复和加工即可用于其原始用途的物质，或者在产生点经过修复和加工后满足国家、地方制定或行业通行的产品质量标准并且用于其原始用途的物质” 可不作为固体废物管理，因此，项目使用固态原料</w:t>
            </w:r>
            <w:r>
              <w:rPr>
                <w:rFonts w:hint="default" w:ascii="Times New Roman" w:hAnsi="Times New Roman" w:cs="Times New Roman"/>
                <w:color w:val="auto"/>
                <w:szCs w:val="20"/>
                <w:lang w:eastAsia="zh-CN"/>
              </w:rPr>
              <w:t>（硅橡胶</w:t>
            </w:r>
            <w:r>
              <w:rPr>
                <w:rFonts w:hint="default" w:ascii="Times New Roman" w:hAnsi="Times New Roman" w:cs="Times New Roman"/>
                <w:color w:val="auto"/>
                <w:szCs w:val="20"/>
                <w:lang w:val="en-US" w:eastAsia="zh-CN"/>
              </w:rPr>
              <w:t>、色胶、液态胶等</w:t>
            </w:r>
            <w:r>
              <w:rPr>
                <w:rFonts w:hint="default" w:ascii="Times New Roman" w:hAnsi="Times New Roman" w:cs="Times New Roman"/>
                <w:color w:val="auto"/>
                <w:szCs w:val="20"/>
                <w:lang w:eastAsia="zh-CN"/>
              </w:rPr>
              <w:t>）</w:t>
            </w:r>
            <w:r>
              <w:rPr>
                <w:rFonts w:hint="default" w:ascii="Times New Roman" w:hAnsi="Times New Roman" w:cs="Times New Roman"/>
                <w:color w:val="auto"/>
                <w:szCs w:val="20"/>
              </w:rPr>
              <w:t>后的废包装材料，可不作为固体废物管理。</w:t>
            </w:r>
          </w:p>
          <w:p w14:paraId="67BA3EFC">
            <w:pPr>
              <w:wordWrap/>
              <w:ind w:firstLine="482" w:firstLineChars="200"/>
              <w:rPr>
                <w:rFonts w:hint="default" w:ascii="Times New Roman" w:hAnsi="Times New Roman" w:cs="Times New Roman"/>
                <w:color w:val="auto"/>
              </w:rPr>
            </w:pPr>
            <w:r>
              <w:rPr>
                <w:rFonts w:hint="default" w:ascii="Times New Roman" w:hAnsi="Times New Roman" w:cs="Times New Roman"/>
                <w:b/>
                <w:bCs/>
                <w:color w:val="auto"/>
                <w:szCs w:val="22"/>
              </w:rPr>
              <w:t>①</w:t>
            </w:r>
            <w:r>
              <w:rPr>
                <w:rFonts w:hint="default" w:ascii="Times New Roman" w:hAnsi="Times New Roman" w:cs="Times New Roman"/>
                <w:b/>
                <w:bCs/>
                <w:color w:val="auto"/>
              </w:rPr>
              <w:t>不合格品</w:t>
            </w:r>
          </w:p>
          <w:p w14:paraId="09574B63">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项目质量检验过程中会产生不合格品，</w:t>
            </w:r>
            <w:r>
              <w:rPr>
                <w:rFonts w:hint="default" w:ascii="Times New Roman" w:hAnsi="Times New Roman" w:cs="Times New Roman"/>
                <w:color w:val="auto"/>
                <w:szCs w:val="22"/>
              </w:rPr>
              <w:t>属于一般固体废物，根据</w:t>
            </w:r>
            <w:r>
              <w:rPr>
                <w:rFonts w:hint="default" w:ascii="Times New Roman" w:hAnsi="Times New Roman" w:cs="Times New Roman"/>
                <w:color w:val="auto"/>
              </w:rPr>
              <w:t>《固体废物分类与代码目录》（生态环境部公告 2024年第4号）</w:t>
            </w:r>
            <w:r>
              <w:rPr>
                <w:rFonts w:hint="default" w:ascii="Times New Roman" w:hAnsi="Times New Roman" w:cs="Times New Roman"/>
                <w:color w:val="auto"/>
                <w:szCs w:val="22"/>
              </w:rPr>
              <w:t>，不合格品</w:t>
            </w:r>
            <w:r>
              <w:rPr>
                <w:rFonts w:hint="default" w:ascii="Times New Roman" w:hAnsi="Times New Roman" w:cs="Times New Roman"/>
                <w:color w:val="auto"/>
                <w:szCs w:val="22"/>
                <w:lang w:val="en-US" w:eastAsia="zh-CN"/>
              </w:rPr>
              <w:t>属于从橡胶生产、加工和使用中产生的废物</w:t>
            </w:r>
            <w:r>
              <w:rPr>
                <w:rFonts w:hint="default" w:ascii="Times New Roman" w:hAnsi="Times New Roman" w:cs="Times New Roman"/>
                <w:color w:val="auto"/>
                <w:szCs w:val="22"/>
              </w:rPr>
              <w:t>，废物种类为SW17，废物代码为900-006-S17，产生量约</w:t>
            </w:r>
            <w:r>
              <w:rPr>
                <w:rFonts w:hint="default" w:ascii="Times New Roman" w:hAnsi="Times New Roman" w:cs="Times New Roman"/>
                <w:color w:val="auto"/>
                <w:szCs w:val="22"/>
                <w:lang w:val="en-US" w:eastAsia="zh-CN"/>
              </w:rPr>
              <w:t>1</w:t>
            </w:r>
            <w:r>
              <w:rPr>
                <w:rFonts w:hint="default" w:ascii="Times New Roman" w:hAnsi="Times New Roman" w:cs="Times New Roman"/>
                <w:color w:val="auto"/>
                <w:szCs w:val="22"/>
              </w:rPr>
              <w:t>t/a，收集交由专业回收公司回收处理。</w:t>
            </w:r>
          </w:p>
          <w:p w14:paraId="74FED66B">
            <w:pPr>
              <w:wordWrap/>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lang w:val="en-US" w:eastAsia="zh-CN"/>
              </w:rPr>
              <w:t>②</w:t>
            </w:r>
            <w:r>
              <w:rPr>
                <w:rFonts w:hint="default" w:ascii="Times New Roman" w:hAnsi="Times New Roman" w:cs="Times New Roman"/>
                <w:b/>
                <w:bCs/>
                <w:color w:val="auto"/>
                <w:szCs w:val="22"/>
              </w:rPr>
              <w:t>废料</w:t>
            </w:r>
          </w:p>
          <w:p w14:paraId="111830E2">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w:t>
            </w:r>
            <w:r>
              <w:rPr>
                <w:rFonts w:hint="default" w:ascii="Times New Roman" w:hAnsi="Times New Roman" w:cs="Times New Roman"/>
                <w:color w:val="auto"/>
                <w:szCs w:val="22"/>
                <w:lang w:val="en-US" w:eastAsia="zh-CN"/>
              </w:rPr>
              <w:t>生产过程</w:t>
            </w:r>
            <w:r>
              <w:rPr>
                <w:rFonts w:hint="default" w:ascii="Times New Roman" w:hAnsi="Times New Roman" w:cs="Times New Roman"/>
                <w:color w:val="auto"/>
                <w:szCs w:val="22"/>
              </w:rPr>
              <w:t>会产生一定量的废料，</w:t>
            </w:r>
            <w:r>
              <w:rPr>
                <w:rFonts w:hint="default" w:ascii="Times New Roman" w:hAnsi="Times New Roman" w:cs="Times New Roman"/>
                <w:color w:val="auto"/>
                <w:szCs w:val="22"/>
                <w:lang w:val="en-US" w:eastAsia="zh-CN"/>
              </w:rPr>
              <w:t>主要为废胶料、废钢材等，</w:t>
            </w:r>
            <w:r>
              <w:rPr>
                <w:rFonts w:hint="default" w:ascii="Times New Roman" w:hAnsi="Times New Roman" w:cs="Times New Roman"/>
                <w:color w:val="auto"/>
                <w:szCs w:val="22"/>
              </w:rPr>
              <w:t>产生量约为</w:t>
            </w:r>
            <w:r>
              <w:rPr>
                <w:rFonts w:hint="default" w:ascii="Times New Roman" w:hAnsi="Times New Roman" w:cs="Times New Roman"/>
                <w:color w:val="auto"/>
                <w:szCs w:val="22"/>
                <w:lang w:val="en-US" w:eastAsia="zh-CN"/>
              </w:rPr>
              <w:t>4</w:t>
            </w:r>
            <w:r>
              <w:rPr>
                <w:rFonts w:hint="default" w:ascii="Times New Roman" w:hAnsi="Times New Roman" w:cs="Times New Roman"/>
                <w:color w:val="auto"/>
                <w:szCs w:val="22"/>
              </w:rPr>
              <w:t>t/a，</w:t>
            </w:r>
            <w:r>
              <w:rPr>
                <w:rFonts w:hint="default" w:ascii="Times New Roman" w:hAnsi="Times New Roman" w:cs="Times New Roman"/>
                <w:color w:val="auto"/>
                <w:szCs w:val="22"/>
                <w:lang w:val="en-US" w:eastAsia="zh-CN"/>
              </w:rPr>
              <w:t>根据</w:t>
            </w:r>
            <w:r>
              <w:rPr>
                <w:rFonts w:hint="default" w:ascii="Times New Roman" w:hAnsi="Times New Roman" w:cs="Times New Roman"/>
                <w:color w:val="auto"/>
              </w:rPr>
              <w:t>《固体废物分类与代码目录》（生态环境部公告 2024年第4号）</w:t>
            </w:r>
            <w:r>
              <w:rPr>
                <w:rFonts w:hint="default" w:ascii="Times New Roman" w:hAnsi="Times New Roman" w:cs="Times New Roman"/>
                <w:color w:val="auto"/>
                <w:szCs w:val="22"/>
              </w:rPr>
              <w:t>，属于SW17，废物代码为900-006-S17，收集后交由专业回收公司处理。</w:t>
            </w:r>
          </w:p>
          <w:p w14:paraId="251A04B9">
            <w:pPr>
              <w:bidi w:val="0"/>
              <w:ind w:firstLine="482" w:firstLineChars="200"/>
              <w:rPr>
                <w:rFonts w:hint="default" w:ascii="Times New Roman" w:hAnsi="Times New Roman" w:cs="Times New Roman"/>
                <w:b/>
                <w:bCs/>
                <w:color w:val="auto"/>
                <w:lang w:val="en-US" w:eastAsia="zh-CN"/>
              </w:rPr>
            </w:pPr>
            <w:r>
              <w:rPr>
                <w:rFonts w:hint="default" w:ascii="Times New Roman" w:hAnsi="Times New Roman" w:cs="Times New Roman"/>
                <w:b/>
                <w:bCs/>
                <w:color w:val="auto"/>
                <w:szCs w:val="22"/>
                <w:lang w:val="en-US" w:eastAsia="zh-CN"/>
              </w:rPr>
              <w:t>③</w:t>
            </w:r>
            <w:r>
              <w:rPr>
                <w:rFonts w:hint="default" w:ascii="Times New Roman" w:hAnsi="Times New Roman" w:cs="Times New Roman"/>
                <w:b/>
                <w:bCs/>
                <w:color w:val="auto"/>
                <w:lang w:val="en-US" w:eastAsia="zh-CN"/>
              </w:rPr>
              <w:t>废包装材料</w:t>
            </w:r>
          </w:p>
          <w:p w14:paraId="3A746E78">
            <w:pPr>
              <w:bidi w:val="0"/>
              <w:ind w:firstLine="480" w:firstLineChars="200"/>
              <w:rPr>
                <w:rFonts w:hint="default" w:ascii="Times New Roman" w:hAnsi="Times New Roman" w:cs="Times New Roman"/>
                <w:color w:val="auto"/>
                <w:szCs w:val="22"/>
                <w:lang w:val="en-US" w:eastAsia="zh-CN"/>
              </w:rPr>
            </w:pPr>
            <w:r>
              <w:rPr>
                <w:rFonts w:hint="default" w:ascii="Times New Roman" w:hAnsi="Times New Roman" w:cs="Times New Roman"/>
                <w:color w:val="auto"/>
                <w:lang w:val="en-US" w:eastAsia="zh-CN"/>
              </w:rPr>
              <w:t>项目产品出货过程会产生一定量的废包装材料，</w:t>
            </w:r>
            <w:r>
              <w:rPr>
                <w:rFonts w:hint="default" w:ascii="Times New Roman" w:hAnsi="Times New Roman" w:cs="Times New Roman"/>
                <w:color w:val="auto"/>
                <w:szCs w:val="22"/>
                <w:lang w:val="en-US" w:eastAsia="zh-CN"/>
              </w:rPr>
              <w:t>根据</w:t>
            </w:r>
            <w:r>
              <w:rPr>
                <w:rFonts w:hint="default" w:ascii="Times New Roman" w:hAnsi="Times New Roman" w:cs="Times New Roman"/>
                <w:color w:val="auto"/>
              </w:rPr>
              <w:t>《固体废物分类与代码目录》（生态环境部公告 2024年第4号）</w:t>
            </w:r>
            <w:r>
              <w:rPr>
                <w:rFonts w:hint="default" w:ascii="Times New Roman" w:hAnsi="Times New Roman" w:cs="Times New Roman"/>
                <w:color w:val="auto"/>
                <w:szCs w:val="22"/>
              </w:rPr>
              <w:t>，属于SW17，废物代码为900-005-S17</w:t>
            </w:r>
            <w:r>
              <w:rPr>
                <w:rFonts w:hint="default" w:ascii="Times New Roman" w:hAnsi="Times New Roman" w:cs="Times New Roman"/>
                <w:color w:val="auto"/>
                <w:szCs w:val="22"/>
                <w:lang w:val="en-US" w:eastAsia="zh-CN"/>
              </w:rPr>
              <w:t>，产生量为0.1t/a，收集后交由专业回收公司处理。</w:t>
            </w:r>
          </w:p>
          <w:p w14:paraId="0356E2F0">
            <w:pPr>
              <w:bidi w:val="0"/>
              <w:ind w:left="480" w:leftChars="200" w:firstLine="0" w:firstLineChars="0"/>
              <w:rPr>
                <w:rFonts w:hint="default" w:ascii="Times New Roman" w:hAnsi="Times New Roman" w:cs="Times New Roman"/>
                <w:b/>
                <w:bCs/>
                <w:color w:val="auto"/>
                <w:szCs w:val="22"/>
                <w:lang w:val="en-US" w:eastAsia="zh-CN"/>
              </w:rPr>
            </w:pPr>
            <w:r>
              <w:rPr>
                <w:rFonts w:hint="default" w:ascii="Times New Roman" w:hAnsi="Times New Roman" w:cs="Times New Roman"/>
                <w:b/>
                <w:bCs/>
                <w:color w:val="auto"/>
                <w:szCs w:val="22"/>
                <w:lang w:val="en-US" w:eastAsia="zh-CN"/>
              </w:rPr>
              <w:t>④废模具</w:t>
            </w:r>
          </w:p>
          <w:p w14:paraId="22A09DC1">
            <w:pPr>
              <w:bidi w:val="0"/>
              <w:ind w:firstLine="480" w:firstLineChars="200"/>
              <w:rPr>
                <w:rFonts w:hint="default" w:ascii="Times New Roman" w:hAnsi="Times New Roman" w:cs="Times New Roman"/>
                <w:color w:val="auto"/>
                <w:szCs w:val="22"/>
                <w:lang w:val="en-US" w:eastAsia="zh-CN"/>
              </w:rPr>
            </w:pPr>
            <w:r>
              <w:rPr>
                <w:rFonts w:hint="default" w:ascii="Times New Roman" w:hAnsi="Times New Roman" w:cs="Times New Roman"/>
                <w:color w:val="auto"/>
              </w:rPr>
              <w:t>项目模具制作过程会有一部分损坏或报废的废模具，属于一般固体废物，</w:t>
            </w:r>
            <w:r>
              <w:rPr>
                <w:rFonts w:hint="default" w:ascii="Times New Roman" w:hAnsi="Times New Roman" w:cs="Times New Roman"/>
                <w:color w:val="auto"/>
                <w:szCs w:val="22"/>
              </w:rPr>
              <w:t>根据</w:t>
            </w:r>
            <w:r>
              <w:rPr>
                <w:rFonts w:hint="default" w:ascii="Times New Roman" w:hAnsi="Times New Roman" w:cs="Times New Roman"/>
                <w:color w:val="auto"/>
              </w:rPr>
              <w:t>《固体废物分类与代码目录》（生态环境部公告 2024年第4号）</w:t>
            </w:r>
            <w:r>
              <w:rPr>
                <w:rFonts w:hint="default" w:ascii="Times New Roman" w:hAnsi="Times New Roman" w:cs="Times New Roman"/>
                <w:color w:val="auto"/>
                <w:szCs w:val="22"/>
              </w:rPr>
              <w:t>，属于SW17可再生类废物 非特定行业 废钢铁。工业生产活动中产生的以钢铁为主要成分的边角料、残次品，以及报废机动车、报废机械设备拆解产生的以钢铁为主要成分的零部件等。废物代码为900-001-S17，产生量为</w:t>
            </w:r>
            <w:r>
              <w:rPr>
                <w:rFonts w:hint="default" w:ascii="Times New Roman" w:hAnsi="Times New Roman" w:cs="Times New Roman"/>
                <w:color w:val="auto"/>
                <w:szCs w:val="22"/>
                <w:lang w:val="en-US" w:eastAsia="zh-CN"/>
              </w:rPr>
              <w:t>0.1</w:t>
            </w:r>
            <w:r>
              <w:rPr>
                <w:rFonts w:hint="default" w:ascii="Times New Roman" w:hAnsi="Times New Roman" w:cs="Times New Roman"/>
                <w:color w:val="auto"/>
                <w:szCs w:val="22"/>
              </w:rPr>
              <w:t>t/a，收集后交由专业回收公司处理。</w:t>
            </w:r>
          </w:p>
          <w:p w14:paraId="0EEB25A6">
            <w:pPr>
              <w:ind w:firstLine="482" w:firstLineChars="200"/>
              <w:rPr>
                <w:rFonts w:hint="default" w:ascii="Times New Roman" w:hAnsi="Times New Roman" w:cs="Times New Roman"/>
                <w:b/>
                <w:bCs/>
                <w:color w:val="auto"/>
                <w:szCs w:val="20"/>
              </w:rPr>
            </w:pPr>
            <w:r>
              <w:rPr>
                <w:rFonts w:hint="default" w:ascii="Times New Roman" w:hAnsi="Times New Roman" w:cs="Times New Roman"/>
                <w:b/>
                <w:bCs/>
                <w:color w:val="auto"/>
                <w:szCs w:val="20"/>
              </w:rPr>
              <w:t>2）危险废物</w:t>
            </w:r>
          </w:p>
          <w:p w14:paraId="3C37FEB4">
            <w:pPr>
              <w:wordWrap/>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0"/>
              </w:rPr>
              <w:t>①</w:t>
            </w:r>
            <w:r>
              <w:rPr>
                <w:rFonts w:hint="default" w:ascii="Times New Roman" w:hAnsi="Times New Roman" w:cs="Times New Roman"/>
                <w:b/>
                <w:bCs/>
                <w:color w:val="auto"/>
                <w:szCs w:val="22"/>
              </w:rPr>
              <w:t>废原料桶</w:t>
            </w:r>
          </w:p>
          <w:p w14:paraId="302A2146">
            <w:pPr>
              <w:wordWrap/>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项目生产过程中使用的液体原辅材料为</w:t>
            </w:r>
            <w:r>
              <w:rPr>
                <w:rFonts w:hint="default" w:ascii="Times New Roman" w:hAnsi="Times New Roman" w:cs="Times New Roman"/>
                <w:color w:val="auto"/>
                <w:sz w:val="24"/>
                <w:szCs w:val="24"/>
                <w:lang w:val="en-US" w:eastAsia="zh-CN"/>
              </w:rPr>
              <w:t>水性漆、硫化剂、水性油墨、液态胶、火花油及润滑油</w:t>
            </w:r>
            <w:r>
              <w:rPr>
                <w:rFonts w:hint="default" w:ascii="Times New Roman" w:hAnsi="Times New Roman" w:cs="Times New Roman"/>
                <w:color w:val="auto"/>
                <w:sz w:val="24"/>
                <w:szCs w:val="24"/>
              </w:rPr>
              <w:t>等，来料时的包装形式为桶装，使用过程中会产生废包装桶，内壁粘附有少量</w:t>
            </w:r>
            <w:r>
              <w:rPr>
                <w:rFonts w:hint="default" w:ascii="Times New Roman" w:hAnsi="Times New Roman" w:cs="Times New Roman"/>
                <w:color w:val="auto"/>
                <w:sz w:val="24"/>
                <w:szCs w:val="24"/>
                <w:lang w:val="en-US" w:eastAsia="zh-CN"/>
              </w:rPr>
              <w:t>液体</w:t>
            </w:r>
            <w:r>
              <w:rPr>
                <w:rFonts w:hint="default" w:ascii="Times New Roman" w:hAnsi="Times New Roman" w:cs="Times New Roman"/>
                <w:color w:val="auto"/>
                <w:sz w:val="24"/>
                <w:szCs w:val="24"/>
              </w:rPr>
              <w:t>，因此作为危险废物，收集后交由有资质的单位回收处理。根据《国家危险废物名录》（2021年版），废物类别为HW49 其他废物，废物代码为900-041-49（含有或沾染毒性、感染性危险废物的废弃包装物、容器、过滤吸附介质），产生量为0.0</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t/a。</w:t>
            </w:r>
          </w:p>
          <w:p w14:paraId="2C13AE27">
            <w:pPr>
              <w:wordWrap/>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②废</w:t>
            </w:r>
            <w:r>
              <w:rPr>
                <w:rFonts w:hint="default" w:ascii="Times New Roman" w:hAnsi="Times New Roman" w:cs="Times New Roman"/>
                <w:b/>
                <w:bCs/>
                <w:color w:val="auto"/>
                <w:szCs w:val="22"/>
                <w:lang w:val="en-US" w:eastAsia="zh-CN"/>
              </w:rPr>
              <w:t>矿物</w:t>
            </w:r>
            <w:r>
              <w:rPr>
                <w:rFonts w:hint="default" w:ascii="Times New Roman" w:hAnsi="Times New Roman" w:cs="Times New Roman"/>
                <w:b/>
                <w:bCs/>
                <w:color w:val="auto"/>
                <w:szCs w:val="22"/>
              </w:rPr>
              <w:t>油</w:t>
            </w:r>
          </w:p>
          <w:p w14:paraId="2A308899">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项目生产设备日常维护保养过程中会产生一定量的废润滑油，</w:t>
            </w:r>
            <w:r>
              <w:rPr>
                <w:rFonts w:hint="default" w:ascii="Times New Roman" w:hAnsi="Times New Roman" w:cs="Times New Roman"/>
                <w:color w:val="auto"/>
                <w:szCs w:val="22"/>
                <w:lang w:val="en-US" w:eastAsia="zh-CN"/>
              </w:rPr>
              <w:t>以及电火花加工过程会产生一定量的废火花油，</w:t>
            </w:r>
            <w:r>
              <w:rPr>
                <w:rFonts w:hint="default" w:ascii="Times New Roman" w:hAnsi="Times New Roman" w:cs="Times New Roman"/>
                <w:color w:val="auto"/>
                <w:szCs w:val="22"/>
              </w:rPr>
              <w:t>产生量约0.</w:t>
            </w:r>
            <w:r>
              <w:rPr>
                <w:rFonts w:hint="default" w:ascii="Times New Roman" w:hAnsi="Times New Roman" w:cs="Times New Roman"/>
                <w:color w:val="auto"/>
                <w:szCs w:val="22"/>
                <w:lang w:val="en-US" w:eastAsia="zh-CN"/>
              </w:rPr>
              <w:t>05</w:t>
            </w:r>
            <w:r>
              <w:rPr>
                <w:rFonts w:hint="default" w:ascii="Times New Roman" w:hAnsi="Times New Roman" w:cs="Times New Roman"/>
                <w:color w:val="auto"/>
                <w:szCs w:val="22"/>
              </w:rPr>
              <w:t>t/a。根据《国家危险废物名录（2021年版）》，废机油属于HW08 废矿物油与含矿物油废物，危废代码为900-249-08 其他生产、销售、使用过程中产生的废矿物油及沾染矿物油的废弃包装物，收集后交由有资质的单位回收处理。</w:t>
            </w:r>
          </w:p>
          <w:p w14:paraId="2543AB98">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0"/>
              </w:rPr>
              <w:t>③</w:t>
            </w:r>
            <w:r>
              <w:rPr>
                <w:rFonts w:hint="default" w:ascii="Times New Roman" w:hAnsi="Times New Roman" w:cs="Times New Roman"/>
                <w:b/>
                <w:bCs/>
                <w:color w:val="auto"/>
                <w:szCs w:val="22"/>
              </w:rPr>
              <w:t>废抹布及废手套</w:t>
            </w:r>
          </w:p>
          <w:p w14:paraId="16436F5F">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项目生产设备需定期使用抹布擦拭清洁，员工工作时会戴上手套，因此废抹布及废手套上会沾染润滑油等有害物质，</w:t>
            </w:r>
            <w:r>
              <w:rPr>
                <w:rFonts w:hint="default" w:ascii="Times New Roman" w:hAnsi="Times New Roman" w:cs="Times New Roman"/>
                <w:color w:val="auto"/>
                <w:szCs w:val="22"/>
                <w:lang w:val="en-US" w:eastAsia="zh-CN"/>
              </w:rPr>
              <w:t>除此之外，员工定期戴上手套使用抹布对喷漆机的喷枪进行擦拭清洁，会沾染水性漆等有害物质，废抹布及废手套</w:t>
            </w:r>
            <w:r>
              <w:rPr>
                <w:rFonts w:hint="default" w:ascii="Times New Roman" w:hAnsi="Times New Roman" w:cs="Times New Roman"/>
                <w:color w:val="auto"/>
                <w:szCs w:val="22"/>
              </w:rPr>
              <w:t>产生量约为0.0</w:t>
            </w:r>
            <w:r>
              <w:rPr>
                <w:rFonts w:hint="default" w:ascii="Times New Roman" w:hAnsi="Times New Roman" w:cs="Times New Roman"/>
                <w:color w:val="auto"/>
                <w:szCs w:val="22"/>
                <w:lang w:val="en-US" w:eastAsia="zh-CN"/>
              </w:rPr>
              <w:t>1</w:t>
            </w:r>
            <w:r>
              <w:rPr>
                <w:rFonts w:hint="default" w:ascii="Times New Roman" w:hAnsi="Times New Roman" w:cs="Times New Roman"/>
                <w:color w:val="auto"/>
                <w:szCs w:val="22"/>
              </w:rPr>
              <w:t>t/a。根据《国家危险废物名录（2021年版）》，废抹布及废手套属于HW49 其他废物，危废代码为900-041-49 含有或沾染毒性、感染性危险废物的废弃包装物、容器、过滤吸附介质，收集后交由有资质的单位处理。</w:t>
            </w:r>
          </w:p>
          <w:p w14:paraId="6801B474">
            <w:pPr>
              <w:wordWrap/>
              <w:ind w:firstLine="482" w:firstLineChars="200"/>
              <w:rPr>
                <w:rFonts w:hint="default" w:ascii="Times New Roman" w:hAnsi="Times New Roman" w:eastAsia="宋体" w:cs="Times New Roman"/>
                <w:b/>
                <w:bCs/>
                <w:color w:val="auto"/>
                <w:szCs w:val="22"/>
                <w:lang w:eastAsia="zh-CN"/>
              </w:rPr>
            </w:pPr>
            <w:bookmarkStart w:id="29" w:name="水帘柜漆渣"/>
            <w:r>
              <w:rPr>
                <w:rFonts w:hint="default" w:ascii="Times New Roman" w:hAnsi="Times New Roman" w:cs="Times New Roman"/>
                <w:b/>
                <w:bCs/>
                <w:color w:val="auto"/>
                <w:szCs w:val="22"/>
              </w:rPr>
              <w:t>④</w:t>
            </w:r>
            <w:r>
              <w:rPr>
                <w:rFonts w:hint="default" w:ascii="Times New Roman" w:hAnsi="Times New Roman" w:cs="Times New Roman"/>
                <w:b/>
                <w:bCs/>
                <w:color w:val="auto"/>
                <w:szCs w:val="22"/>
                <w:lang w:eastAsia="zh-CN"/>
              </w:rPr>
              <w:t>漆渣</w:t>
            </w:r>
          </w:p>
          <w:bookmarkEnd w:id="29"/>
          <w:p w14:paraId="5EE8C578">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项目水帘柜</w:t>
            </w:r>
            <w:r>
              <w:rPr>
                <w:rFonts w:hint="default" w:ascii="Times New Roman" w:hAnsi="Times New Roman" w:cs="Times New Roman"/>
                <w:color w:val="auto"/>
                <w:szCs w:val="22"/>
                <w:lang w:val="en-US" w:eastAsia="zh-CN"/>
              </w:rPr>
              <w:t>和喷淋塔</w:t>
            </w:r>
            <w:r>
              <w:rPr>
                <w:rFonts w:hint="default" w:ascii="Times New Roman" w:hAnsi="Times New Roman" w:cs="Times New Roman"/>
                <w:color w:val="auto"/>
                <w:szCs w:val="22"/>
              </w:rPr>
              <w:t>需定期打捞底部沉积的</w:t>
            </w:r>
            <w:r>
              <w:rPr>
                <w:rFonts w:hint="default" w:ascii="Times New Roman" w:hAnsi="Times New Roman" w:cs="Times New Roman"/>
                <w:color w:val="auto"/>
                <w:szCs w:val="22"/>
                <w:lang w:eastAsia="zh-CN"/>
              </w:rPr>
              <w:t>漆渣</w:t>
            </w:r>
            <w:r>
              <w:rPr>
                <w:rFonts w:hint="default" w:ascii="Times New Roman" w:hAnsi="Times New Roman" w:cs="Times New Roman"/>
                <w:color w:val="auto"/>
                <w:szCs w:val="22"/>
              </w:rPr>
              <w:t>，根据前文分析，水帘柜</w:t>
            </w:r>
            <w:r>
              <w:rPr>
                <w:rFonts w:hint="default" w:ascii="Times New Roman" w:hAnsi="Times New Roman" w:cs="Times New Roman"/>
                <w:color w:val="auto"/>
                <w:szCs w:val="22"/>
                <w:lang w:val="en-US" w:eastAsia="zh-CN"/>
              </w:rPr>
              <w:t>和喷淋塔</w:t>
            </w:r>
            <w:r>
              <w:rPr>
                <w:rFonts w:hint="default" w:ascii="Times New Roman" w:hAnsi="Times New Roman" w:cs="Times New Roman"/>
                <w:color w:val="auto"/>
                <w:szCs w:val="22"/>
              </w:rPr>
              <w:t>收集到的</w:t>
            </w:r>
            <w:r>
              <w:rPr>
                <w:rFonts w:hint="default" w:ascii="Times New Roman" w:hAnsi="Times New Roman" w:cs="Times New Roman"/>
                <w:color w:val="auto"/>
                <w:szCs w:val="22"/>
                <w:lang w:val="en-US" w:eastAsia="zh-CN"/>
              </w:rPr>
              <w:t>颗粒物</w:t>
            </w:r>
            <w:r>
              <w:rPr>
                <w:rFonts w:hint="default" w:ascii="Times New Roman" w:hAnsi="Times New Roman" w:cs="Times New Roman"/>
                <w:color w:val="auto"/>
                <w:szCs w:val="22"/>
              </w:rPr>
              <w:t>量为</w:t>
            </w:r>
            <w:r>
              <w:rPr>
                <w:rFonts w:hint="default" w:ascii="Times New Roman" w:hAnsi="Times New Roman" w:cs="Times New Roman"/>
                <w:color w:val="auto"/>
                <w:szCs w:val="22"/>
                <w:lang w:val="en-US" w:eastAsia="zh-CN"/>
              </w:rPr>
              <w:t>0.435</w:t>
            </w:r>
            <w:r>
              <w:rPr>
                <w:rFonts w:hint="default" w:ascii="Times New Roman" w:hAnsi="Times New Roman" w:cs="Times New Roman"/>
                <w:color w:val="auto"/>
                <w:szCs w:val="22"/>
              </w:rPr>
              <w:t>t/a，</w:t>
            </w:r>
            <w:r>
              <w:rPr>
                <w:rFonts w:hint="default" w:ascii="Times New Roman" w:hAnsi="Times New Roman" w:cs="Times New Roman"/>
                <w:color w:val="auto"/>
                <w:szCs w:val="22"/>
                <w:lang w:eastAsia="zh-CN"/>
              </w:rPr>
              <w:t>漆渣</w:t>
            </w:r>
            <w:r>
              <w:rPr>
                <w:rFonts w:hint="default" w:ascii="Times New Roman" w:hAnsi="Times New Roman" w:cs="Times New Roman"/>
                <w:color w:val="auto"/>
                <w:szCs w:val="22"/>
              </w:rPr>
              <w:t>含水率按</w:t>
            </w:r>
            <w:r>
              <w:rPr>
                <w:rFonts w:hint="default" w:ascii="Times New Roman" w:hAnsi="Times New Roman" w:cs="Times New Roman"/>
                <w:color w:val="auto"/>
                <w:szCs w:val="22"/>
                <w:lang w:val="en-US" w:eastAsia="zh-CN"/>
              </w:rPr>
              <w:t>颗粒物</w:t>
            </w:r>
            <w:r>
              <w:rPr>
                <w:rFonts w:hint="default" w:ascii="Times New Roman" w:hAnsi="Times New Roman" w:cs="Times New Roman"/>
                <w:color w:val="auto"/>
                <w:szCs w:val="22"/>
              </w:rPr>
              <w:t>的80%计算，则</w:t>
            </w:r>
            <w:r>
              <w:rPr>
                <w:rFonts w:hint="default" w:ascii="Times New Roman" w:hAnsi="Times New Roman" w:cs="Times New Roman"/>
                <w:color w:val="auto"/>
                <w:szCs w:val="22"/>
                <w:lang w:eastAsia="zh-CN"/>
              </w:rPr>
              <w:t>漆渣</w:t>
            </w:r>
            <w:r>
              <w:rPr>
                <w:rFonts w:hint="default" w:ascii="Times New Roman" w:hAnsi="Times New Roman" w:cs="Times New Roman"/>
                <w:color w:val="auto"/>
                <w:szCs w:val="22"/>
              </w:rPr>
              <w:t>产生量为</w:t>
            </w:r>
            <w:r>
              <w:rPr>
                <w:rFonts w:hint="default" w:ascii="Times New Roman" w:hAnsi="Times New Roman" w:cs="Times New Roman"/>
                <w:color w:val="auto"/>
                <w:szCs w:val="22"/>
                <w:lang w:val="en-US" w:eastAsia="zh-CN"/>
              </w:rPr>
              <w:t>0.348t</w:t>
            </w:r>
            <w:r>
              <w:rPr>
                <w:rFonts w:hint="default" w:ascii="Times New Roman" w:hAnsi="Times New Roman" w:cs="Times New Roman"/>
                <w:color w:val="auto"/>
                <w:szCs w:val="22"/>
              </w:rPr>
              <w:t>/a，属于危险废物。</w:t>
            </w:r>
            <w:r>
              <w:rPr>
                <w:rFonts w:hint="default" w:ascii="Times New Roman" w:hAnsi="Times New Roman" w:cs="Times New Roman"/>
                <w:color w:val="auto"/>
                <w:szCs w:val="20"/>
              </w:rPr>
              <w:t>根据《国家危险废物名录》（2021年版），废物类别为</w:t>
            </w:r>
            <w:r>
              <w:rPr>
                <w:rFonts w:hint="default" w:ascii="Times New Roman" w:hAnsi="Times New Roman" w:cs="Times New Roman"/>
                <w:color w:val="auto"/>
                <w:szCs w:val="22"/>
              </w:rPr>
              <w:t>HW49 其他废物，危废代码为900-041-49 含有或沾染毒性、感染性危险废物的废弃包装物、容器、过滤吸附介质</w:t>
            </w:r>
            <w:r>
              <w:rPr>
                <w:rFonts w:hint="default" w:ascii="Times New Roman" w:hAnsi="Times New Roman" w:cs="Times New Roman"/>
                <w:color w:val="auto"/>
                <w:szCs w:val="20"/>
              </w:rPr>
              <w:t>，收集后交由有资质的单位处理。</w:t>
            </w:r>
          </w:p>
          <w:p w14:paraId="46CB6357">
            <w:pPr>
              <w:wordWrap/>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⑤</w:t>
            </w:r>
            <w:r>
              <w:rPr>
                <w:rFonts w:hint="default" w:ascii="Times New Roman" w:hAnsi="Times New Roman" w:cs="Times New Roman"/>
                <w:b/>
                <w:bCs/>
                <w:color w:val="auto"/>
                <w:szCs w:val="22"/>
                <w:lang w:val="en-US" w:eastAsia="zh-CN"/>
              </w:rPr>
              <w:t>喷淋</w:t>
            </w:r>
            <w:r>
              <w:rPr>
                <w:rFonts w:hint="default" w:ascii="Times New Roman" w:hAnsi="Times New Roman" w:cs="Times New Roman"/>
                <w:b/>
                <w:bCs/>
                <w:color w:val="auto"/>
                <w:szCs w:val="22"/>
              </w:rPr>
              <w:t>废水</w:t>
            </w:r>
          </w:p>
          <w:p w14:paraId="22357A82">
            <w:pPr>
              <w:wordWrap/>
              <w:ind w:firstLine="480" w:firstLineChars="200"/>
              <w:rPr>
                <w:rFonts w:hint="default" w:ascii="Times New Roman" w:hAnsi="Times New Roman" w:cs="Times New Roman"/>
                <w:color w:val="auto"/>
                <w:szCs w:val="20"/>
              </w:rPr>
            </w:pPr>
            <w:r>
              <w:rPr>
                <w:rFonts w:hint="default" w:ascii="Times New Roman" w:hAnsi="Times New Roman" w:cs="Times New Roman"/>
                <w:color w:val="auto"/>
                <w:szCs w:val="22"/>
              </w:rPr>
              <w:t>根据前文分析，</w:t>
            </w:r>
            <w:r>
              <w:rPr>
                <w:rFonts w:hint="default" w:ascii="Times New Roman" w:hAnsi="Times New Roman" w:cs="Times New Roman"/>
                <w:color w:val="auto"/>
                <w:szCs w:val="22"/>
                <w:lang w:val="en-US" w:eastAsia="zh-CN"/>
              </w:rPr>
              <w:t>喷淋</w:t>
            </w:r>
            <w:r>
              <w:rPr>
                <w:rFonts w:hint="default" w:ascii="Times New Roman" w:hAnsi="Times New Roman" w:cs="Times New Roman"/>
                <w:color w:val="auto"/>
                <w:szCs w:val="22"/>
              </w:rPr>
              <w:t>废水</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lang w:val="en-US" w:eastAsia="zh-CN"/>
              </w:rPr>
              <w:t>包括水喷淋废水和水帘柜废水</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rPr>
              <w:t>产生量共</w:t>
            </w:r>
            <w:r>
              <w:rPr>
                <w:rFonts w:hint="default" w:ascii="Times New Roman" w:hAnsi="Times New Roman" w:cs="Times New Roman"/>
                <w:color w:val="auto"/>
                <w:szCs w:val="22"/>
                <w:lang w:val="en-US" w:eastAsia="zh-CN"/>
              </w:rPr>
              <w:t>34</w:t>
            </w:r>
            <w:r>
              <w:rPr>
                <w:rFonts w:hint="default" w:ascii="Times New Roman" w:hAnsi="Times New Roman" w:cs="Times New Roman"/>
                <w:color w:val="auto"/>
                <w:szCs w:val="22"/>
              </w:rPr>
              <w:t>t/a，属于危险废物。</w:t>
            </w:r>
            <w:r>
              <w:rPr>
                <w:rFonts w:hint="default" w:ascii="Times New Roman" w:hAnsi="Times New Roman" w:cs="Times New Roman"/>
                <w:color w:val="auto"/>
                <w:szCs w:val="20"/>
              </w:rPr>
              <w:t>根据《国家危险废物名录》（2021年版），废物类别为</w:t>
            </w:r>
            <w:r>
              <w:rPr>
                <w:rFonts w:hint="default" w:ascii="Times New Roman" w:hAnsi="Times New Roman" w:cs="Times New Roman"/>
                <w:color w:val="auto"/>
                <w:szCs w:val="22"/>
              </w:rPr>
              <w:t>HW49 其他废物，危废代码为900-041-49 含有或沾染毒性、感染性危险废物的废弃包装物、容器、过滤吸附介质</w:t>
            </w:r>
            <w:r>
              <w:rPr>
                <w:rFonts w:hint="default" w:ascii="Times New Roman" w:hAnsi="Times New Roman" w:cs="Times New Roman"/>
                <w:color w:val="auto"/>
                <w:szCs w:val="20"/>
              </w:rPr>
              <w:t>，收集后交由有资质的单位处理。</w:t>
            </w:r>
          </w:p>
          <w:p w14:paraId="56EF34E3">
            <w:pPr>
              <w:bidi w:val="0"/>
              <w:ind w:firstLine="482" w:firstLineChars="200"/>
              <w:rPr>
                <w:rFonts w:hint="default" w:ascii="Times New Roman" w:hAnsi="Times New Roman" w:eastAsia="宋体" w:cs="Times New Roman"/>
                <w:b/>
                <w:bCs/>
                <w:color w:val="auto"/>
                <w:szCs w:val="22"/>
                <w:lang w:val="en-US" w:eastAsia="zh-CN"/>
              </w:rPr>
            </w:pPr>
            <w:bookmarkStart w:id="30" w:name="⑥废活性炭"/>
            <w:r>
              <w:rPr>
                <w:rFonts w:hint="default" w:ascii="Times New Roman" w:hAnsi="Times New Roman" w:eastAsia="宋体" w:cs="Times New Roman"/>
                <w:b/>
                <w:bCs/>
                <w:color w:val="auto"/>
                <w:szCs w:val="22"/>
              </w:rPr>
              <w:t>⑥</w:t>
            </w:r>
            <w:r>
              <w:rPr>
                <w:rFonts w:hint="default" w:ascii="Times New Roman" w:hAnsi="Times New Roman" w:cs="Times New Roman"/>
                <w:b/>
                <w:bCs/>
                <w:color w:val="auto"/>
                <w:szCs w:val="22"/>
                <w:lang w:val="en-US" w:eastAsia="zh-CN"/>
              </w:rPr>
              <w:t>含油金属屑</w:t>
            </w:r>
          </w:p>
          <w:p w14:paraId="546A315E">
            <w:pPr>
              <w:bidi w:val="0"/>
              <w:ind w:firstLine="480" w:firstLineChars="200"/>
              <w:rPr>
                <w:rFonts w:hint="default" w:ascii="Times New Roman" w:hAnsi="Times New Roman" w:eastAsia="宋体" w:cs="Times New Roman"/>
                <w:color w:val="auto"/>
                <w:lang w:val="en-US" w:eastAsia="zh-CN"/>
              </w:rPr>
            </w:pPr>
            <w:r>
              <w:rPr>
                <w:rFonts w:hint="default" w:ascii="Times New Roman" w:hAnsi="Times New Roman" w:cs="Times New Roman"/>
                <w:color w:val="auto"/>
                <w:szCs w:val="20"/>
                <w:lang w:val="en-US" w:eastAsia="zh-CN"/>
              </w:rPr>
              <w:t>项目在CNC电脑锣切削过程中使用切削液进行冷却和润滑，切削过程会产生沾有切削液的金属屑，产生量约为0.06t/a，属于危险废物。</w:t>
            </w:r>
            <w:r>
              <w:rPr>
                <w:rFonts w:hint="default" w:ascii="Times New Roman" w:hAnsi="Times New Roman" w:cs="Times New Roman"/>
                <w:color w:val="auto"/>
                <w:lang w:val="en-US" w:eastAsia="zh-CN"/>
              </w:rPr>
              <w:t>根据</w:t>
            </w:r>
            <w:r>
              <w:rPr>
                <w:rFonts w:hint="default" w:ascii="Times New Roman" w:hAnsi="Times New Roman" w:cs="Times New Roman"/>
                <w:color w:val="auto"/>
              </w:rPr>
              <w:t>《国家危险废物名录》（2021年版），</w:t>
            </w:r>
            <w:r>
              <w:rPr>
                <w:rFonts w:hint="default" w:ascii="Times New Roman" w:hAnsi="Times New Roman" w:cs="Times New Roman"/>
                <w:color w:val="auto"/>
                <w:lang w:val="en-US" w:eastAsia="zh-CN"/>
              </w:rPr>
              <w:t>含油金属屑废物类别为HW09</w:t>
            </w:r>
            <w:r>
              <w:rPr>
                <w:rFonts w:hint="default" w:ascii="Times New Roman" w:hAnsi="Times New Roman" w:cs="Times New Roman"/>
                <w:color w:val="auto"/>
                <w:szCs w:val="20"/>
                <w:lang w:val="en-US" w:eastAsia="zh-CN"/>
              </w:rPr>
              <w:t>油/水、烃/水混合物或乳化液，废物代码为900-006-09（使用切削油或切削液进行机械加工过程中产生的油/水、烃/水混合物或乳化液），收集后交由有资质的单位处理。</w:t>
            </w:r>
          </w:p>
          <w:p w14:paraId="002E515A">
            <w:pPr>
              <w:keepNext w:val="0"/>
              <w:keepLines w:val="0"/>
              <w:numPr>
                <w:ilvl w:val="0"/>
                <w:numId w:val="0"/>
              </w:numPr>
              <w:suppressLineNumbers w:val="0"/>
              <w:wordWrap/>
              <w:bidi w:val="0"/>
              <w:spacing w:before="0" w:beforeAutospacing="0" w:after="0" w:afterAutospacing="0"/>
              <w:ind w:left="0" w:right="0" w:firstLine="482" w:firstLineChars="200"/>
              <w:rPr>
                <w:rFonts w:hint="default" w:ascii="Times New Roman" w:hAnsi="Times New Roman" w:eastAsia="宋体" w:cs="Times New Roman"/>
                <w:b/>
                <w:bCs/>
                <w:color w:val="auto"/>
                <w:szCs w:val="22"/>
                <w:lang w:val="en-US" w:eastAsia="zh-CN"/>
              </w:rPr>
            </w:pPr>
            <w:r>
              <w:rPr>
                <w:rFonts w:hint="default" w:ascii="Times New Roman" w:hAnsi="Times New Roman" w:eastAsia="宋体" w:cs="Times New Roman"/>
                <w:b/>
                <w:bCs/>
                <w:color w:val="auto"/>
                <w:szCs w:val="22"/>
              </w:rPr>
              <w:t>⑦</w:t>
            </w:r>
            <w:r>
              <w:rPr>
                <w:rFonts w:hint="default" w:ascii="Times New Roman" w:hAnsi="Times New Roman" w:eastAsia="宋体" w:cs="Times New Roman"/>
                <w:b/>
                <w:bCs/>
                <w:color w:val="auto"/>
                <w:szCs w:val="22"/>
                <w:lang w:val="en-US" w:eastAsia="zh-CN"/>
              </w:rPr>
              <w:t>废切削液</w:t>
            </w:r>
          </w:p>
          <w:p w14:paraId="0E189B1F">
            <w:pPr>
              <w:keepNext w:val="0"/>
              <w:keepLines w:val="0"/>
              <w:numPr>
                <w:ilvl w:val="0"/>
                <w:numId w:val="0"/>
              </w:numPr>
              <w:suppressLineNumbers w:val="0"/>
              <w:wordWrap/>
              <w:bidi w:val="0"/>
              <w:spacing w:before="0" w:beforeAutospacing="0" w:after="0" w:afterAutospacing="0"/>
              <w:ind w:left="0" w:right="0" w:firstLine="480" w:firstLineChars="200"/>
              <w:rPr>
                <w:rFonts w:hint="default" w:ascii="Times New Roman" w:hAnsi="Times New Roman" w:eastAsia="宋体" w:cs="Times New Roman"/>
                <w:b w:val="0"/>
                <w:bCs w:val="0"/>
                <w:color w:val="auto"/>
                <w:szCs w:val="22"/>
                <w:lang w:val="en-US" w:eastAsia="zh-CN"/>
              </w:rPr>
            </w:pPr>
            <w:r>
              <w:rPr>
                <w:rFonts w:hint="default" w:ascii="Times New Roman" w:hAnsi="Times New Roman" w:cs="Times New Roman"/>
                <w:color w:val="auto"/>
                <w:szCs w:val="20"/>
                <w:lang w:val="en-US" w:eastAsia="zh-CN"/>
              </w:rPr>
              <w:t>项目在切削过程中使用切削液进行冷却和润滑，</w:t>
            </w:r>
            <w:r>
              <w:rPr>
                <w:rFonts w:hint="default" w:ascii="Times New Roman" w:hAnsi="Times New Roman" w:eastAsia="宋体" w:cs="Times New Roman"/>
                <w:b w:val="0"/>
                <w:bCs w:val="0"/>
                <w:color w:val="auto"/>
                <w:szCs w:val="22"/>
                <w:lang w:val="en-US" w:eastAsia="zh-CN"/>
              </w:rPr>
              <w:t>产生量</w:t>
            </w:r>
            <w:r>
              <w:rPr>
                <w:rFonts w:hint="default" w:ascii="Times New Roman" w:hAnsi="Times New Roman" w:cs="Times New Roman"/>
                <w:b w:val="0"/>
                <w:bCs w:val="0"/>
                <w:color w:val="auto"/>
                <w:szCs w:val="22"/>
                <w:lang w:val="en-US" w:eastAsia="zh-CN"/>
              </w:rPr>
              <w:t>约0.05</w:t>
            </w:r>
            <w:r>
              <w:rPr>
                <w:rFonts w:hint="default" w:ascii="Times New Roman" w:hAnsi="Times New Roman" w:eastAsia="宋体" w:cs="Times New Roman"/>
                <w:b w:val="0"/>
                <w:bCs w:val="0"/>
                <w:color w:val="auto"/>
                <w:szCs w:val="22"/>
                <w:lang w:val="en-US" w:eastAsia="zh-CN"/>
              </w:rPr>
              <w:t>t/a，属于危险废物。</w:t>
            </w:r>
            <w:r>
              <w:rPr>
                <w:rFonts w:hint="default" w:ascii="Times New Roman" w:hAnsi="Times New Roman" w:cs="Times New Roman"/>
                <w:color w:val="auto"/>
                <w:lang w:val="en-US" w:eastAsia="zh-CN"/>
              </w:rPr>
              <w:t>根据</w:t>
            </w:r>
            <w:r>
              <w:rPr>
                <w:rFonts w:hint="default" w:ascii="Times New Roman" w:hAnsi="Times New Roman" w:cs="Times New Roman"/>
                <w:color w:val="auto"/>
                <w:szCs w:val="20"/>
              </w:rPr>
              <w:t>《国家危险废物名录》（2021年版），</w:t>
            </w:r>
            <w:r>
              <w:rPr>
                <w:rFonts w:hint="default" w:ascii="Times New Roman" w:hAnsi="Times New Roman" w:cs="Times New Roman"/>
                <w:color w:val="auto"/>
                <w:szCs w:val="20"/>
                <w:lang w:val="en-US" w:eastAsia="zh-CN"/>
              </w:rPr>
              <w:t>废物类别为HW09 油/水、烃/水混合物或乳化液，废物代码为900-006-09（使用切削油或切削液进行机械加工过程中产生的油/水、烃/水混合物或乳化液），收集后交由有资质的单位处理。</w:t>
            </w:r>
          </w:p>
          <w:p w14:paraId="771025F9">
            <w:pPr>
              <w:wordWrap/>
              <w:ind w:firstLine="482" w:firstLineChars="200"/>
              <w:rPr>
                <w:rFonts w:hint="default" w:ascii="Times New Roman" w:hAnsi="Times New Roman" w:cs="Times New Roman"/>
                <w:b/>
                <w:bCs/>
                <w:color w:val="auto"/>
                <w:szCs w:val="22"/>
              </w:rPr>
            </w:pPr>
            <w:r>
              <w:rPr>
                <w:rFonts w:hint="default" w:ascii="Times New Roman" w:hAnsi="Times New Roman" w:eastAsia="宋体" w:cs="Times New Roman"/>
                <w:b/>
                <w:bCs/>
                <w:color w:val="auto"/>
                <w:szCs w:val="22"/>
              </w:rPr>
              <w:t>⑧</w:t>
            </w:r>
            <w:r>
              <w:rPr>
                <w:rFonts w:hint="default" w:ascii="Times New Roman" w:hAnsi="Times New Roman" w:cs="Times New Roman"/>
                <w:b/>
                <w:bCs/>
                <w:color w:val="auto"/>
                <w:szCs w:val="22"/>
              </w:rPr>
              <w:t>废活性炭</w:t>
            </w:r>
          </w:p>
          <w:bookmarkEnd w:id="30"/>
          <w:p w14:paraId="0C9815D9">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lang w:val="en-US" w:eastAsia="zh-CN"/>
              </w:rPr>
              <w:t>项目喷漆工序废气经水帘柜预处理后与烘烤、移印、密炼、硫化等工序废气收集至“水喷淋+干式过滤+二级活性炭吸附”装置处理后引至排气筒DA001排放，注塑、液态成型工序废气经集气罩收集至“水喷淋+干式过滤+二级活性炭吸附”装置处理后引至排气筒DA002排放，</w:t>
            </w:r>
            <w:r>
              <w:rPr>
                <w:rFonts w:hint="default" w:ascii="Times New Roman" w:hAnsi="Times New Roman" w:cs="Times New Roman"/>
                <w:color w:val="auto"/>
                <w:szCs w:val="22"/>
              </w:rPr>
              <w:t>活性炭吸附装置处理过程会产生一定量的废活性炭。根据《国家危险废物名录》（2021版），废活性炭属于废物类别：HW49 其他废物，废物代码为900-039-49（烟气、VOCs治理过程（不包括餐饮行业油烟治理过程）产生的废活性炭，化学原料和化学制品脱色（不包括有机合成食品添加剂脱色）、除杂、净化过程产生的废活性炭（不包括900-405-06、772-005-18、261-053-29、265-002-29、384-003-29、387-001-29类废物）。废活性炭产生量根据以下公式进行计算。</w:t>
            </w:r>
          </w:p>
          <w:p w14:paraId="2D86F574">
            <w:pPr>
              <w:wordWrap/>
              <w:jc w:val="center"/>
              <w:rPr>
                <w:rFonts w:hint="default" w:ascii="Times New Roman" w:hAnsi="Times New Roman" w:cs="Times New Roman"/>
                <w:color w:val="auto"/>
                <w:szCs w:val="22"/>
              </w:rPr>
            </w:pPr>
            <w:r>
              <w:rPr>
                <w:rFonts w:hint="default" w:ascii="Times New Roman" w:hAnsi="Times New Roman" w:cs="Times New Roman"/>
                <w:color w:val="auto"/>
                <w:szCs w:val="22"/>
              </w:rPr>
              <w:t>T=mS×10</w:t>
            </w:r>
            <w:r>
              <w:rPr>
                <w:rFonts w:hint="default" w:ascii="Times New Roman" w:hAnsi="Times New Roman" w:cs="Times New Roman"/>
                <w:color w:val="auto"/>
                <w:szCs w:val="22"/>
                <w:vertAlign w:val="superscript"/>
              </w:rPr>
              <w:t>6</w:t>
            </w:r>
            <w:r>
              <w:rPr>
                <w:rFonts w:hint="default" w:ascii="Times New Roman" w:hAnsi="Times New Roman" w:cs="Times New Roman"/>
                <w:color w:val="auto"/>
                <w:szCs w:val="22"/>
              </w:rPr>
              <w:t>/QtC</w:t>
            </w:r>
          </w:p>
          <w:p w14:paraId="665ADACD">
            <w:pPr>
              <w:autoSpaceDE w:val="0"/>
              <w:autoSpaceDN w:val="0"/>
              <w:rPr>
                <w:rFonts w:hint="default" w:ascii="Times New Roman" w:hAnsi="Times New Roman" w:cs="Times New Roman"/>
                <w:color w:val="auto"/>
                <w:szCs w:val="22"/>
              </w:rPr>
            </w:pPr>
            <w:r>
              <w:rPr>
                <w:rFonts w:hint="default" w:ascii="Times New Roman" w:hAnsi="Times New Roman" w:cs="Times New Roman"/>
                <w:color w:val="auto"/>
                <w:szCs w:val="22"/>
              </w:rPr>
              <w:t>其中：T——活性炭使用天数，天；</w:t>
            </w:r>
          </w:p>
          <w:p w14:paraId="03EFEB95">
            <w:pPr>
              <w:ind w:firstLine="720" w:firstLineChars="300"/>
              <w:rPr>
                <w:rFonts w:hint="default" w:ascii="Times New Roman" w:hAnsi="Times New Roman" w:cs="Times New Roman"/>
                <w:color w:val="auto"/>
                <w:szCs w:val="22"/>
              </w:rPr>
            </w:pPr>
            <w:r>
              <w:rPr>
                <w:rFonts w:hint="default" w:ascii="Times New Roman" w:hAnsi="Times New Roman" w:cs="Times New Roman"/>
                <w:color w:val="auto"/>
                <w:szCs w:val="22"/>
              </w:rPr>
              <w:t>m——活性炭填充量，kg；</w:t>
            </w:r>
          </w:p>
          <w:p w14:paraId="263AFB07">
            <w:pPr>
              <w:autoSpaceDE w:val="0"/>
              <w:autoSpaceDN w:val="0"/>
              <w:ind w:firstLine="720" w:firstLineChars="300"/>
              <w:rPr>
                <w:rFonts w:hint="default" w:ascii="Times New Roman" w:hAnsi="Times New Roman" w:cs="Times New Roman"/>
                <w:color w:val="auto"/>
                <w:szCs w:val="22"/>
              </w:rPr>
            </w:pPr>
            <w:r>
              <w:rPr>
                <w:rFonts w:hint="default" w:ascii="Times New Roman" w:hAnsi="Times New Roman" w:cs="Times New Roman"/>
                <w:color w:val="auto"/>
                <w:szCs w:val="22"/>
              </w:rPr>
              <w:t>S——平衡保持量，%，项目取30%；</w:t>
            </w:r>
          </w:p>
          <w:p w14:paraId="08D572FB">
            <w:pPr>
              <w:ind w:firstLine="720" w:firstLineChars="300"/>
              <w:rPr>
                <w:rFonts w:hint="default" w:ascii="Times New Roman" w:hAnsi="Times New Roman" w:cs="Times New Roman"/>
                <w:color w:val="auto"/>
              </w:rPr>
            </w:pPr>
            <w:r>
              <w:rPr>
                <w:rFonts w:hint="default" w:ascii="Times New Roman" w:hAnsi="Times New Roman" w:cs="Times New Roman"/>
                <w:color w:val="auto"/>
              </w:rPr>
              <w:t>Q——活性炭吸附装置风量，m</w:t>
            </w:r>
            <w:r>
              <w:rPr>
                <w:rFonts w:hint="default" w:ascii="Times New Roman" w:hAnsi="Times New Roman" w:cs="Times New Roman"/>
                <w:color w:val="auto"/>
                <w:vertAlign w:val="superscript"/>
              </w:rPr>
              <w:t>3</w:t>
            </w:r>
            <w:r>
              <w:rPr>
                <w:rFonts w:hint="default" w:ascii="Times New Roman" w:hAnsi="Times New Roman" w:cs="Times New Roman"/>
                <w:color w:val="auto"/>
              </w:rPr>
              <w:t>/h；</w:t>
            </w:r>
          </w:p>
          <w:p w14:paraId="188268E4">
            <w:pPr>
              <w:ind w:firstLine="720" w:firstLineChars="300"/>
              <w:rPr>
                <w:rFonts w:hint="default" w:ascii="Times New Roman" w:hAnsi="Times New Roman" w:cs="Times New Roman"/>
                <w:color w:val="auto"/>
                <w:szCs w:val="22"/>
              </w:rPr>
            </w:pPr>
            <w:r>
              <w:rPr>
                <w:rFonts w:hint="default" w:ascii="Times New Roman" w:hAnsi="Times New Roman" w:cs="Times New Roman"/>
                <w:color w:val="auto"/>
                <w:szCs w:val="22"/>
              </w:rPr>
              <w:t>t——活性炭吸附装置工作时间，h/d，</w:t>
            </w:r>
            <w:r>
              <w:rPr>
                <w:rFonts w:hint="default" w:ascii="Times New Roman" w:hAnsi="Times New Roman" w:cs="Times New Roman"/>
                <w:color w:val="auto"/>
                <w:szCs w:val="22"/>
                <w:lang w:val="en-US" w:eastAsia="zh-CN"/>
              </w:rPr>
              <w:t>排气筒DA001二级活性炭吸附装置每周使用一次，一次使用16小时，排气筒DA002二级活性炭吸附装置每天使用8小时</w:t>
            </w:r>
            <w:r>
              <w:rPr>
                <w:rFonts w:hint="default" w:ascii="Times New Roman" w:hAnsi="Times New Roman" w:cs="Times New Roman"/>
                <w:color w:val="auto"/>
                <w:szCs w:val="22"/>
              </w:rPr>
              <w:t>；</w:t>
            </w:r>
          </w:p>
          <w:p w14:paraId="2FAAA48F">
            <w:pPr>
              <w:ind w:firstLine="720" w:firstLineChars="300"/>
              <w:rPr>
                <w:rFonts w:hint="default" w:ascii="Times New Roman" w:hAnsi="Times New Roman" w:cs="Times New Roman"/>
                <w:color w:val="auto"/>
                <w:szCs w:val="22"/>
              </w:rPr>
            </w:pPr>
            <w:r>
              <w:rPr>
                <w:rFonts w:hint="default" w:ascii="Times New Roman" w:hAnsi="Times New Roman" w:cs="Times New Roman"/>
                <w:color w:val="auto"/>
                <w:szCs w:val="22"/>
              </w:rPr>
              <w:t>C——废气削减浓度，mg/m</w:t>
            </w:r>
            <w:r>
              <w:rPr>
                <w:rFonts w:hint="default" w:ascii="Times New Roman" w:hAnsi="Times New Roman" w:cs="Times New Roman"/>
                <w:color w:val="auto"/>
                <w:szCs w:val="22"/>
                <w:vertAlign w:val="superscript"/>
              </w:rPr>
              <w:t>3</w:t>
            </w:r>
            <w:r>
              <w:rPr>
                <w:rFonts w:hint="default" w:ascii="Times New Roman" w:hAnsi="Times New Roman" w:cs="Times New Roman"/>
                <w:color w:val="auto"/>
                <w:szCs w:val="22"/>
              </w:rPr>
              <w:t>。</w:t>
            </w:r>
          </w:p>
          <w:p w14:paraId="2640AA0F">
            <w:pPr>
              <w:spacing w:line="240" w:lineRule="auto"/>
              <w:jc w:val="center"/>
              <w:rPr>
                <w:rFonts w:hint="default" w:ascii="Times New Roman" w:hAnsi="Times New Roman" w:cs="Times New Roman"/>
                <w:b/>
                <w:color w:val="auto"/>
                <w:kern w:val="0"/>
                <w:szCs w:val="22"/>
              </w:rPr>
            </w:pPr>
            <w:r>
              <w:rPr>
                <w:rFonts w:hint="default" w:ascii="Times New Roman" w:hAnsi="Times New Roman" w:cs="Times New Roman"/>
                <w:b/>
                <w:color w:val="auto"/>
                <w:kern w:val="0"/>
                <w:szCs w:val="22"/>
              </w:rPr>
              <w:t>表</w:t>
            </w:r>
            <w:r>
              <w:rPr>
                <w:rFonts w:hint="default" w:ascii="Times New Roman" w:hAnsi="Times New Roman" w:cs="Times New Roman"/>
                <w:b/>
                <w:color w:val="auto"/>
                <w:kern w:val="0"/>
                <w:szCs w:val="22"/>
                <w:lang w:val="en-US" w:eastAsia="zh-CN"/>
              </w:rPr>
              <w:t>4-23</w:t>
            </w:r>
            <w:r>
              <w:rPr>
                <w:rFonts w:hint="default" w:ascii="Times New Roman" w:hAnsi="Times New Roman" w:cs="Times New Roman"/>
                <w:b/>
                <w:color w:val="auto"/>
                <w:kern w:val="0"/>
                <w:szCs w:val="22"/>
              </w:rPr>
              <w:t>项目</w:t>
            </w:r>
            <w:bookmarkStart w:id="31" w:name="废活性炭产生量"/>
            <w:r>
              <w:rPr>
                <w:rFonts w:hint="default" w:ascii="Times New Roman" w:hAnsi="Times New Roman" w:cs="Times New Roman"/>
                <w:b/>
                <w:color w:val="auto"/>
                <w:kern w:val="0"/>
                <w:szCs w:val="22"/>
              </w:rPr>
              <w:t>废活性炭产生量</w:t>
            </w:r>
            <w:bookmarkEnd w:id="31"/>
            <w:r>
              <w:rPr>
                <w:rFonts w:hint="default" w:ascii="Times New Roman" w:hAnsi="Times New Roman" w:cs="Times New Roman"/>
                <w:b/>
                <w:color w:val="auto"/>
                <w:kern w:val="0"/>
                <w:szCs w:val="22"/>
              </w:rPr>
              <w:t>核算情况一览表</w:t>
            </w:r>
          </w:p>
          <w:tbl>
            <w:tblPr>
              <w:tblStyle w:val="23"/>
              <w:tblW w:w="8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246"/>
              <w:gridCol w:w="1246"/>
              <w:gridCol w:w="1246"/>
              <w:gridCol w:w="1246"/>
              <w:gridCol w:w="1277"/>
              <w:gridCol w:w="1216"/>
            </w:tblGrid>
            <w:tr w14:paraId="3F52F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959" w:type="dxa"/>
                  <w:vAlign w:val="center"/>
                </w:tcPr>
                <w:p w14:paraId="14772087">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排气筒</w:t>
                  </w:r>
                </w:p>
              </w:tc>
              <w:tc>
                <w:tcPr>
                  <w:tcW w:w="1246" w:type="dxa"/>
                  <w:vAlign w:val="center"/>
                </w:tcPr>
                <w:p w14:paraId="5E332604">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活性炭填料量（kg）</w:t>
                  </w:r>
                </w:p>
              </w:tc>
              <w:tc>
                <w:tcPr>
                  <w:tcW w:w="1246" w:type="dxa"/>
                  <w:vAlign w:val="center"/>
                </w:tcPr>
                <w:p w14:paraId="4935FA7B">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活性炭吸附装置风量（m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/h）</w:t>
                  </w:r>
                </w:p>
              </w:tc>
              <w:tc>
                <w:tcPr>
                  <w:tcW w:w="1246" w:type="dxa"/>
                  <w:vAlign w:val="center"/>
                </w:tcPr>
                <w:p w14:paraId="56A44842">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废气处理前浓度（mg/m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1246" w:type="dxa"/>
                  <w:vAlign w:val="center"/>
                </w:tcPr>
                <w:p w14:paraId="318921DC">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废气处理后浓度（mg/m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1277" w:type="dxa"/>
                  <w:vAlign w:val="center"/>
                </w:tcPr>
                <w:p w14:paraId="7798089B">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废气削减浓度（mg/m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1216" w:type="dxa"/>
                  <w:vAlign w:val="center"/>
                </w:tcPr>
                <w:p w14:paraId="1586F2E2">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活性炭使用天数</w:t>
                  </w:r>
                </w:p>
              </w:tc>
            </w:tr>
            <w:tr w14:paraId="0B92E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959" w:type="dxa"/>
                  <w:vAlign w:val="center"/>
                </w:tcPr>
                <w:p w14:paraId="6D74035E">
                  <w:pPr>
                    <w:adjustRightInd w:val="0"/>
                    <w:snapToGrid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DA001</w:t>
                  </w:r>
                </w:p>
              </w:tc>
              <w:tc>
                <w:tcPr>
                  <w:tcW w:w="1246" w:type="dxa"/>
                  <w:vAlign w:val="center"/>
                </w:tcPr>
                <w:p w14:paraId="357BA0B4">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680</w:t>
                  </w:r>
                </w:p>
              </w:tc>
              <w:tc>
                <w:tcPr>
                  <w:tcW w:w="1246" w:type="dxa"/>
                  <w:vAlign w:val="center"/>
                </w:tcPr>
                <w:p w14:paraId="7745B67C">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16500</w:t>
                  </w:r>
                </w:p>
              </w:tc>
              <w:tc>
                <w:tcPr>
                  <w:tcW w:w="1246" w:type="dxa"/>
                  <w:vAlign w:val="center"/>
                </w:tcPr>
                <w:p w14:paraId="04C383A8">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4.135</w:t>
                  </w:r>
                </w:p>
              </w:tc>
              <w:tc>
                <w:tcPr>
                  <w:tcW w:w="1246" w:type="dxa"/>
                  <w:vAlign w:val="center"/>
                </w:tcPr>
                <w:p w14:paraId="15223525">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1.218</w:t>
                  </w:r>
                </w:p>
              </w:tc>
              <w:tc>
                <w:tcPr>
                  <w:tcW w:w="1277" w:type="dxa"/>
                  <w:vAlign w:val="center"/>
                </w:tcPr>
                <w:p w14:paraId="74F578B6">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2.917</w:t>
                  </w:r>
                </w:p>
              </w:tc>
              <w:tc>
                <w:tcPr>
                  <w:tcW w:w="1216" w:type="dxa"/>
                  <w:vAlign w:val="center"/>
                </w:tcPr>
                <w:p w14:paraId="4AD6F204">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265</w:t>
                  </w:r>
                </w:p>
              </w:tc>
            </w:tr>
            <w:tr w14:paraId="735B7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959" w:type="dxa"/>
                  <w:vAlign w:val="center"/>
                </w:tcPr>
                <w:p w14:paraId="42E7FF7E">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DA002</w:t>
                  </w:r>
                </w:p>
              </w:tc>
              <w:tc>
                <w:tcPr>
                  <w:tcW w:w="1246" w:type="dxa"/>
                  <w:vAlign w:val="center"/>
                </w:tcPr>
                <w:p w14:paraId="079AA405">
                  <w:pPr>
                    <w:adjustRightInd w:val="0"/>
                    <w:snapToGrid w:val="0"/>
                    <w:spacing w:line="240" w:lineRule="auto"/>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1111</w:t>
                  </w:r>
                </w:p>
              </w:tc>
              <w:tc>
                <w:tcPr>
                  <w:tcW w:w="1246" w:type="dxa"/>
                  <w:vAlign w:val="center"/>
                </w:tcPr>
                <w:p w14:paraId="3B1FCA7E">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32400</w:t>
                  </w:r>
                </w:p>
              </w:tc>
              <w:tc>
                <w:tcPr>
                  <w:tcW w:w="1246" w:type="dxa"/>
                  <w:vAlign w:val="center"/>
                </w:tcPr>
                <w:p w14:paraId="3FE2748F">
                  <w:pPr>
                    <w:adjustRightInd w:val="0"/>
                    <w:snapToGrid w:val="0"/>
                    <w:spacing w:line="240" w:lineRule="auto"/>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3.877</w:t>
                  </w:r>
                </w:p>
              </w:tc>
              <w:tc>
                <w:tcPr>
                  <w:tcW w:w="1246" w:type="dxa"/>
                  <w:vAlign w:val="center"/>
                </w:tcPr>
                <w:p w14:paraId="521ADB3A">
                  <w:pPr>
                    <w:adjustRightInd w:val="0"/>
                    <w:snapToGrid w:val="0"/>
                    <w:spacing w:line="240" w:lineRule="auto"/>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0.969</w:t>
                  </w:r>
                </w:p>
              </w:tc>
              <w:tc>
                <w:tcPr>
                  <w:tcW w:w="1277" w:type="dxa"/>
                  <w:vAlign w:val="center"/>
                </w:tcPr>
                <w:p w14:paraId="75AB4D5C">
                  <w:pPr>
                    <w:adjustRightInd w:val="0"/>
                    <w:snapToGrid w:val="0"/>
                    <w:spacing w:line="240" w:lineRule="auto"/>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2.908</w:t>
                  </w:r>
                </w:p>
              </w:tc>
              <w:tc>
                <w:tcPr>
                  <w:tcW w:w="1216" w:type="dxa"/>
                  <w:vAlign w:val="center"/>
                </w:tcPr>
                <w:p w14:paraId="5473FCCD">
                  <w:pPr>
                    <w:adjustRightInd w:val="0"/>
                    <w:snapToGrid w:val="0"/>
                    <w:spacing w:line="240" w:lineRule="auto"/>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221</w:t>
                  </w:r>
                </w:p>
              </w:tc>
            </w:tr>
          </w:tbl>
          <w:p w14:paraId="24BB32F9">
            <w:pPr>
              <w:wordWrap/>
              <w:ind w:firstLine="480" w:firstLineChars="200"/>
              <w:rPr>
                <w:rFonts w:hint="default" w:ascii="Times New Roman" w:hAnsi="Times New Roman" w:cs="Times New Roman"/>
                <w:color w:val="auto"/>
              </w:rPr>
            </w:pPr>
            <w:r>
              <w:rPr>
                <w:rFonts w:hint="default" w:ascii="Times New Roman" w:hAnsi="Times New Roman" w:cs="Times New Roman"/>
                <w:color w:val="auto"/>
              </w:rPr>
              <w:t>活性炭使用天数分别为</w:t>
            </w:r>
            <w:r>
              <w:rPr>
                <w:rFonts w:hint="default" w:ascii="Times New Roman" w:hAnsi="Times New Roman" w:cs="Times New Roman"/>
                <w:color w:val="auto"/>
                <w:lang w:val="en-US" w:eastAsia="zh-CN"/>
              </w:rPr>
              <w:t>265</w:t>
            </w:r>
            <w:r>
              <w:rPr>
                <w:rFonts w:hint="default" w:ascii="Times New Roman" w:hAnsi="Times New Roman" w:cs="Times New Roman"/>
                <w:color w:val="auto"/>
              </w:rPr>
              <w:t>天和</w:t>
            </w:r>
            <w:r>
              <w:rPr>
                <w:rFonts w:hint="default" w:ascii="Times New Roman" w:hAnsi="Times New Roman" w:cs="Times New Roman"/>
                <w:color w:val="auto"/>
                <w:lang w:val="en-US" w:eastAsia="zh-CN"/>
              </w:rPr>
              <w:t>221</w:t>
            </w:r>
            <w:r>
              <w:rPr>
                <w:rFonts w:hint="default" w:ascii="Times New Roman" w:hAnsi="Times New Roman" w:cs="Times New Roman"/>
                <w:color w:val="auto"/>
              </w:rPr>
              <w:t>天，项目年工作300天，每月工作25天，考虑活性炭吸附效果，活性炭吸附装置活性炭每3个月更换一次，每次共更换</w:t>
            </w:r>
            <w:r>
              <w:rPr>
                <w:rFonts w:hint="default" w:ascii="Times New Roman" w:hAnsi="Times New Roman" w:cs="Times New Roman"/>
                <w:color w:val="auto"/>
                <w:lang w:val="en-US" w:eastAsia="zh-CN"/>
              </w:rPr>
              <w:t>3582</w:t>
            </w:r>
            <w:r>
              <w:rPr>
                <w:rFonts w:hint="default" w:ascii="Times New Roman" w:hAnsi="Times New Roman" w:cs="Times New Roman"/>
                <w:color w:val="auto"/>
              </w:rPr>
              <w:t>kg，更换的活性炭量为</w:t>
            </w:r>
            <w:r>
              <w:rPr>
                <w:rFonts w:hint="default" w:ascii="Times New Roman" w:hAnsi="Times New Roman" w:cs="Times New Roman"/>
                <w:color w:val="auto"/>
                <w:lang w:val="en-US" w:eastAsia="zh-CN"/>
              </w:rPr>
              <w:t>14.328</w:t>
            </w:r>
            <w:r>
              <w:rPr>
                <w:rFonts w:hint="default" w:ascii="Times New Roman" w:hAnsi="Times New Roman" w:cs="Times New Roman"/>
                <w:color w:val="auto"/>
              </w:rPr>
              <w:t>t/a，吸附的有机废气量为</w:t>
            </w:r>
            <w:r>
              <w:rPr>
                <w:rFonts w:hint="default" w:ascii="Times New Roman" w:hAnsi="Times New Roman" w:cs="Times New Roman"/>
                <w:color w:val="auto"/>
                <w:lang w:val="en-US" w:eastAsia="zh-CN"/>
              </w:rPr>
              <w:t>0.7021</w:t>
            </w:r>
            <w:r>
              <w:rPr>
                <w:rFonts w:hint="default" w:ascii="Times New Roman" w:hAnsi="Times New Roman" w:cs="Times New Roman"/>
                <w:color w:val="auto"/>
              </w:rPr>
              <w:t>t/a，计算得出废活性炭产生量为</w:t>
            </w:r>
            <w:r>
              <w:rPr>
                <w:rFonts w:hint="default" w:ascii="Times New Roman" w:hAnsi="Times New Roman" w:cs="Times New Roman"/>
                <w:color w:val="auto"/>
                <w:lang w:val="en-US" w:eastAsia="zh-CN"/>
              </w:rPr>
              <w:t>15.03</w:t>
            </w:r>
            <w:r>
              <w:rPr>
                <w:rFonts w:hint="default" w:ascii="Times New Roman" w:hAnsi="Times New Roman" w:cs="Times New Roman"/>
                <w:color w:val="auto"/>
              </w:rPr>
              <w:t>t/a，约</w:t>
            </w:r>
            <w:r>
              <w:rPr>
                <w:rFonts w:hint="default" w:ascii="Times New Roman" w:hAnsi="Times New Roman" w:cs="Times New Roman"/>
                <w:color w:val="auto"/>
                <w:lang w:eastAsia="zh-CN"/>
              </w:rPr>
              <w:t>15.03</w:t>
            </w:r>
            <w:r>
              <w:rPr>
                <w:rFonts w:hint="default" w:ascii="Times New Roman" w:hAnsi="Times New Roman" w:cs="Times New Roman"/>
                <w:color w:val="auto"/>
              </w:rPr>
              <w:t>t/a，收集后定期交有危险废物资质单位处置。</w:t>
            </w:r>
          </w:p>
          <w:p w14:paraId="0D3A8784">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rPr>
              <w:t>根据《广东省工业源挥发性有机物减排量核算方法（试行）》（粤环办〔2021〕92号 附件1）表4.5-2，建议直接将“活性炭年更换量×活性炭吸附比例（蜂窝状活性炭取值20%）”作为废气处理设施VOCs削减量并进行复核，项目废气处理设施VOCs削减量为</w:t>
            </w:r>
            <w:r>
              <w:rPr>
                <w:rFonts w:hint="default" w:ascii="Times New Roman" w:hAnsi="Times New Roman" w:cs="Times New Roman"/>
                <w:color w:val="auto"/>
                <w:lang w:val="en-US" w:eastAsia="zh-CN"/>
              </w:rPr>
              <w:t>0.7021</w:t>
            </w:r>
            <w:r>
              <w:rPr>
                <w:rFonts w:hint="default" w:ascii="Times New Roman" w:hAnsi="Times New Roman" w:cs="Times New Roman"/>
                <w:color w:val="auto"/>
              </w:rPr>
              <w:t>/a，计算得出活性炭年更换量应不小于</w:t>
            </w:r>
            <w:r>
              <w:rPr>
                <w:rFonts w:hint="default" w:ascii="Times New Roman" w:hAnsi="Times New Roman" w:cs="Times New Roman"/>
                <w:color w:val="auto"/>
                <w:lang w:val="en-US" w:eastAsia="zh-CN"/>
              </w:rPr>
              <w:t>3.51</w:t>
            </w:r>
            <w:r>
              <w:rPr>
                <w:rFonts w:hint="default" w:ascii="Times New Roman" w:hAnsi="Times New Roman" w:cs="Times New Roman"/>
                <w:color w:val="auto"/>
              </w:rPr>
              <w:t>t/a，由上式计算得出年更换量为</w:t>
            </w:r>
            <w:r>
              <w:rPr>
                <w:rFonts w:hint="default" w:ascii="Times New Roman" w:hAnsi="Times New Roman" w:cs="Times New Roman"/>
                <w:color w:val="auto"/>
                <w:lang w:val="en-US" w:eastAsia="zh-CN"/>
              </w:rPr>
              <w:t>15.03</w:t>
            </w:r>
            <w:r>
              <w:rPr>
                <w:rFonts w:hint="default" w:ascii="Times New Roman" w:hAnsi="Times New Roman" w:cs="Times New Roman"/>
                <w:color w:val="auto"/>
              </w:rPr>
              <w:t>t/a，符合文件要求。</w:t>
            </w:r>
          </w:p>
          <w:p w14:paraId="7FA9E68F">
            <w:pPr>
              <w:wordWrap/>
              <w:bidi w:val="0"/>
              <w:ind w:firstLine="482" w:firstLineChars="200"/>
              <w:rPr>
                <w:rFonts w:hint="default" w:ascii="Times New Roman" w:hAnsi="Times New Roman" w:eastAsia="宋体" w:cs="Times New Roman"/>
                <w:b/>
                <w:bCs/>
                <w:color w:val="auto"/>
                <w:sz w:val="24"/>
                <w:szCs w:val="32"/>
                <w:lang w:val="en-US" w:eastAsia="zh-CN"/>
              </w:rPr>
            </w:pPr>
            <w:r>
              <w:rPr>
                <w:rFonts w:hint="default" w:ascii="Times New Roman" w:hAnsi="Times New Roman" w:eastAsia="宋体" w:cs="Times New Roman"/>
                <w:b/>
                <w:bCs/>
                <w:color w:val="auto"/>
                <w:sz w:val="24"/>
                <w:szCs w:val="32"/>
                <w:lang w:val="en-US" w:eastAsia="zh-CN"/>
              </w:rPr>
              <w:t>⑨废网版</w:t>
            </w:r>
          </w:p>
          <w:p w14:paraId="508C372C">
            <w:pPr>
              <w:wordWrap/>
              <w:bidi w:val="0"/>
              <w:ind w:firstLine="480" w:firstLineChars="200"/>
              <w:rPr>
                <w:rFonts w:hint="default" w:ascii="Times New Roman" w:hAnsi="Times New Roman" w:eastAsia="宋体" w:cs="Times New Roman"/>
                <w:color w:val="auto"/>
                <w:sz w:val="24"/>
                <w:szCs w:val="32"/>
                <w:lang w:val="en-US" w:eastAsia="zh-CN"/>
              </w:rPr>
            </w:pPr>
            <w:r>
              <w:rPr>
                <w:rFonts w:hint="default" w:ascii="Times New Roman" w:hAnsi="Times New Roman" w:eastAsia="宋体" w:cs="Times New Roman"/>
                <w:color w:val="auto"/>
                <w:sz w:val="24"/>
                <w:szCs w:val="32"/>
                <w:lang w:val="en-US" w:eastAsia="zh-CN"/>
              </w:rPr>
              <w:t>项目定期更换丝印机的网版，更换的废网版产生量为0.1t/a，沾染了水性油墨，属于危险废物，据《国家危险废物名录（2021年版）》，属于HW12 染料、涂料废物，危废代码为900-253-12使用油墨和有机溶剂进行丝网印刷过程中产生的废物，收集后定期交有危险废物资质单位处置。</w:t>
            </w:r>
          </w:p>
          <w:p w14:paraId="63DA0B47">
            <w:pPr>
              <w:bidi w:val="0"/>
              <w:ind w:firstLine="482" w:firstLineChars="20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⑩喷枪清洗废水</w:t>
            </w:r>
          </w:p>
          <w:p w14:paraId="45773072">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kern w:val="0"/>
                <w:lang w:val="en-US" w:eastAsia="zh-CN"/>
              </w:rPr>
              <w:t>根据前文分析，喷枪清洗废水产生量为0.194t/a</w:t>
            </w:r>
            <w:r>
              <w:rPr>
                <w:rFonts w:hint="default" w:ascii="Times New Roman" w:hAnsi="Times New Roman" w:cs="Times New Roman"/>
                <w:color w:val="auto"/>
                <w:kern w:val="0"/>
              </w:rPr>
              <w:t>，</w:t>
            </w:r>
            <w:r>
              <w:rPr>
                <w:rFonts w:hint="default" w:ascii="Times New Roman" w:hAnsi="Times New Roman" w:cs="Times New Roman"/>
                <w:color w:val="auto"/>
                <w:kern w:val="0"/>
                <w:lang w:val="en-US" w:eastAsia="zh-CN"/>
              </w:rPr>
              <w:t>属于危险废物，</w:t>
            </w:r>
            <w:r>
              <w:rPr>
                <w:rFonts w:hint="default" w:ascii="Times New Roman" w:hAnsi="Times New Roman" w:cs="Times New Roman"/>
                <w:color w:val="auto"/>
                <w:lang w:val="en-US" w:eastAsia="zh-CN"/>
              </w:rPr>
              <w:t>根据《国家危险废物名录（2021年版）》，属于HW09 油/水、烃/水混合物或乳化液，废物代码：900-007-09 其他工艺过程中产生的油/水、烃/水混合物或乳化液，收集后定期交有危险废物资质单位处置。</w:t>
            </w:r>
            <w:r>
              <w:rPr>
                <w:rFonts w:hint="default" w:ascii="Times New Roman" w:hAnsi="Times New Roman" w:cs="Times New Roman"/>
                <w:color w:val="auto"/>
                <w:szCs w:val="22"/>
              </w:rPr>
              <w:t>项目危险废物汇总见下表。</w:t>
            </w:r>
          </w:p>
          <w:p w14:paraId="7D6765BD">
            <w:pPr>
              <w:spacing w:line="240" w:lineRule="auto"/>
              <w:jc w:val="center"/>
              <w:rPr>
                <w:rFonts w:hint="default" w:ascii="Times New Roman" w:hAnsi="Times New Roman" w:cs="Times New Roman"/>
                <w:b/>
                <w:color w:val="auto"/>
                <w:kern w:val="0"/>
                <w:szCs w:val="22"/>
              </w:rPr>
            </w:pPr>
            <w:bookmarkStart w:id="32" w:name="项目危险废物汇总表"/>
            <w:r>
              <w:rPr>
                <w:rFonts w:hint="default" w:ascii="Times New Roman" w:hAnsi="Times New Roman" w:cs="Times New Roman"/>
                <w:b/>
                <w:color w:val="auto"/>
                <w:kern w:val="0"/>
                <w:szCs w:val="22"/>
              </w:rPr>
              <w:t>表</w:t>
            </w:r>
            <w:r>
              <w:rPr>
                <w:rFonts w:hint="default" w:ascii="Times New Roman" w:hAnsi="Times New Roman" w:cs="Times New Roman"/>
                <w:b/>
                <w:color w:val="auto"/>
                <w:kern w:val="0"/>
                <w:szCs w:val="22"/>
                <w:lang w:val="en-US" w:eastAsia="zh-CN"/>
              </w:rPr>
              <w:t>4-24</w:t>
            </w:r>
            <w:r>
              <w:rPr>
                <w:rFonts w:hint="default" w:ascii="Times New Roman" w:hAnsi="Times New Roman" w:cs="Times New Roman"/>
                <w:b/>
                <w:color w:val="auto"/>
                <w:kern w:val="0"/>
                <w:szCs w:val="22"/>
              </w:rPr>
              <w:t xml:space="preserve"> 项目</w:t>
            </w:r>
            <w:bookmarkStart w:id="33" w:name="危险废物汇总表"/>
            <w:r>
              <w:rPr>
                <w:rFonts w:hint="default" w:ascii="Times New Roman" w:hAnsi="Times New Roman" w:cs="Times New Roman"/>
                <w:b/>
                <w:color w:val="auto"/>
                <w:kern w:val="0"/>
                <w:szCs w:val="22"/>
              </w:rPr>
              <w:t>危险废物汇总表</w:t>
            </w:r>
            <w:bookmarkEnd w:id="32"/>
            <w:bookmarkEnd w:id="33"/>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
              <w:gridCol w:w="815"/>
              <w:gridCol w:w="1261"/>
              <w:gridCol w:w="697"/>
              <w:gridCol w:w="889"/>
              <w:gridCol w:w="415"/>
              <w:gridCol w:w="666"/>
              <w:gridCol w:w="681"/>
              <w:gridCol w:w="698"/>
              <w:gridCol w:w="635"/>
              <w:gridCol w:w="753"/>
            </w:tblGrid>
            <w:tr w14:paraId="6F9EF4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9" w:type="pct"/>
                  <w:vAlign w:val="center"/>
                </w:tcPr>
                <w:p w14:paraId="05668D1A">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危险废物名称</w:t>
                  </w:r>
                </w:p>
              </w:tc>
              <w:tc>
                <w:tcPr>
                  <w:tcW w:w="487" w:type="pct"/>
                  <w:vAlign w:val="center"/>
                </w:tcPr>
                <w:p w14:paraId="485A64E9">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危险废物类别</w:t>
                  </w:r>
                </w:p>
              </w:tc>
              <w:tc>
                <w:tcPr>
                  <w:tcW w:w="754" w:type="pct"/>
                  <w:vAlign w:val="center"/>
                </w:tcPr>
                <w:p w14:paraId="32779D56">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危险废物代码</w:t>
                  </w:r>
                </w:p>
              </w:tc>
              <w:tc>
                <w:tcPr>
                  <w:tcW w:w="416" w:type="pct"/>
                  <w:vAlign w:val="center"/>
                </w:tcPr>
                <w:p w14:paraId="20C28E3D">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产生量t/a</w:t>
                  </w:r>
                </w:p>
              </w:tc>
              <w:tc>
                <w:tcPr>
                  <w:tcW w:w="531" w:type="pct"/>
                  <w:vAlign w:val="center"/>
                </w:tcPr>
                <w:p w14:paraId="5CD64CF7">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产生工序及装置</w:t>
                  </w:r>
                </w:p>
              </w:tc>
              <w:tc>
                <w:tcPr>
                  <w:tcW w:w="248" w:type="pct"/>
                  <w:vAlign w:val="center"/>
                </w:tcPr>
                <w:p w14:paraId="4E351372">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形态</w:t>
                  </w:r>
                </w:p>
              </w:tc>
              <w:tc>
                <w:tcPr>
                  <w:tcW w:w="398" w:type="pct"/>
                  <w:vAlign w:val="center"/>
                </w:tcPr>
                <w:p w14:paraId="4C3A851D">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主要成分</w:t>
                  </w:r>
                </w:p>
              </w:tc>
              <w:tc>
                <w:tcPr>
                  <w:tcW w:w="407" w:type="pct"/>
                  <w:vAlign w:val="center"/>
                </w:tcPr>
                <w:p w14:paraId="54F13585">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有害成分</w:t>
                  </w:r>
                </w:p>
              </w:tc>
              <w:tc>
                <w:tcPr>
                  <w:tcW w:w="417" w:type="pct"/>
                  <w:vAlign w:val="center"/>
                </w:tcPr>
                <w:p w14:paraId="36865E41">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产废周期</w:t>
                  </w:r>
                </w:p>
              </w:tc>
              <w:tc>
                <w:tcPr>
                  <w:tcW w:w="379" w:type="pct"/>
                  <w:vAlign w:val="center"/>
                </w:tcPr>
                <w:p w14:paraId="3FB9C833">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危险特性</w:t>
                  </w:r>
                </w:p>
              </w:tc>
              <w:tc>
                <w:tcPr>
                  <w:tcW w:w="450" w:type="pct"/>
                  <w:vAlign w:val="center"/>
                </w:tcPr>
                <w:p w14:paraId="37AC9A32">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污染防治措施</w:t>
                  </w:r>
                </w:p>
              </w:tc>
            </w:tr>
            <w:tr w14:paraId="49E07D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3DB116D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w:t>
                  </w:r>
                  <w:r>
                    <w:rPr>
                      <w:rFonts w:hint="default" w:ascii="Times New Roman" w:hAnsi="Times New Roman" w:cs="Times New Roman"/>
                      <w:color w:val="auto"/>
                      <w:sz w:val="21"/>
                      <w:szCs w:val="21"/>
                    </w:rPr>
                    <w:t>油</w:t>
                  </w:r>
                </w:p>
              </w:tc>
              <w:tc>
                <w:tcPr>
                  <w:tcW w:w="487" w:type="pct"/>
                  <w:vAlign w:val="center"/>
                </w:tcPr>
                <w:p w14:paraId="4C7186D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HW08</w:t>
                  </w:r>
                </w:p>
              </w:tc>
              <w:tc>
                <w:tcPr>
                  <w:tcW w:w="754" w:type="pct"/>
                  <w:vAlign w:val="center"/>
                </w:tcPr>
                <w:p w14:paraId="55E242E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900-249-08</w:t>
                  </w:r>
                </w:p>
              </w:tc>
              <w:tc>
                <w:tcPr>
                  <w:tcW w:w="416" w:type="pct"/>
                  <w:vAlign w:val="center"/>
                </w:tcPr>
                <w:p w14:paraId="6A9E088E">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531" w:type="pct"/>
                  <w:vAlign w:val="center"/>
                </w:tcPr>
                <w:p w14:paraId="20A871EE">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设备维护、电火花</w:t>
                  </w:r>
                </w:p>
              </w:tc>
              <w:tc>
                <w:tcPr>
                  <w:tcW w:w="248" w:type="pct"/>
                  <w:vAlign w:val="center"/>
                </w:tcPr>
                <w:p w14:paraId="5DB91C27">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液态</w:t>
                  </w:r>
                </w:p>
              </w:tc>
              <w:tc>
                <w:tcPr>
                  <w:tcW w:w="398" w:type="pct"/>
                  <w:vAlign w:val="center"/>
                </w:tcPr>
                <w:p w14:paraId="53F75C5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矿物油</w:t>
                  </w:r>
                </w:p>
              </w:tc>
              <w:tc>
                <w:tcPr>
                  <w:tcW w:w="407" w:type="pct"/>
                  <w:vAlign w:val="center"/>
                </w:tcPr>
                <w:p w14:paraId="19BE6573">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矿物油</w:t>
                  </w:r>
                </w:p>
              </w:tc>
              <w:tc>
                <w:tcPr>
                  <w:tcW w:w="417" w:type="pct"/>
                  <w:vAlign w:val="center"/>
                </w:tcPr>
                <w:p w14:paraId="68A73DB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半年</w:t>
                  </w:r>
                </w:p>
              </w:tc>
              <w:tc>
                <w:tcPr>
                  <w:tcW w:w="379" w:type="pct"/>
                  <w:vAlign w:val="center"/>
                </w:tcPr>
                <w:p w14:paraId="626B0EF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T,I</w:t>
                  </w:r>
                </w:p>
              </w:tc>
              <w:tc>
                <w:tcPr>
                  <w:tcW w:w="450" w:type="pct"/>
                  <w:vMerge w:val="restart"/>
                  <w:vAlign w:val="center"/>
                </w:tcPr>
                <w:p w14:paraId="5D5D849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放置于危废暂存间，经收集后交有资质的单位处理处置</w:t>
                  </w:r>
                </w:p>
              </w:tc>
            </w:tr>
            <w:tr w14:paraId="1BE59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26F7CEC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废原料桶</w:t>
                  </w:r>
                </w:p>
              </w:tc>
              <w:tc>
                <w:tcPr>
                  <w:tcW w:w="487" w:type="pct"/>
                  <w:vAlign w:val="center"/>
                </w:tcPr>
                <w:p w14:paraId="3DF3CF3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w:t>
                  </w:r>
                </w:p>
              </w:tc>
              <w:tc>
                <w:tcPr>
                  <w:tcW w:w="754" w:type="pct"/>
                  <w:vAlign w:val="center"/>
                </w:tcPr>
                <w:p w14:paraId="3DE3F5D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416" w:type="pct"/>
                  <w:vAlign w:val="center"/>
                </w:tcPr>
                <w:p w14:paraId="20A986EC">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531" w:type="pct"/>
                  <w:vAlign w:val="center"/>
                </w:tcPr>
                <w:p w14:paraId="36F67715">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248" w:type="pct"/>
                  <w:vAlign w:val="center"/>
                </w:tcPr>
                <w:p w14:paraId="7FA72CE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398" w:type="pct"/>
                  <w:vAlign w:val="center"/>
                </w:tcPr>
                <w:p w14:paraId="505329DC">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07" w:type="pct"/>
                  <w:vAlign w:val="center"/>
                </w:tcPr>
                <w:p w14:paraId="0AE83CE4">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17" w:type="pct"/>
                  <w:vAlign w:val="center"/>
                </w:tcPr>
                <w:p w14:paraId="0AC3251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1个月</w:t>
                  </w:r>
                </w:p>
              </w:tc>
              <w:tc>
                <w:tcPr>
                  <w:tcW w:w="379" w:type="pct"/>
                  <w:vAlign w:val="center"/>
                </w:tcPr>
                <w:p w14:paraId="2AACA3E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450" w:type="pct"/>
                  <w:vMerge w:val="continue"/>
                  <w:vAlign w:val="center"/>
                </w:tcPr>
                <w:p w14:paraId="4E6F6D64">
                  <w:pPr>
                    <w:autoSpaceDE w:val="0"/>
                    <w:autoSpaceDN w:val="0"/>
                    <w:spacing w:line="240" w:lineRule="auto"/>
                    <w:jc w:val="center"/>
                    <w:rPr>
                      <w:rFonts w:hint="default" w:ascii="Times New Roman" w:hAnsi="Times New Roman" w:cs="Times New Roman"/>
                      <w:color w:val="auto"/>
                      <w:sz w:val="21"/>
                      <w:szCs w:val="21"/>
                    </w:rPr>
                  </w:pPr>
                </w:p>
              </w:tc>
            </w:tr>
            <w:tr w14:paraId="5F20B1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0BE90045">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废抹布及废手套</w:t>
                  </w:r>
                </w:p>
              </w:tc>
              <w:tc>
                <w:tcPr>
                  <w:tcW w:w="487" w:type="pct"/>
                  <w:vAlign w:val="center"/>
                </w:tcPr>
                <w:p w14:paraId="21025EC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w:t>
                  </w:r>
                </w:p>
              </w:tc>
              <w:tc>
                <w:tcPr>
                  <w:tcW w:w="754" w:type="pct"/>
                  <w:vAlign w:val="center"/>
                </w:tcPr>
                <w:p w14:paraId="31ED67B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416" w:type="pct"/>
                  <w:vAlign w:val="center"/>
                </w:tcPr>
                <w:p w14:paraId="69C4CB60">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1</w:t>
                  </w:r>
                </w:p>
              </w:tc>
              <w:tc>
                <w:tcPr>
                  <w:tcW w:w="531" w:type="pct"/>
                  <w:vAlign w:val="center"/>
                </w:tcPr>
                <w:p w14:paraId="5722966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248" w:type="pct"/>
                  <w:vAlign w:val="center"/>
                </w:tcPr>
                <w:p w14:paraId="71C13233">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398" w:type="pct"/>
                  <w:vAlign w:val="center"/>
                </w:tcPr>
                <w:p w14:paraId="5849B4A8">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矿物油</w:t>
                  </w:r>
                </w:p>
              </w:tc>
              <w:tc>
                <w:tcPr>
                  <w:tcW w:w="407" w:type="pct"/>
                  <w:vAlign w:val="center"/>
                </w:tcPr>
                <w:p w14:paraId="68CE24D2">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矿物油</w:t>
                  </w:r>
                </w:p>
              </w:tc>
              <w:tc>
                <w:tcPr>
                  <w:tcW w:w="417" w:type="pct"/>
                  <w:vAlign w:val="center"/>
                </w:tcPr>
                <w:p w14:paraId="4C3F535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1个月</w:t>
                  </w:r>
                </w:p>
              </w:tc>
              <w:tc>
                <w:tcPr>
                  <w:tcW w:w="379" w:type="pct"/>
                  <w:vAlign w:val="center"/>
                </w:tcPr>
                <w:p w14:paraId="37D46EF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450" w:type="pct"/>
                  <w:vMerge w:val="continue"/>
                  <w:vAlign w:val="center"/>
                </w:tcPr>
                <w:p w14:paraId="06478E72">
                  <w:pPr>
                    <w:autoSpaceDE w:val="0"/>
                    <w:autoSpaceDN w:val="0"/>
                    <w:spacing w:line="240" w:lineRule="auto"/>
                    <w:jc w:val="center"/>
                    <w:rPr>
                      <w:rFonts w:hint="default" w:ascii="Times New Roman" w:hAnsi="Times New Roman" w:cs="Times New Roman"/>
                      <w:color w:val="auto"/>
                      <w:sz w:val="21"/>
                      <w:szCs w:val="21"/>
                    </w:rPr>
                  </w:pPr>
                </w:p>
              </w:tc>
            </w:tr>
            <w:tr w14:paraId="3718C5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632487A3">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漆渣</w:t>
                  </w:r>
                </w:p>
              </w:tc>
              <w:tc>
                <w:tcPr>
                  <w:tcW w:w="487" w:type="pct"/>
                  <w:vAlign w:val="center"/>
                </w:tcPr>
                <w:p w14:paraId="7E075EA5">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w:t>
                  </w:r>
                </w:p>
              </w:tc>
              <w:tc>
                <w:tcPr>
                  <w:tcW w:w="754" w:type="pct"/>
                  <w:vAlign w:val="center"/>
                </w:tcPr>
                <w:p w14:paraId="3543781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416" w:type="pct"/>
                  <w:vAlign w:val="center"/>
                </w:tcPr>
                <w:p w14:paraId="0018E521">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0.348</w:t>
                  </w:r>
                </w:p>
              </w:tc>
              <w:tc>
                <w:tcPr>
                  <w:tcW w:w="531" w:type="pct"/>
                  <w:vAlign w:val="center"/>
                </w:tcPr>
                <w:p w14:paraId="37AB6D5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水帘柜</w:t>
                  </w:r>
                </w:p>
              </w:tc>
              <w:tc>
                <w:tcPr>
                  <w:tcW w:w="248" w:type="pct"/>
                  <w:vAlign w:val="center"/>
                </w:tcPr>
                <w:p w14:paraId="6B33BE80">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398" w:type="pct"/>
                  <w:vAlign w:val="center"/>
                </w:tcPr>
                <w:p w14:paraId="791D0C67">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07" w:type="pct"/>
                  <w:vAlign w:val="center"/>
                </w:tcPr>
                <w:p w14:paraId="3FC79E79">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17" w:type="pct"/>
                  <w:vAlign w:val="center"/>
                </w:tcPr>
                <w:p w14:paraId="69D4A83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3个月</w:t>
                  </w:r>
                </w:p>
              </w:tc>
              <w:tc>
                <w:tcPr>
                  <w:tcW w:w="379" w:type="pct"/>
                  <w:vAlign w:val="center"/>
                </w:tcPr>
                <w:p w14:paraId="497C6DD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450" w:type="pct"/>
                  <w:vMerge w:val="continue"/>
                  <w:vAlign w:val="center"/>
                </w:tcPr>
                <w:p w14:paraId="500D4C04">
                  <w:pPr>
                    <w:autoSpaceDE w:val="0"/>
                    <w:autoSpaceDN w:val="0"/>
                    <w:spacing w:line="240" w:lineRule="auto"/>
                    <w:jc w:val="center"/>
                    <w:rPr>
                      <w:rFonts w:hint="default" w:ascii="Times New Roman" w:hAnsi="Times New Roman" w:cs="Times New Roman"/>
                      <w:color w:val="auto"/>
                      <w:sz w:val="21"/>
                      <w:szCs w:val="21"/>
                    </w:rPr>
                  </w:pPr>
                </w:p>
              </w:tc>
            </w:tr>
            <w:tr w14:paraId="51F546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1E364F43">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喷淋废水</w:t>
                  </w:r>
                </w:p>
              </w:tc>
              <w:tc>
                <w:tcPr>
                  <w:tcW w:w="487" w:type="pct"/>
                  <w:vAlign w:val="center"/>
                </w:tcPr>
                <w:p w14:paraId="443C0E4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w:t>
                  </w:r>
                </w:p>
              </w:tc>
              <w:tc>
                <w:tcPr>
                  <w:tcW w:w="754" w:type="pct"/>
                  <w:vAlign w:val="center"/>
                </w:tcPr>
                <w:p w14:paraId="171F46F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416" w:type="pct"/>
                  <w:vAlign w:val="center"/>
                </w:tcPr>
                <w:p w14:paraId="1FA2D51D">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34</w:t>
                  </w:r>
                </w:p>
              </w:tc>
              <w:tc>
                <w:tcPr>
                  <w:tcW w:w="531" w:type="pct"/>
                  <w:vAlign w:val="center"/>
                </w:tcPr>
                <w:p w14:paraId="0B29342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248" w:type="pct"/>
                  <w:vAlign w:val="center"/>
                </w:tcPr>
                <w:p w14:paraId="0B5D16F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液态</w:t>
                  </w:r>
                </w:p>
              </w:tc>
              <w:tc>
                <w:tcPr>
                  <w:tcW w:w="398" w:type="pct"/>
                  <w:vAlign w:val="center"/>
                </w:tcPr>
                <w:p w14:paraId="0519A915">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07" w:type="pct"/>
                  <w:vAlign w:val="center"/>
                </w:tcPr>
                <w:p w14:paraId="04AD5713">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17" w:type="pct"/>
                  <w:vAlign w:val="center"/>
                </w:tcPr>
                <w:p w14:paraId="7B10D6B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3个月</w:t>
                  </w:r>
                </w:p>
              </w:tc>
              <w:tc>
                <w:tcPr>
                  <w:tcW w:w="379" w:type="pct"/>
                  <w:vAlign w:val="center"/>
                </w:tcPr>
                <w:p w14:paraId="0064EE00">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450" w:type="pct"/>
                  <w:vMerge w:val="continue"/>
                  <w:vAlign w:val="center"/>
                </w:tcPr>
                <w:p w14:paraId="4F05EE12">
                  <w:pPr>
                    <w:autoSpaceDE w:val="0"/>
                    <w:autoSpaceDN w:val="0"/>
                    <w:spacing w:line="240" w:lineRule="auto"/>
                    <w:jc w:val="center"/>
                    <w:rPr>
                      <w:rFonts w:hint="default" w:ascii="Times New Roman" w:hAnsi="Times New Roman" w:cs="Times New Roman"/>
                      <w:color w:val="auto"/>
                      <w:sz w:val="21"/>
                      <w:szCs w:val="21"/>
                    </w:rPr>
                  </w:pPr>
                </w:p>
              </w:tc>
            </w:tr>
            <w:tr w14:paraId="316F25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3F8AA39E">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含油金属屑</w:t>
                  </w:r>
                </w:p>
              </w:tc>
              <w:tc>
                <w:tcPr>
                  <w:tcW w:w="487" w:type="pct"/>
                  <w:vAlign w:val="center"/>
                </w:tcPr>
                <w:p w14:paraId="75C1E93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HW09</w:t>
                  </w:r>
                </w:p>
              </w:tc>
              <w:tc>
                <w:tcPr>
                  <w:tcW w:w="754" w:type="pct"/>
                  <w:vAlign w:val="center"/>
                </w:tcPr>
                <w:p w14:paraId="6E817D05">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900-006-09</w:t>
                  </w:r>
                </w:p>
              </w:tc>
              <w:tc>
                <w:tcPr>
                  <w:tcW w:w="416" w:type="pct"/>
                  <w:vAlign w:val="center"/>
                </w:tcPr>
                <w:p w14:paraId="669A8D02">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0.06</w:t>
                  </w:r>
                </w:p>
              </w:tc>
              <w:tc>
                <w:tcPr>
                  <w:tcW w:w="531" w:type="pct"/>
                  <w:vAlign w:val="center"/>
                </w:tcPr>
                <w:p w14:paraId="5E5067B0">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CNC加工</w:t>
                  </w:r>
                </w:p>
              </w:tc>
              <w:tc>
                <w:tcPr>
                  <w:tcW w:w="248" w:type="pct"/>
                  <w:vAlign w:val="center"/>
                </w:tcPr>
                <w:p w14:paraId="0AB9EED9">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固态</w:t>
                  </w:r>
                </w:p>
              </w:tc>
              <w:tc>
                <w:tcPr>
                  <w:tcW w:w="398" w:type="pct"/>
                  <w:vAlign w:val="center"/>
                </w:tcPr>
                <w:p w14:paraId="246D5FA2">
                  <w:pPr>
                    <w:autoSpaceDE w:val="0"/>
                    <w:autoSpaceDN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切削液</w:t>
                  </w:r>
                </w:p>
              </w:tc>
              <w:tc>
                <w:tcPr>
                  <w:tcW w:w="407" w:type="pct"/>
                  <w:vAlign w:val="center"/>
                </w:tcPr>
                <w:p w14:paraId="2CE422B7">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切削液</w:t>
                  </w:r>
                </w:p>
              </w:tc>
              <w:tc>
                <w:tcPr>
                  <w:tcW w:w="417" w:type="pct"/>
                  <w:vAlign w:val="center"/>
                </w:tcPr>
                <w:p w14:paraId="578A953B">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1个月</w:t>
                  </w:r>
                </w:p>
              </w:tc>
              <w:tc>
                <w:tcPr>
                  <w:tcW w:w="379" w:type="pct"/>
                  <w:vAlign w:val="center"/>
                </w:tcPr>
                <w:p w14:paraId="16F44D2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T,I</w:t>
                  </w:r>
                </w:p>
              </w:tc>
              <w:tc>
                <w:tcPr>
                  <w:tcW w:w="450" w:type="pct"/>
                  <w:vMerge w:val="continue"/>
                  <w:vAlign w:val="center"/>
                </w:tcPr>
                <w:p w14:paraId="0D6D4D59">
                  <w:pPr>
                    <w:autoSpaceDE w:val="0"/>
                    <w:autoSpaceDN w:val="0"/>
                    <w:spacing w:line="240" w:lineRule="auto"/>
                    <w:jc w:val="center"/>
                    <w:rPr>
                      <w:rFonts w:hint="default" w:ascii="Times New Roman" w:hAnsi="Times New Roman" w:cs="Times New Roman"/>
                      <w:color w:val="auto"/>
                      <w:sz w:val="21"/>
                      <w:szCs w:val="21"/>
                    </w:rPr>
                  </w:pPr>
                </w:p>
              </w:tc>
            </w:tr>
            <w:tr w14:paraId="4EB47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5DF38681">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废切削液</w:t>
                  </w:r>
                </w:p>
              </w:tc>
              <w:tc>
                <w:tcPr>
                  <w:tcW w:w="487" w:type="pct"/>
                  <w:vAlign w:val="center"/>
                </w:tcPr>
                <w:p w14:paraId="5C281822">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HW09</w:t>
                  </w:r>
                </w:p>
              </w:tc>
              <w:tc>
                <w:tcPr>
                  <w:tcW w:w="754" w:type="pct"/>
                  <w:vAlign w:val="center"/>
                </w:tcPr>
                <w:p w14:paraId="07E19AFA">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900-006-09</w:t>
                  </w:r>
                </w:p>
              </w:tc>
              <w:tc>
                <w:tcPr>
                  <w:tcW w:w="416" w:type="pct"/>
                  <w:vAlign w:val="center"/>
                </w:tcPr>
                <w:p w14:paraId="0F8EB1B5">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0.05</w:t>
                  </w:r>
                </w:p>
              </w:tc>
              <w:tc>
                <w:tcPr>
                  <w:tcW w:w="531" w:type="pct"/>
                  <w:vAlign w:val="center"/>
                </w:tcPr>
                <w:p w14:paraId="45B8BA05">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CNC加工</w:t>
                  </w:r>
                </w:p>
              </w:tc>
              <w:tc>
                <w:tcPr>
                  <w:tcW w:w="248" w:type="pct"/>
                  <w:vAlign w:val="center"/>
                </w:tcPr>
                <w:p w14:paraId="1CF80BAA">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液态</w:t>
                  </w:r>
                </w:p>
              </w:tc>
              <w:tc>
                <w:tcPr>
                  <w:tcW w:w="398" w:type="pct"/>
                  <w:vAlign w:val="center"/>
                </w:tcPr>
                <w:p w14:paraId="24CB23BA">
                  <w:pPr>
                    <w:autoSpaceDE w:val="0"/>
                    <w:autoSpaceDN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切削液</w:t>
                  </w:r>
                </w:p>
              </w:tc>
              <w:tc>
                <w:tcPr>
                  <w:tcW w:w="407" w:type="pct"/>
                  <w:vAlign w:val="center"/>
                </w:tcPr>
                <w:p w14:paraId="0D45D353">
                  <w:pPr>
                    <w:autoSpaceDE w:val="0"/>
                    <w:autoSpaceDN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切削液</w:t>
                  </w:r>
                </w:p>
              </w:tc>
              <w:tc>
                <w:tcPr>
                  <w:tcW w:w="417" w:type="pct"/>
                  <w:vAlign w:val="center"/>
                </w:tcPr>
                <w:p w14:paraId="3FCFA4CC">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3个月</w:t>
                  </w:r>
                </w:p>
              </w:tc>
              <w:tc>
                <w:tcPr>
                  <w:tcW w:w="379" w:type="pct"/>
                  <w:vAlign w:val="center"/>
                </w:tcPr>
                <w:p w14:paraId="3C2F53B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T,I</w:t>
                  </w:r>
                </w:p>
              </w:tc>
              <w:tc>
                <w:tcPr>
                  <w:tcW w:w="450" w:type="pct"/>
                  <w:vMerge w:val="continue"/>
                  <w:vAlign w:val="center"/>
                </w:tcPr>
                <w:p w14:paraId="02D3865B">
                  <w:pPr>
                    <w:autoSpaceDE w:val="0"/>
                    <w:autoSpaceDN w:val="0"/>
                    <w:spacing w:line="240" w:lineRule="auto"/>
                    <w:jc w:val="center"/>
                    <w:rPr>
                      <w:rFonts w:hint="default" w:ascii="Times New Roman" w:hAnsi="Times New Roman" w:cs="Times New Roman"/>
                      <w:color w:val="auto"/>
                      <w:sz w:val="21"/>
                      <w:szCs w:val="21"/>
                    </w:rPr>
                  </w:pPr>
                </w:p>
              </w:tc>
            </w:tr>
            <w:tr w14:paraId="30EB7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6D694C9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487" w:type="pct"/>
                  <w:vAlign w:val="center"/>
                </w:tcPr>
                <w:p w14:paraId="38142EF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w:t>
                  </w:r>
                </w:p>
              </w:tc>
              <w:tc>
                <w:tcPr>
                  <w:tcW w:w="754" w:type="pct"/>
                  <w:vAlign w:val="center"/>
                </w:tcPr>
                <w:p w14:paraId="59653A1D">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900-039-49</w:t>
                  </w:r>
                </w:p>
              </w:tc>
              <w:tc>
                <w:tcPr>
                  <w:tcW w:w="416" w:type="pct"/>
                  <w:vAlign w:val="center"/>
                </w:tcPr>
                <w:p w14:paraId="7FF4CCE7">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15.03</w:t>
                  </w:r>
                </w:p>
              </w:tc>
              <w:tc>
                <w:tcPr>
                  <w:tcW w:w="531" w:type="pct"/>
                  <w:vAlign w:val="center"/>
                </w:tcPr>
                <w:p w14:paraId="262D5F0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活性炭吸附装置</w:t>
                  </w:r>
                </w:p>
              </w:tc>
              <w:tc>
                <w:tcPr>
                  <w:tcW w:w="248" w:type="pct"/>
                  <w:vAlign w:val="center"/>
                </w:tcPr>
                <w:p w14:paraId="009898A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398" w:type="pct"/>
                  <w:vAlign w:val="center"/>
                </w:tcPr>
                <w:p w14:paraId="5045111F">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07" w:type="pct"/>
                  <w:vAlign w:val="center"/>
                </w:tcPr>
                <w:p w14:paraId="5981282F">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17" w:type="pct"/>
                  <w:vAlign w:val="center"/>
                </w:tcPr>
                <w:p w14:paraId="2028388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3个月</w:t>
                  </w:r>
                </w:p>
              </w:tc>
              <w:tc>
                <w:tcPr>
                  <w:tcW w:w="379" w:type="pct"/>
                  <w:vAlign w:val="center"/>
                </w:tcPr>
                <w:p w14:paraId="2D6F73B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450" w:type="pct"/>
                  <w:vMerge w:val="continue"/>
                  <w:vAlign w:val="center"/>
                </w:tcPr>
                <w:p w14:paraId="48DD833D">
                  <w:pPr>
                    <w:autoSpaceDE w:val="0"/>
                    <w:autoSpaceDN w:val="0"/>
                    <w:spacing w:line="240" w:lineRule="auto"/>
                    <w:jc w:val="center"/>
                    <w:rPr>
                      <w:rFonts w:hint="default" w:ascii="Times New Roman" w:hAnsi="Times New Roman" w:cs="Times New Roman"/>
                      <w:color w:val="auto"/>
                      <w:sz w:val="21"/>
                      <w:szCs w:val="21"/>
                    </w:rPr>
                  </w:pPr>
                </w:p>
              </w:tc>
            </w:tr>
            <w:tr w14:paraId="0303CB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3EDBF383">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废网版</w:t>
                  </w:r>
                </w:p>
              </w:tc>
              <w:tc>
                <w:tcPr>
                  <w:tcW w:w="487" w:type="pct"/>
                  <w:vAlign w:val="center"/>
                </w:tcPr>
                <w:p w14:paraId="76D962A3">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HW12</w:t>
                  </w:r>
                </w:p>
              </w:tc>
              <w:tc>
                <w:tcPr>
                  <w:tcW w:w="754" w:type="pct"/>
                  <w:vAlign w:val="center"/>
                </w:tcPr>
                <w:p w14:paraId="50B1E120">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900-253-12</w:t>
                  </w:r>
                </w:p>
              </w:tc>
              <w:tc>
                <w:tcPr>
                  <w:tcW w:w="416" w:type="pct"/>
                  <w:vAlign w:val="center"/>
                </w:tcPr>
                <w:p w14:paraId="7DCDDC4F">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c>
                <w:tcPr>
                  <w:tcW w:w="889" w:type="dxa"/>
                  <w:vAlign w:val="center"/>
                </w:tcPr>
                <w:p w14:paraId="13B85D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网版清洁</w:t>
                  </w:r>
                </w:p>
              </w:tc>
              <w:tc>
                <w:tcPr>
                  <w:tcW w:w="415" w:type="dxa"/>
                  <w:vAlign w:val="center"/>
                </w:tcPr>
                <w:p w14:paraId="7521F2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固态</w:t>
                  </w:r>
                </w:p>
              </w:tc>
              <w:tc>
                <w:tcPr>
                  <w:tcW w:w="666" w:type="dxa"/>
                  <w:vAlign w:val="center"/>
                </w:tcPr>
                <w:p w14:paraId="076656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eastAsia="宋体" w:cs="Times New Roman"/>
                      <w:color w:val="auto"/>
                      <w:kern w:val="2"/>
                      <w:sz w:val="21"/>
                      <w:szCs w:val="21"/>
                      <w:lang w:val="en-US" w:eastAsia="zh-CN" w:bidi="ar-SA"/>
                    </w:rPr>
                    <w:t>油墨</w:t>
                  </w:r>
                </w:p>
              </w:tc>
              <w:tc>
                <w:tcPr>
                  <w:tcW w:w="681" w:type="dxa"/>
                  <w:vAlign w:val="center"/>
                </w:tcPr>
                <w:p w14:paraId="37791D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eastAsia="宋体" w:cs="Times New Roman"/>
                      <w:color w:val="auto"/>
                      <w:kern w:val="2"/>
                      <w:sz w:val="21"/>
                      <w:szCs w:val="21"/>
                      <w:lang w:val="en-US" w:eastAsia="zh-CN" w:bidi="ar-SA"/>
                    </w:rPr>
                    <w:t>油墨</w:t>
                  </w:r>
                </w:p>
              </w:tc>
              <w:tc>
                <w:tcPr>
                  <w:tcW w:w="698" w:type="dxa"/>
                  <w:vAlign w:val="center"/>
                </w:tcPr>
                <w:p w14:paraId="236305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月</w:t>
                  </w:r>
                </w:p>
              </w:tc>
              <w:tc>
                <w:tcPr>
                  <w:tcW w:w="635" w:type="dxa"/>
                  <w:vAlign w:val="center"/>
                </w:tcPr>
                <w:p w14:paraId="3B752A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T，I</w:t>
                  </w:r>
                </w:p>
              </w:tc>
              <w:tc>
                <w:tcPr>
                  <w:tcW w:w="450" w:type="pct"/>
                  <w:vMerge w:val="continue"/>
                  <w:vAlign w:val="center"/>
                </w:tcPr>
                <w:p w14:paraId="6FEE2EFA">
                  <w:pPr>
                    <w:autoSpaceDE w:val="0"/>
                    <w:autoSpaceDN w:val="0"/>
                    <w:spacing w:line="240" w:lineRule="auto"/>
                    <w:jc w:val="center"/>
                    <w:rPr>
                      <w:rFonts w:hint="default" w:ascii="Times New Roman" w:hAnsi="Times New Roman" w:cs="Times New Roman"/>
                      <w:color w:val="auto"/>
                      <w:sz w:val="21"/>
                      <w:szCs w:val="21"/>
                    </w:rPr>
                  </w:pPr>
                </w:p>
              </w:tc>
            </w:tr>
            <w:tr w14:paraId="7ABBE3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852" w:type="dxa"/>
                  <w:vAlign w:val="center"/>
                </w:tcPr>
                <w:p w14:paraId="6E2FD8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1"/>
                      <w:szCs w:val="21"/>
                      <w:lang w:val="en-US" w:eastAsia="zh-CN"/>
                    </w:rPr>
                    <w:t>喷枪清洗废水</w:t>
                  </w:r>
                </w:p>
              </w:tc>
              <w:tc>
                <w:tcPr>
                  <w:tcW w:w="815" w:type="dxa"/>
                  <w:vAlign w:val="center"/>
                </w:tcPr>
                <w:p w14:paraId="4BF8F2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HW09</w:t>
                  </w:r>
                </w:p>
              </w:tc>
              <w:tc>
                <w:tcPr>
                  <w:tcW w:w="1261" w:type="dxa"/>
                  <w:vAlign w:val="center"/>
                </w:tcPr>
                <w:p w14:paraId="1CA32F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900-007-09</w:t>
                  </w:r>
                </w:p>
              </w:tc>
              <w:tc>
                <w:tcPr>
                  <w:tcW w:w="697" w:type="dxa"/>
                  <w:vAlign w:val="center"/>
                </w:tcPr>
                <w:p w14:paraId="797A00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1"/>
                      <w:szCs w:val="21"/>
                      <w:lang w:val="en-US" w:eastAsia="zh-CN"/>
                    </w:rPr>
                    <w:t>0.194</w:t>
                  </w:r>
                </w:p>
              </w:tc>
              <w:tc>
                <w:tcPr>
                  <w:tcW w:w="889" w:type="dxa"/>
                  <w:vAlign w:val="center"/>
                </w:tcPr>
                <w:p w14:paraId="5FC47F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喷漆</w:t>
                  </w:r>
                </w:p>
              </w:tc>
              <w:tc>
                <w:tcPr>
                  <w:tcW w:w="415" w:type="dxa"/>
                  <w:vAlign w:val="center"/>
                </w:tcPr>
                <w:p w14:paraId="13FBAC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液态</w:t>
                  </w:r>
                </w:p>
              </w:tc>
              <w:tc>
                <w:tcPr>
                  <w:tcW w:w="666" w:type="dxa"/>
                  <w:vAlign w:val="center"/>
                </w:tcPr>
                <w:p w14:paraId="037A47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1"/>
                      <w:szCs w:val="21"/>
                      <w:lang w:val="en-US" w:eastAsia="zh-CN" w:bidi="ar-SA"/>
                    </w:rPr>
                    <w:t>漆</w:t>
                  </w:r>
                </w:p>
              </w:tc>
              <w:tc>
                <w:tcPr>
                  <w:tcW w:w="681" w:type="dxa"/>
                  <w:vAlign w:val="center"/>
                </w:tcPr>
                <w:p w14:paraId="4D138C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1"/>
                      <w:szCs w:val="21"/>
                      <w:lang w:val="en-US" w:eastAsia="zh-CN" w:bidi="ar-SA"/>
                    </w:rPr>
                    <w:t>漆</w:t>
                  </w:r>
                </w:p>
              </w:tc>
              <w:tc>
                <w:tcPr>
                  <w:tcW w:w="698" w:type="dxa"/>
                  <w:vAlign w:val="center"/>
                </w:tcPr>
                <w:p w14:paraId="614B83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天</w:t>
                  </w:r>
                </w:p>
              </w:tc>
              <w:tc>
                <w:tcPr>
                  <w:tcW w:w="635" w:type="dxa"/>
                  <w:vAlign w:val="center"/>
                </w:tcPr>
                <w:p w14:paraId="21D399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1"/>
                      <w:szCs w:val="21"/>
                    </w:rPr>
                    <w:t>T，I</w:t>
                  </w:r>
                </w:p>
              </w:tc>
              <w:tc>
                <w:tcPr>
                  <w:tcW w:w="450" w:type="pct"/>
                  <w:vAlign w:val="center"/>
                </w:tcPr>
                <w:p w14:paraId="622C1E07">
                  <w:pPr>
                    <w:autoSpaceDE w:val="0"/>
                    <w:autoSpaceDN w:val="0"/>
                    <w:spacing w:line="240" w:lineRule="auto"/>
                    <w:jc w:val="center"/>
                    <w:rPr>
                      <w:rFonts w:hint="default" w:ascii="Times New Roman" w:hAnsi="Times New Roman" w:cs="Times New Roman"/>
                      <w:color w:val="auto"/>
                      <w:sz w:val="21"/>
                      <w:szCs w:val="21"/>
                    </w:rPr>
                  </w:pPr>
                </w:p>
              </w:tc>
            </w:tr>
          </w:tbl>
          <w:p w14:paraId="0869876A">
            <w:pPr>
              <w:ind w:firstLine="482" w:firstLineChars="200"/>
              <w:rPr>
                <w:rFonts w:hint="default" w:ascii="Times New Roman" w:hAnsi="Times New Roman" w:cs="Times New Roman"/>
                <w:b/>
                <w:bCs/>
                <w:color w:val="auto"/>
                <w:kern w:val="0"/>
                <w:szCs w:val="22"/>
              </w:rPr>
            </w:pPr>
            <w:r>
              <w:rPr>
                <w:rFonts w:hint="default" w:ascii="Times New Roman" w:hAnsi="Times New Roman" w:cs="Times New Roman"/>
                <w:b/>
                <w:bCs/>
                <w:color w:val="auto"/>
                <w:szCs w:val="22"/>
              </w:rPr>
              <w:t>3）生活垃</w:t>
            </w:r>
            <w:r>
              <w:rPr>
                <w:rFonts w:hint="default" w:ascii="Times New Roman" w:hAnsi="Times New Roman" w:cs="Times New Roman"/>
                <w:b/>
                <w:bCs/>
                <w:color w:val="auto"/>
                <w:kern w:val="0"/>
                <w:szCs w:val="22"/>
              </w:rPr>
              <w:t>圾</w:t>
            </w:r>
          </w:p>
          <w:p w14:paraId="7582EE1C">
            <w:pPr>
              <w:widowControl/>
              <w:ind w:firstLine="480" w:firstLineChars="200"/>
              <w:rPr>
                <w:rFonts w:hint="default" w:ascii="Times New Roman" w:hAnsi="Times New Roman" w:cs="Times New Roman"/>
                <w:color w:val="auto"/>
                <w:lang w:bidi="ar"/>
              </w:rPr>
            </w:pPr>
            <w:r>
              <w:rPr>
                <w:rFonts w:hint="default" w:ascii="Times New Roman" w:hAnsi="Times New Roman" w:cs="Times New Roman"/>
                <w:color w:val="auto"/>
                <w:lang w:bidi="ar"/>
              </w:rPr>
              <w:t>项目员工</w:t>
            </w:r>
            <w:r>
              <w:rPr>
                <w:rFonts w:hint="default" w:ascii="Times New Roman" w:hAnsi="Times New Roman" w:cs="Times New Roman"/>
                <w:color w:val="auto"/>
                <w:lang w:val="en-US" w:eastAsia="zh-CN" w:bidi="ar"/>
              </w:rPr>
              <w:t>不</w:t>
            </w:r>
            <w:r>
              <w:rPr>
                <w:rFonts w:hint="default" w:ascii="Times New Roman" w:hAnsi="Times New Roman" w:cs="Times New Roman"/>
                <w:color w:val="auto"/>
                <w:lang w:bidi="ar"/>
              </w:rPr>
              <w:t>在厂区内食宿，生活垃圾产生系数为</w:t>
            </w:r>
            <w:r>
              <w:rPr>
                <w:rFonts w:hint="default" w:ascii="Times New Roman" w:hAnsi="Times New Roman" w:cs="Times New Roman"/>
                <w:color w:val="auto"/>
                <w:lang w:val="en-US" w:eastAsia="zh-CN" w:bidi="ar"/>
              </w:rPr>
              <w:t>0.5</w:t>
            </w:r>
            <w:r>
              <w:rPr>
                <w:rFonts w:hint="default" w:ascii="Times New Roman" w:hAnsi="Times New Roman" w:cs="Times New Roman"/>
                <w:color w:val="auto"/>
                <w:lang w:bidi="ar"/>
              </w:rPr>
              <w:t>kg/人•d，项目拟招员工</w:t>
            </w:r>
          </w:p>
          <w:p w14:paraId="3A5435D8">
            <w:pPr>
              <w:widowControl/>
              <w:rPr>
                <w:rFonts w:hint="default" w:ascii="Times New Roman" w:hAnsi="Times New Roman" w:cs="Times New Roman"/>
                <w:color w:val="auto"/>
              </w:rPr>
            </w:pPr>
            <w:r>
              <w:rPr>
                <w:rFonts w:hint="default" w:ascii="Times New Roman" w:hAnsi="Times New Roman" w:cs="Times New Roman"/>
                <w:color w:val="auto"/>
                <w:lang w:val="en-US" w:eastAsia="zh-CN" w:bidi="ar"/>
              </w:rPr>
              <w:t>50</w:t>
            </w:r>
            <w:r>
              <w:rPr>
                <w:rFonts w:hint="default" w:ascii="Times New Roman" w:hAnsi="Times New Roman" w:cs="Times New Roman"/>
                <w:color w:val="auto"/>
                <w:lang w:bidi="ar"/>
              </w:rPr>
              <w:t>人，年工作</w:t>
            </w:r>
            <w:r>
              <w:rPr>
                <w:rFonts w:hint="default" w:ascii="Times New Roman" w:hAnsi="Times New Roman" w:cs="Times New Roman"/>
                <w:color w:val="auto"/>
                <w:lang w:val="en-US" w:eastAsia="zh-CN" w:bidi="ar"/>
              </w:rPr>
              <w:t>300</w:t>
            </w:r>
            <w:r>
              <w:rPr>
                <w:rFonts w:hint="default" w:ascii="Times New Roman" w:hAnsi="Times New Roman" w:cs="Times New Roman"/>
                <w:color w:val="auto"/>
                <w:lang w:bidi="ar"/>
              </w:rPr>
              <w:t>天，则生活垃圾产生量为</w:t>
            </w:r>
            <w:r>
              <w:rPr>
                <w:rFonts w:hint="default" w:ascii="Times New Roman" w:hAnsi="Times New Roman" w:cs="Times New Roman"/>
                <w:color w:val="auto"/>
                <w:lang w:val="en-US" w:eastAsia="zh-CN" w:bidi="ar"/>
              </w:rPr>
              <w:t>7.5</w:t>
            </w:r>
            <w:r>
              <w:rPr>
                <w:rFonts w:hint="default" w:ascii="Times New Roman" w:hAnsi="Times New Roman" w:cs="Times New Roman"/>
                <w:color w:val="auto"/>
                <w:lang w:bidi="ar"/>
              </w:rPr>
              <w:t>t/a，由环卫部门定期清运。</w:t>
            </w:r>
          </w:p>
          <w:p w14:paraId="4F52F938">
            <w:pPr>
              <w:autoSpaceDE w:val="0"/>
              <w:autoSpaceDN w:val="0"/>
              <w:ind w:firstLine="480" w:firstLineChars="200"/>
              <w:rPr>
                <w:rFonts w:hint="default" w:ascii="Times New Roman" w:hAnsi="Times New Roman" w:cs="Times New Roman"/>
                <w:color w:val="auto"/>
              </w:rPr>
            </w:pPr>
            <w:r>
              <w:rPr>
                <w:rFonts w:hint="default" w:ascii="Times New Roman" w:hAnsi="Times New Roman" w:cs="Times New Roman"/>
                <w:color w:val="auto"/>
              </w:rPr>
              <w:t>项目固体废物产生情况及去向情况见下表。</w:t>
            </w:r>
          </w:p>
          <w:p w14:paraId="714E84D2">
            <w:pPr>
              <w:spacing w:line="240" w:lineRule="auto"/>
              <w:jc w:val="center"/>
              <w:rPr>
                <w:rFonts w:hint="default" w:ascii="Times New Roman" w:hAnsi="Times New Roman" w:cs="Times New Roman"/>
                <w:b/>
                <w:color w:val="auto"/>
                <w:kern w:val="0"/>
                <w:szCs w:val="22"/>
              </w:rPr>
            </w:pPr>
            <w:r>
              <w:rPr>
                <w:rFonts w:hint="default" w:ascii="Times New Roman" w:hAnsi="Times New Roman" w:cs="Times New Roman"/>
                <w:b/>
                <w:color w:val="auto"/>
                <w:kern w:val="0"/>
                <w:szCs w:val="22"/>
              </w:rPr>
              <w:t>表</w:t>
            </w:r>
            <w:r>
              <w:rPr>
                <w:rFonts w:hint="default" w:ascii="Times New Roman" w:hAnsi="Times New Roman" w:cs="Times New Roman"/>
                <w:b/>
                <w:color w:val="auto"/>
                <w:kern w:val="0"/>
                <w:szCs w:val="22"/>
                <w:lang w:val="en-US" w:eastAsia="zh-CN"/>
              </w:rPr>
              <w:t>4-25</w:t>
            </w:r>
            <w:r>
              <w:rPr>
                <w:rFonts w:hint="default" w:ascii="Times New Roman" w:hAnsi="Times New Roman" w:cs="Times New Roman"/>
                <w:b/>
                <w:color w:val="auto"/>
                <w:kern w:val="0"/>
                <w:szCs w:val="22"/>
              </w:rPr>
              <w:t xml:space="preserve"> 项目营运期固体废物产生量及去向一览表</w:t>
            </w:r>
          </w:p>
          <w:tbl>
            <w:tblPr>
              <w:tblStyle w:val="22"/>
              <w:tblW w:w="8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1357"/>
              <w:gridCol w:w="657"/>
              <w:gridCol w:w="1410"/>
              <w:gridCol w:w="855"/>
              <w:gridCol w:w="672"/>
              <w:gridCol w:w="1034"/>
              <w:gridCol w:w="1125"/>
            </w:tblGrid>
            <w:tr w14:paraId="3739F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2F30FAF7">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产生工序</w:t>
                  </w:r>
                </w:p>
              </w:tc>
              <w:tc>
                <w:tcPr>
                  <w:tcW w:w="1357" w:type="dxa"/>
                  <w:vAlign w:val="center"/>
                </w:tcPr>
                <w:p w14:paraId="14136911">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废物名称</w:t>
                  </w:r>
                </w:p>
              </w:tc>
              <w:tc>
                <w:tcPr>
                  <w:tcW w:w="657" w:type="dxa"/>
                  <w:vAlign w:val="center"/>
                </w:tcPr>
                <w:p w14:paraId="3D4C0DD9">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废物类型</w:t>
                  </w:r>
                </w:p>
              </w:tc>
              <w:tc>
                <w:tcPr>
                  <w:tcW w:w="1410" w:type="dxa"/>
                  <w:vAlign w:val="center"/>
                </w:tcPr>
                <w:p w14:paraId="202B50D6">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废物代码</w:t>
                  </w:r>
                </w:p>
              </w:tc>
              <w:tc>
                <w:tcPr>
                  <w:tcW w:w="855" w:type="dxa"/>
                  <w:vAlign w:val="center"/>
                </w:tcPr>
                <w:p w14:paraId="68086FD9">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产生量（t/a）</w:t>
                  </w:r>
                </w:p>
              </w:tc>
              <w:tc>
                <w:tcPr>
                  <w:tcW w:w="672" w:type="dxa"/>
                  <w:vAlign w:val="center"/>
                </w:tcPr>
                <w:p w14:paraId="4C5F521B">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形态</w:t>
                  </w:r>
                </w:p>
              </w:tc>
              <w:tc>
                <w:tcPr>
                  <w:tcW w:w="1034" w:type="dxa"/>
                  <w:vAlign w:val="center"/>
                </w:tcPr>
                <w:p w14:paraId="541EA1F9">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产废</w:t>
                  </w:r>
                </w:p>
                <w:p w14:paraId="77F648FD">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周期</w:t>
                  </w:r>
                </w:p>
              </w:tc>
              <w:tc>
                <w:tcPr>
                  <w:tcW w:w="1125" w:type="dxa"/>
                  <w:vAlign w:val="center"/>
                </w:tcPr>
                <w:p w14:paraId="4F7F8B43">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污染防治措施</w:t>
                  </w:r>
                </w:p>
              </w:tc>
            </w:tr>
            <w:tr w14:paraId="79D56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273" w:type="dxa"/>
                  <w:vAlign w:val="center"/>
                </w:tcPr>
                <w:p w14:paraId="607AC837">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质量检验</w:t>
                  </w:r>
                </w:p>
              </w:tc>
              <w:tc>
                <w:tcPr>
                  <w:tcW w:w="1357" w:type="dxa"/>
                  <w:vAlign w:val="center"/>
                </w:tcPr>
                <w:p w14:paraId="3707D3A7">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不合格品</w:t>
                  </w:r>
                </w:p>
              </w:tc>
              <w:tc>
                <w:tcPr>
                  <w:tcW w:w="657" w:type="dxa"/>
                  <w:vMerge w:val="restart"/>
                  <w:vAlign w:val="center"/>
                </w:tcPr>
                <w:p w14:paraId="05130BC0">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一般固废</w:t>
                  </w:r>
                </w:p>
              </w:tc>
              <w:tc>
                <w:tcPr>
                  <w:tcW w:w="1410" w:type="dxa"/>
                  <w:vAlign w:val="center"/>
                </w:tcPr>
                <w:p w14:paraId="133E31BB">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900-006-S17</w:t>
                  </w:r>
                </w:p>
              </w:tc>
              <w:tc>
                <w:tcPr>
                  <w:tcW w:w="855" w:type="dxa"/>
                  <w:vAlign w:val="center"/>
                </w:tcPr>
                <w:p w14:paraId="16292008">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672" w:type="dxa"/>
                  <w:vAlign w:val="center"/>
                </w:tcPr>
                <w:p w14:paraId="2F318B5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3A241CCA">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一天</w:t>
                  </w:r>
                </w:p>
              </w:tc>
              <w:tc>
                <w:tcPr>
                  <w:tcW w:w="1125" w:type="dxa"/>
                  <w:vMerge w:val="restart"/>
                  <w:vAlign w:val="center"/>
                </w:tcPr>
                <w:p w14:paraId="333004EB">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交由专业回收公司回收处理</w:t>
                  </w:r>
                </w:p>
              </w:tc>
            </w:tr>
            <w:tr w14:paraId="744C2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31E51CDB">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生产过程</w:t>
                  </w:r>
                </w:p>
              </w:tc>
              <w:tc>
                <w:tcPr>
                  <w:tcW w:w="1357" w:type="dxa"/>
                  <w:vAlign w:val="center"/>
                </w:tcPr>
                <w:p w14:paraId="25D720D5">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废料</w:t>
                  </w:r>
                </w:p>
              </w:tc>
              <w:tc>
                <w:tcPr>
                  <w:tcW w:w="657" w:type="dxa"/>
                  <w:vMerge w:val="continue"/>
                  <w:vAlign w:val="center"/>
                </w:tcPr>
                <w:p w14:paraId="51AFD884">
                  <w:pPr>
                    <w:wordWrap/>
                    <w:spacing w:line="240" w:lineRule="auto"/>
                    <w:jc w:val="center"/>
                    <w:rPr>
                      <w:rFonts w:hint="default" w:ascii="Times New Roman" w:hAnsi="Times New Roman" w:cs="Times New Roman"/>
                      <w:color w:val="auto"/>
                      <w:sz w:val="21"/>
                      <w:szCs w:val="21"/>
                    </w:rPr>
                  </w:pPr>
                </w:p>
              </w:tc>
              <w:tc>
                <w:tcPr>
                  <w:tcW w:w="1410" w:type="dxa"/>
                  <w:vAlign w:val="center"/>
                </w:tcPr>
                <w:p w14:paraId="6B7D7552">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900-006-S17</w:t>
                  </w:r>
                </w:p>
              </w:tc>
              <w:tc>
                <w:tcPr>
                  <w:tcW w:w="855" w:type="dxa"/>
                  <w:vAlign w:val="center"/>
                </w:tcPr>
                <w:p w14:paraId="2D6DE988">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672" w:type="dxa"/>
                  <w:vAlign w:val="center"/>
                </w:tcPr>
                <w:p w14:paraId="0824C7C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00ACBC04">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一天</w:t>
                  </w:r>
                </w:p>
              </w:tc>
              <w:tc>
                <w:tcPr>
                  <w:tcW w:w="1125" w:type="dxa"/>
                  <w:vMerge w:val="continue"/>
                  <w:vAlign w:val="center"/>
                </w:tcPr>
                <w:p w14:paraId="57435982">
                  <w:pPr>
                    <w:wordWrap/>
                    <w:spacing w:line="240" w:lineRule="auto"/>
                    <w:jc w:val="center"/>
                    <w:rPr>
                      <w:rFonts w:hint="default" w:ascii="Times New Roman" w:hAnsi="Times New Roman" w:cs="Times New Roman"/>
                      <w:color w:val="auto"/>
                      <w:sz w:val="21"/>
                      <w:szCs w:val="21"/>
                    </w:rPr>
                  </w:pPr>
                </w:p>
              </w:tc>
            </w:tr>
            <w:tr w14:paraId="2E104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6A91D853">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包装</w:t>
                  </w:r>
                </w:p>
              </w:tc>
              <w:tc>
                <w:tcPr>
                  <w:tcW w:w="1357" w:type="dxa"/>
                  <w:vAlign w:val="center"/>
                </w:tcPr>
                <w:p w14:paraId="7AB9FC74">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废包装材料</w:t>
                  </w:r>
                </w:p>
              </w:tc>
              <w:tc>
                <w:tcPr>
                  <w:tcW w:w="657" w:type="dxa"/>
                  <w:vMerge w:val="continue"/>
                  <w:vAlign w:val="center"/>
                </w:tcPr>
                <w:p w14:paraId="4A8B4C65">
                  <w:pPr>
                    <w:wordWrap/>
                    <w:spacing w:line="240" w:lineRule="auto"/>
                    <w:jc w:val="center"/>
                    <w:rPr>
                      <w:rFonts w:hint="default" w:ascii="Times New Roman" w:hAnsi="Times New Roman" w:cs="Times New Roman"/>
                      <w:color w:val="auto"/>
                      <w:sz w:val="21"/>
                      <w:szCs w:val="21"/>
                    </w:rPr>
                  </w:pPr>
                </w:p>
              </w:tc>
              <w:tc>
                <w:tcPr>
                  <w:tcW w:w="1410" w:type="dxa"/>
                  <w:vAlign w:val="center"/>
                </w:tcPr>
                <w:p w14:paraId="34F379B1">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900-005-S17</w:t>
                  </w:r>
                </w:p>
              </w:tc>
              <w:tc>
                <w:tcPr>
                  <w:tcW w:w="855" w:type="dxa"/>
                  <w:vAlign w:val="center"/>
                </w:tcPr>
                <w:p w14:paraId="16F52FB3">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c>
                <w:tcPr>
                  <w:tcW w:w="672" w:type="dxa"/>
                  <w:vAlign w:val="center"/>
                </w:tcPr>
                <w:p w14:paraId="437B5010">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固态</w:t>
                  </w:r>
                </w:p>
              </w:tc>
              <w:tc>
                <w:tcPr>
                  <w:tcW w:w="1034" w:type="dxa"/>
                  <w:vAlign w:val="center"/>
                </w:tcPr>
                <w:p w14:paraId="526EA670">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一天</w:t>
                  </w:r>
                </w:p>
              </w:tc>
              <w:tc>
                <w:tcPr>
                  <w:tcW w:w="1125" w:type="dxa"/>
                  <w:vMerge w:val="continue"/>
                  <w:vAlign w:val="center"/>
                </w:tcPr>
                <w:p w14:paraId="1D2A45B6">
                  <w:pPr>
                    <w:wordWrap/>
                    <w:spacing w:line="240" w:lineRule="auto"/>
                    <w:jc w:val="center"/>
                    <w:rPr>
                      <w:rFonts w:hint="default" w:ascii="Times New Roman" w:hAnsi="Times New Roman" w:cs="Times New Roman"/>
                      <w:color w:val="auto"/>
                      <w:sz w:val="21"/>
                      <w:szCs w:val="21"/>
                    </w:rPr>
                  </w:pPr>
                </w:p>
              </w:tc>
            </w:tr>
            <w:tr w14:paraId="6F9EA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2AD0C6BC">
                  <w:pPr>
                    <w:wordWrap/>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模具制造</w:t>
                  </w:r>
                </w:p>
              </w:tc>
              <w:tc>
                <w:tcPr>
                  <w:tcW w:w="1357" w:type="dxa"/>
                  <w:vAlign w:val="center"/>
                </w:tcPr>
                <w:p w14:paraId="4D755B83">
                  <w:pPr>
                    <w:wordWrap/>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废模具</w:t>
                  </w:r>
                </w:p>
              </w:tc>
              <w:tc>
                <w:tcPr>
                  <w:tcW w:w="657" w:type="dxa"/>
                  <w:vMerge w:val="continue"/>
                  <w:vAlign w:val="center"/>
                </w:tcPr>
                <w:p w14:paraId="6C7F4640">
                  <w:pPr>
                    <w:wordWrap/>
                    <w:spacing w:line="240" w:lineRule="auto"/>
                    <w:jc w:val="center"/>
                    <w:rPr>
                      <w:rFonts w:hint="default" w:ascii="Times New Roman" w:hAnsi="Times New Roman" w:cs="Times New Roman"/>
                      <w:color w:val="auto"/>
                      <w:sz w:val="21"/>
                      <w:szCs w:val="21"/>
                    </w:rPr>
                  </w:pPr>
                </w:p>
              </w:tc>
              <w:tc>
                <w:tcPr>
                  <w:tcW w:w="1410" w:type="dxa"/>
                  <w:vAlign w:val="center"/>
                </w:tcPr>
                <w:p w14:paraId="76580266">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900-001-S17</w:t>
                  </w:r>
                </w:p>
              </w:tc>
              <w:tc>
                <w:tcPr>
                  <w:tcW w:w="855" w:type="dxa"/>
                  <w:vAlign w:val="center"/>
                </w:tcPr>
                <w:p w14:paraId="390B972D">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c>
                <w:tcPr>
                  <w:tcW w:w="672" w:type="dxa"/>
                  <w:vAlign w:val="center"/>
                </w:tcPr>
                <w:p w14:paraId="75DA765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2193FDDE">
                  <w:pPr>
                    <w:wordWrap/>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一天</w:t>
                  </w:r>
                </w:p>
              </w:tc>
              <w:tc>
                <w:tcPr>
                  <w:tcW w:w="1125" w:type="dxa"/>
                  <w:vMerge w:val="continue"/>
                  <w:vAlign w:val="center"/>
                </w:tcPr>
                <w:p w14:paraId="365B6641">
                  <w:pPr>
                    <w:wordWrap/>
                    <w:spacing w:line="240" w:lineRule="auto"/>
                    <w:jc w:val="center"/>
                    <w:rPr>
                      <w:rFonts w:hint="default" w:ascii="Times New Roman" w:hAnsi="Times New Roman" w:cs="Times New Roman"/>
                      <w:color w:val="auto"/>
                      <w:sz w:val="21"/>
                      <w:szCs w:val="21"/>
                    </w:rPr>
                  </w:pPr>
                </w:p>
              </w:tc>
            </w:tr>
            <w:tr w14:paraId="1157E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1FDAAE2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设备维护、电火花</w:t>
                  </w:r>
                </w:p>
              </w:tc>
              <w:tc>
                <w:tcPr>
                  <w:tcW w:w="1357" w:type="dxa"/>
                  <w:vAlign w:val="center"/>
                </w:tcPr>
                <w:p w14:paraId="40BDCCC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w:t>
                  </w:r>
                  <w:r>
                    <w:rPr>
                      <w:rFonts w:hint="default" w:ascii="Times New Roman" w:hAnsi="Times New Roman" w:cs="Times New Roman"/>
                      <w:color w:val="auto"/>
                      <w:sz w:val="21"/>
                      <w:szCs w:val="21"/>
                    </w:rPr>
                    <w:t>油</w:t>
                  </w:r>
                </w:p>
              </w:tc>
              <w:tc>
                <w:tcPr>
                  <w:tcW w:w="657" w:type="dxa"/>
                  <w:vMerge w:val="restart"/>
                  <w:vAlign w:val="center"/>
                </w:tcPr>
                <w:p w14:paraId="38427380">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1410" w:type="dxa"/>
                  <w:vAlign w:val="center"/>
                </w:tcPr>
                <w:p w14:paraId="2F06F74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900-249-08</w:t>
                  </w:r>
                </w:p>
              </w:tc>
              <w:tc>
                <w:tcPr>
                  <w:tcW w:w="855" w:type="dxa"/>
                  <w:vAlign w:val="center"/>
                </w:tcPr>
                <w:p w14:paraId="595E2EB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0.05</w:t>
                  </w:r>
                </w:p>
              </w:tc>
              <w:tc>
                <w:tcPr>
                  <w:tcW w:w="672" w:type="dxa"/>
                  <w:vAlign w:val="center"/>
                </w:tcPr>
                <w:p w14:paraId="0A776D7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液态</w:t>
                  </w:r>
                </w:p>
              </w:tc>
              <w:tc>
                <w:tcPr>
                  <w:tcW w:w="1034" w:type="dxa"/>
                  <w:vAlign w:val="center"/>
                </w:tcPr>
                <w:p w14:paraId="37E7792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半年</w:t>
                  </w:r>
                </w:p>
              </w:tc>
              <w:tc>
                <w:tcPr>
                  <w:tcW w:w="1125" w:type="dxa"/>
                  <w:vMerge w:val="restart"/>
                  <w:vAlign w:val="center"/>
                </w:tcPr>
                <w:p w14:paraId="7443EE0B">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收集后交由有资质的单位回收处理</w:t>
                  </w:r>
                </w:p>
              </w:tc>
            </w:tr>
            <w:tr w14:paraId="6AC97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70E8E0E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357" w:type="dxa"/>
                  <w:vAlign w:val="center"/>
                </w:tcPr>
                <w:p w14:paraId="567AD17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废原料桶</w:t>
                  </w:r>
                </w:p>
              </w:tc>
              <w:tc>
                <w:tcPr>
                  <w:tcW w:w="657" w:type="dxa"/>
                  <w:vMerge w:val="continue"/>
                  <w:vAlign w:val="center"/>
                </w:tcPr>
                <w:p w14:paraId="0F858768">
                  <w:pPr>
                    <w:wordWrap/>
                    <w:spacing w:line="240" w:lineRule="auto"/>
                    <w:jc w:val="center"/>
                    <w:rPr>
                      <w:rFonts w:hint="default" w:ascii="Times New Roman" w:hAnsi="Times New Roman" w:cs="Times New Roman"/>
                      <w:color w:val="auto"/>
                      <w:sz w:val="21"/>
                      <w:szCs w:val="21"/>
                    </w:rPr>
                  </w:pPr>
                </w:p>
              </w:tc>
              <w:tc>
                <w:tcPr>
                  <w:tcW w:w="1410" w:type="dxa"/>
                  <w:vAlign w:val="center"/>
                </w:tcPr>
                <w:p w14:paraId="5EE1DDA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855" w:type="dxa"/>
                  <w:vAlign w:val="center"/>
                </w:tcPr>
                <w:p w14:paraId="4EF10E8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0.05</w:t>
                  </w:r>
                </w:p>
              </w:tc>
              <w:tc>
                <w:tcPr>
                  <w:tcW w:w="672" w:type="dxa"/>
                  <w:vAlign w:val="center"/>
                </w:tcPr>
                <w:p w14:paraId="4554F86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016DD0CD">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1个月</w:t>
                  </w:r>
                </w:p>
              </w:tc>
              <w:tc>
                <w:tcPr>
                  <w:tcW w:w="1125" w:type="dxa"/>
                  <w:vMerge w:val="continue"/>
                  <w:vAlign w:val="center"/>
                </w:tcPr>
                <w:p w14:paraId="605D7560">
                  <w:pPr>
                    <w:wordWrap/>
                    <w:spacing w:line="240" w:lineRule="auto"/>
                    <w:jc w:val="center"/>
                    <w:rPr>
                      <w:rFonts w:hint="default" w:ascii="Times New Roman" w:hAnsi="Times New Roman" w:cs="Times New Roman"/>
                      <w:color w:val="auto"/>
                      <w:sz w:val="21"/>
                      <w:szCs w:val="21"/>
                    </w:rPr>
                  </w:pPr>
                </w:p>
              </w:tc>
            </w:tr>
            <w:tr w14:paraId="220B3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33700DE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357" w:type="dxa"/>
                  <w:vAlign w:val="center"/>
                </w:tcPr>
                <w:p w14:paraId="07F9DA1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废抹布及废手套</w:t>
                  </w:r>
                </w:p>
              </w:tc>
              <w:tc>
                <w:tcPr>
                  <w:tcW w:w="657" w:type="dxa"/>
                  <w:vMerge w:val="continue"/>
                  <w:vAlign w:val="center"/>
                </w:tcPr>
                <w:p w14:paraId="1C11D25B">
                  <w:pPr>
                    <w:wordWrap/>
                    <w:spacing w:line="240" w:lineRule="auto"/>
                    <w:jc w:val="center"/>
                    <w:rPr>
                      <w:rFonts w:hint="default" w:ascii="Times New Roman" w:hAnsi="Times New Roman" w:cs="Times New Roman"/>
                      <w:color w:val="auto"/>
                      <w:sz w:val="21"/>
                      <w:szCs w:val="21"/>
                    </w:rPr>
                  </w:pPr>
                </w:p>
              </w:tc>
              <w:tc>
                <w:tcPr>
                  <w:tcW w:w="1410" w:type="dxa"/>
                  <w:vAlign w:val="center"/>
                </w:tcPr>
                <w:p w14:paraId="524EAFF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855" w:type="dxa"/>
                  <w:vAlign w:val="center"/>
                </w:tcPr>
                <w:p w14:paraId="1DED5E1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1</w:t>
                  </w:r>
                </w:p>
              </w:tc>
              <w:tc>
                <w:tcPr>
                  <w:tcW w:w="672" w:type="dxa"/>
                  <w:vAlign w:val="center"/>
                </w:tcPr>
                <w:p w14:paraId="4C05419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58B089B0">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1个月</w:t>
                  </w:r>
                </w:p>
              </w:tc>
              <w:tc>
                <w:tcPr>
                  <w:tcW w:w="1125" w:type="dxa"/>
                  <w:vMerge w:val="continue"/>
                  <w:vAlign w:val="center"/>
                </w:tcPr>
                <w:p w14:paraId="6C6F740E">
                  <w:pPr>
                    <w:wordWrap/>
                    <w:spacing w:line="240" w:lineRule="auto"/>
                    <w:jc w:val="center"/>
                    <w:rPr>
                      <w:rFonts w:hint="default" w:ascii="Times New Roman" w:hAnsi="Times New Roman" w:cs="Times New Roman"/>
                      <w:color w:val="auto"/>
                      <w:sz w:val="21"/>
                      <w:szCs w:val="21"/>
                    </w:rPr>
                  </w:pPr>
                </w:p>
              </w:tc>
            </w:tr>
            <w:tr w14:paraId="2AD4E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45B0D97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水帘柜</w:t>
                  </w:r>
                </w:p>
              </w:tc>
              <w:tc>
                <w:tcPr>
                  <w:tcW w:w="1357" w:type="dxa"/>
                  <w:vAlign w:val="center"/>
                </w:tcPr>
                <w:p w14:paraId="40B955CB">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漆渣</w:t>
                  </w:r>
                </w:p>
              </w:tc>
              <w:tc>
                <w:tcPr>
                  <w:tcW w:w="657" w:type="dxa"/>
                  <w:vMerge w:val="continue"/>
                  <w:vAlign w:val="center"/>
                </w:tcPr>
                <w:p w14:paraId="05FAD896">
                  <w:pPr>
                    <w:wordWrap/>
                    <w:spacing w:line="240" w:lineRule="auto"/>
                    <w:jc w:val="center"/>
                    <w:rPr>
                      <w:rFonts w:hint="default" w:ascii="Times New Roman" w:hAnsi="Times New Roman" w:cs="Times New Roman"/>
                      <w:color w:val="auto"/>
                      <w:sz w:val="21"/>
                      <w:szCs w:val="21"/>
                    </w:rPr>
                  </w:pPr>
                </w:p>
              </w:tc>
              <w:tc>
                <w:tcPr>
                  <w:tcW w:w="1410" w:type="dxa"/>
                  <w:vAlign w:val="center"/>
                </w:tcPr>
                <w:p w14:paraId="6E1822A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855" w:type="dxa"/>
                  <w:vAlign w:val="center"/>
                </w:tcPr>
                <w:p w14:paraId="0C1DCFF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0.348</w:t>
                  </w:r>
                </w:p>
              </w:tc>
              <w:tc>
                <w:tcPr>
                  <w:tcW w:w="672" w:type="dxa"/>
                  <w:vAlign w:val="center"/>
                </w:tcPr>
                <w:p w14:paraId="42016C2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39BC82FB">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3个月</w:t>
                  </w:r>
                </w:p>
              </w:tc>
              <w:tc>
                <w:tcPr>
                  <w:tcW w:w="1125" w:type="dxa"/>
                  <w:vMerge w:val="continue"/>
                  <w:vAlign w:val="center"/>
                </w:tcPr>
                <w:p w14:paraId="05A8AD6D">
                  <w:pPr>
                    <w:wordWrap/>
                    <w:spacing w:line="240" w:lineRule="auto"/>
                    <w:jc w:val="center"/>
                    <w:rPr>
                      <w:rFonts w:hint="default" w:ascii="Times New Roman" w:hAnsi="Times New Roman" w:cs="Times New Roman"/>
                      <w:color w:val="auto"/>
                      <w:sz w:val="21"/>
                      <w:szCs w:val="21"/>
                    </w:rPr>
                  </w:pPr>
                </w:p>
              </w:tc>
            </w:tr>
            <w:tr w14:paraId="4FFDE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20354DA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357" w:type="dxa"/>
                  <w:vAlign w:val="center"/>
                </w:tcPr>
                <w:p w14:paraId="671AAD32">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喷淋废水</w:t>
                  </w:r>
                </w:p>
              </w:tc>
              <w:tc>
                <w:tcPr>
                  <w:tcW w:w="657" w:type="dxa"/>
                  <w:vMerge w:val="continue"/>
                  <w:vAlign w:val="center"/>
                </w:tcPr>
                <w:p w14:paraId="1533A824">
                  <w:pPr>
                    <w:wordWrap/>
                    <w:spacing w:line="240" w:lineRule="auto"/>
                    <w:jc w:val="center"/>
                    <w:rPr>
                      <w:rFonts w:hint="default" w:ascii="Times New Roman" w:hAnsi="Times New Roman" w:cs="Times New Roman"/>
                      <w:color w:val="auto"/>
                      <w:sz w:val="21"/>
                      <w:szCs w:val="21"/>
                    </w:rPr>
                  </w:pPr>
                </w:p>
              </w:tc>
              <w:tc>
                <w:tcPr>
                  <w:tcW w:w="1410" w:type="dxa"/>
                  <w:vAlign w:val="center"/>
                </w:tcPr>
                <w:p w14:paraId="67A4AA5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855" w:type="dxa"/>
                  <w:vAlign w:val="center"/>
                </w:tcPr>
                <w:p w14:paraId="614AB0E4">
                  <w:pPr>
                    <w:autoSpaceDE w:val="0"/>
                    <w:autoSpaceDN w:val="0"/>
                    <w:spacing w:line="240" w:lineRule="auto"/>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34</w:t>
                  </w:r>
                </w:p>
              </w:tc>
              <w:tc>
                <w:tcPr>
                  <w:tcW w:w="672" w:type="dxa"/>
                  <w:vAlign w:val="center"/>
                </w:tcPr>
                <w:p w14:paraId="2CCC08A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液态</w:t>
                  </w:r>
                </w:p>
              </w:tc>
              <w:tc>
                <w:tcPr>
                  <w:tcW w:w="1034" w:type="dxa"/>
                  <w:vAlign w:val="center"/>
                </w:tcPr>
                <w:p w14:paraId="1EFAEDA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3个月</w:t>
                  </w:r>
                </w:p>
              </w:tc>
              <w:tc>
                <w:tcPr>
                  <w:tcW w:w="1125" w:type="dxa"/>
                  <w:vMerge w:val="continue"/>
                  <w:vAlign w:val="center"/>
                </w:tcPr>
                <w:p w14:paraId="345C83EA">
                  <w:pPr>
                    <w:wordWrap/>
                    <w:spacing w:line="240" w:lineRule="auto"/>
                    <w:jc w:val="center"/>
                    <w:rPr>
                      <w:rFonts w:hint="default" w:ascii="Times New Roman" w:hAnsi="Times New Roman" w:cs="Times New Roman"/>
                      <w:color w:val="auto"/>
                      <w:sz w:val="21"/>
                      <w:szCs w:val="21"/>
                    </w:rPr>
                  </w:pPr>
                </w:p>
              </w:tc>
            </w:tr>
            <w:tr w14:paraId="2AAFB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386DA53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CNC加工</w:t>
                  </w:r>
                </w:p>
              </w:tc>
              <w:tc>
                <w:tcPr>
                  <w:tcW w:w="1357" w:type="dxa"/>
                  <w:vAlign w:val="center"/>
                </w:tcPr>
                <w:p w14:paraId="5610C0B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含油金属屑</w:t>
                  </w:r>
                </w:p>
              </w:tc>
              <w:tc>
                <w:tcPr>
                  <w:tcW w:w="657" w:type="dxa"/>
                  <w:vMerge w:val="continue"/>
                  <w:vAlign w:val="center"/>
                </w:tcPr>
                <w:p w14:paraId="1A8A8C1A">
                  <w:pPr>
                    <w:wordWrap/>
                    <w:spacing w:line="240" w:lineRule="auto"/>
                    <w:jc w:val="center"/>
                    <w:rPr>
                      <w:rFonts w:hint="default" w:ascii="Times New Roman" w:hAnsi="Times New Roman" w:cs="Times New Roman"/>
                      <w:color w:val="auto"/>
                      <w:sz w:val="21"/>
                      <w:szCs w:val="21"/>
                    </w:rPr>
                  </w:pPr>
                </w:p>
              </w:tc>
              <w:tc>
                <w:tcPr>
                  <w:tcW w:w="1410" w:type="dxa"/>
                  <w:vAlign w:val="center"/>
                </w:tcPr>
                <w:p w14:paraId="5F19E69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900-006-09</w:t>
                  </w:r>
                </w:p>
              </w:tc>
              <w:tc>
                <w:tcPr>
                  <w:tcW w:w="855" w:type="dxa"/>
                  <w:vAlign w:val="center"/>
                </w:tcPr>
                <w:p w14:paraId="57B095D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0.06</w:t>
                  </w:r>
                </w:p>
              </w:tc>
              <w:tc>
                <w:tcPr>
                  <w:tcW w:w="672" w:type="dxa"/>
                  <w:vAlign w:val="center"/>
                </w:tcPr>
                <w:p w14:paraId="23268F2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固态</w:t>
                  </w:r>
                </w:p>
              </w:tc>
              <w:tc>
                <w:tcPr>
                  <w:tcW w:w="1034" w:type="dxa"/>
                  <w:vAlign w:val="center"/>
                </w:tcPr>
                <w:p w14:paraId="4B852C0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1个月</w:t>
                  </w:r>
                </w:p>
              </w:tc>
              <w:tc>
                <w:tcPr>
                  <w:tcW w:w="1125" w:type="dxa"/>
                  <w:vMerge w:val="continue"/>
                  <w:vAlign w:val="center"/>
                </w:tcPr>
                <w:p w14:paraId="75D701C6">
                  <w:pPr>
                    <w:wordWrap/>
                    <w:spacing w:line="240" w:lineRule="auto"/>
                    <w:jc w:val="center"/>
                    <w:rPr>
                      <w:rFonts w:hint="default" w:ascii="Times New Roman" w:hAnsi="Times New Roman" w:cs="Times New Roman"/>
                      <w:color w:val="auto"/>
                      <w:sz w:val="21"/>
                      <w:szCs w:val="21"/>
                    </w:rPr>
                  </w:pPr>
                </w:p>
              </w:tc>
            </w:tr>
            <w:tr w14:paraId="287B6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7394AB6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CNC加工</w:t>
                  </w:r>
                </w:p>
              </w:tc>
              <w:tc>
                <w:tcPr>
                  <w:tcW w:w="1357" w:type="dxa"/>
                  <w:vAlign w:val="center"/>
                </w:tcPr>
                <w:p w14:paraId="77F9DCF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废切削液</w:t>
                  </w:r>
                </w:p>
              </w:tc>
              <w:tc>
                <w:tcPr>
                  <w:tcW w:w="657" w:type="dxa"/>
                  <w:vMerge w:val="continue"/>
                  <w:vAlign w:val="center"/>
                </w:tcPr>
                <w:p w14:paraId="3AD8EDE4">
                  <w:pPr>
                    <w:wordWrap/>
                    <w:spacing w:line="240" w:lineRule="auto"/>
                    <w:jc w:val="center"/>
                    <w:rPr>
                      <w:rFonts w:hint="default" w:ascii="Times New Roman" w:hAnsi="Times New Roman" w:cs="Times New Roman"/>
                      <w:color w:val="auto"/>
                      <w:sz w:val="21"/>
                      <w:szCs w:val="21"/>
                    </w:rPr>
                  </w:pPr>
                </w:p>
              </w:tc>
              <w:tc>
                <w:tcPr>
                  <w:tcW w:w="1410" w:type="dxa"/>
                  <w:vAlign w:val="center"/>
                </w:tcPr>
                <w:p w14:paraId="1E9702CB">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900-006-09</w:t>
                  </w:r>
                </w:p>
              </w:tc>
              <w:tc>
                <w:tcPr>
                  <w:tcW w:w="855" w:type="dxa"/>
                  <w:vAlign w:val="center"/>
                </w:tcPr>
                <w:p w14:paraId="78BE7A7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0.05</w:t>
                  </w:r>
                </w:p>
              </w:tc>
              <w:tc>
                <w:tcPr>
                  <w:tcW w:w="672" w:type="dxa"/>
                  <w:vAlign w:val="center"/>
                </w:tcPr>
                <w:p w14:paraId="78B2DC0B">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液态</w:t>
                  </w:r>
                </w:p>
              </w:tc>
              <w:tc>
                <w:tcPr>
                  <w:tcW w:w="1034" w:type="dxa"/>
                  <w:vAlign w:val="center"/>
                </w:tcPr>
                <w:p w14:paraId="3226B287">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3个月</w:t>
                  </w:r>
                </w:p>
              </w:tc>
              <w:tc>
                <w:tcPr>
                  <w:tcW w:w="1125" w:type="dxa"/>
                  <w:vMerge w:val="continue"/>
                  <w:vAlign w:val="center"/>
                </w:tcPr>
                <w:p w14:paraId="247351A5">
                  <w:pPr>
                    <w:wordWrap/>
                    <w:spacing w:line="240" w:lineRule="auto"/>
                    <w:jc w:val="center"/>
                    <w:rPr>
                      <w:rFonts w:hint="default" w:ascii="Times New Roman" w:hAnsi="Times New Roman" w:cs="Times New Roman"/>
                      <w:color w:val="auto"/>
                      <w:sz w:val="21"/>
                      <w:szCs w:val="21"/>
                    </w:rPr>
                  </w:pPr>
                </w:p>
              </w:tc>
            </w:tr>
            <w:tr w14:paraId="76447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5FCF056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活性炭吸附装置</w:t>
                  </w:r>
                </w:p>
              </w:tc>
              <w:tc>
                <w:tcPr>
                  <w:tcW w:w="1357" w:type="dxa"/>
                  <w:vAlign w:val="center"/>
                </w:tcPr>
                <w:p w14:paraId="4CBD9D6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657" w:type="dxa"/>
                  <w:vMerge w:val="continue"/>
                  <w:vAlign w:val="center"/>
                </w:tcPr>
                <w:p w14:paraId="413F20FA">
                  <w:pPr>
                    <w:wordWrap/>
                    <w:spacing w:line="240" w:lineRule="auto"/>
                    <w:jc w:val="center"/>
                    <w:rPr>
                      <w:rFonts w:hint="default" w:ascii="Times New Roman" w:hAnsi="Times New Roman" w:cs="Times New Roman"/>
                      <w:color w:val="auto"/>
                      <w:sz w:val="21"/>
                      <w:szCs w:val="21"/>
                    </w:rPr>
                  </w:pPr>
                </w:p>
              </w:tc>
              <w:tc>
                <w:tcPr>
                  <w:tcW w:w="1410" w:type="dxa"/>
                  <w:vAlign w:val="center"/>
                </w:tcPr>
                <w:p w14:paraId="63C1AC4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900-039-49</w:t>
                  </w:r>
                </w:p>
              </w:tc>
              <w:tc>
                <w:tcPr>
                  <w:tcW w:w="855" w:type="dxa"/>
                  <w:vAlign w:val="center"/>
                </w:tcPr>
                <w:p w14:paraId="62B754BB">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15.03</w:t>
                  </w:r>
                </w:p>
              </w:tc>
              <w:tc>
                <w:tcPr>
                  <w:tcW w:w="672" w:type="dxa"/>
                  <w:vAlign w:val="center"/>
                </w:tcPr>
                <w:p w14:paraId="1616102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643CD8F7">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3个月</w:t>
                  </w:r>
                </w:p>
              </w:tc>
              <w:tc>
                <w:tcPr>
                  <w:tcW w:w="1125" w:type="dxa"/>
                  <w:vMerge w:val="continue"/>
                  <w:vAlign w:val="center"/>
                </w:tcPr>
                <w:p w14:paraId="2E032421">
                  <w:pPr>
                    <w:wordWrap/>
                    <w:spacing w:line="240" w:lineRule="auto"/>
                    <w:jc w:val="center"/>
                    <w:rPr>
                      <w:rFonts w:hint="default" w:ascii="Times New Roman" w:hAnsi="Times New Roman" w:cs="Times New Roman"/>
                      <w:color w:val="auto"/>
                      <w:sz w:val="21"/>
                      <w:szCs w:val="21"/>
                    </w:rPr>
                  </w:pPr>
                </w:p>
              </w:tc>
            </w:tr>
            <w:tr w14:paraId="58679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6EC367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网版清洁</w:t>
                  </w:r>
                </w:p>
              </w:tc>
              <w:tc>
                <w:tcPr>
                  <w:tcW w:w="1357" w:type="dxa"/>
                  <w:vAlign w:val="center"/>
                </w:tcPr>
                <w:p w14:paraId="3BB15A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废网版</w:t>
                  </w:r>
                </w:p>
              </w:tc>
              <w:tc>
                <w:tcPr>
                  <w:tcW w:w="657" w:type="dxa"/>
                  <w:vMerge w:val="continue"/>
                  <w:vAlign w:val="center"/>
                </w:tcPr>
                <w:p w14:paraId="59B64099">
                  <w:pPr>
                    <w:keepNext w:val="0"/>
                    <w:keepLines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p>
              </w:tc>
              <w:tc>
                <w:tcPr>
                  <w:tcW w:w="1410" w:type="dxa"/>
                  <w:vAlign w:val="center"/>
                </w:tcPr>
                <w:p w14:paraId="5B3862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900-253-12</w:t>
                  </w:r>
                </w:p>
              </w:tc>
              <w:tc>
                <w:tcPr>
                  <w:tcW w:w="855" w:type="dxa"/>
                  <w:vAlign w:val="center"/>
                </w:tcPr>
                <w:p w14:paraId="525A71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c>
                <w:tcPr>
                  <w:tcW w:w="672" w:type="dxa"/>
                  <w:vAlign w:val="center"/>
                </w:tcPr>
                <w:p w14:paraId="19A602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固态</w:t>
                  </w:r>
                </w:p>
              </w:tc>
              <w:tc>
                <w:tcPr>
                  <w:tcW w:w="1034" w:type="dxa"/>
                  <w:vAlign w:val="center"/>
                </w:tcPr>
                <w:p w14:paraId="4CCEF7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月</w:t>
                  </w:r>
                </w:p>
              </w:tc>
              <w:tc>
                <w:tcPr>
                  <w:tcW w:w="1125" w:type="dxa"/>
                  <w:vMerge w:val="continue"/>
                  <w:vAlign w:val="center"/>
                </w:tcPr>
                <w:p w14:paraId="3420AAA7">
                  <w:pPr>
                    <w:wordWrap/>
                    <w:spacing w:line="240" w:lineRule="auto"/>
                    <w:jc w:val="center"/>
                    <w:rPr>
                      <w:rFonts w:hint="default" w:ascii="Times New Roman" w:hAnsi="Times New Roman" w:cs="Times New Roman"/>
                      <w:color w:val="auto"/>
                      <w:sz w:val="21"/>
                      <w:szCs w:val="21"/>
                    </w:rPr>
                  </w:pPr>
                </w:p>
              </w:tc>
            </w:tr>
            <w:tr w14:paraId="12BA5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0CE348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喷漆</w:t>
                  </w:r>
                </w:p>
              </w:tc>
              <w:tc>
                <w:tcPr>
                  <w:tcW w:w="1357" w:type="dxa"/>
                  <w:vAlign w:val="center"/>
                </w:tcPr>
                <w:p w14:paraId="790C7C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1"/>
                      <w:szCs w:val="21"/>
                      <w:lang w:val="en-US" w:eastAsia="zh-CN"/>
                    </w:rPr>
                    <w:t>喷枪清洗废水</w:t>
                  </w:r>
                </w:p>
              </w:tc>
              <w:tc>
                <w:tcPr>
                  <w:tcW w:w="657" w:type="dxa"/>
                  <w:vAlign w:val="center"/>
                </w:tcPr>
                <w:p w14:paraId="4AE7A78F">
                  <w:pPr>
                    <w:keepNext w:val="0"/>
                    <w:keepLines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4"/>
                      <w:szCs w:val="24"/>
                    </w:rPr>
                  </w:pPr>
                </w:p>
              </w:tc>
              <w:tc>
                <w:tcPr>
                  <w:tcW w:w="1410" w:type="dxa"/>
                  <w:vAlign w:val="center"/>
                </w:tcPr>
                <w:p w14:paraId="704EC7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900-007-09</w:t>
                  </w:r>
                </w:p>
              </w:tc>
              <w:tc>
                <w:tcPr>
                  <w:tcW w:w="855" w:type="dxa"/>
                  <w:vAlign w:val="center"/>
                </w:tcPr>
                <w:p w14:paraId="73428C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1"/>
                      <w:szCs w:val="21"/>
                      <w:lang w:val="en-US" w:eastAsia="zh-CN"/>
                    </w:rPr>
                    <w:t>0.194</w:t>
                  </w:r>
                </w:p>
              </w:tc>
              <w:tc>
                <w:tcPr>
                  <w:tcW w:w="672" w:type="dxa"/>
                  <w:vAlign w:val="center"/>
                </w:tcPr>
                <w:p w14:paraId="0C108A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液态</w:t>
                  </w:r>
                </w:p>
              </w:tc>
              <w:tc>
                <w:tcPr>
                  <w:tcW w:w="1034" w:type="dxa"/>
                  <w:vAlign w:val="center"/>
                </w:tcPr>
                <w:p w14:paraId="4202AC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天</w:t>
                  </w:r>
                </w:p>
              </w:tc>
              <w:tc>
                <w:tcPr>
                  <w:tcW w:w="1125" w:type="dxa"/>
                  <w:vMerge w:val="continue"/>
                  <w:vAlign w:val="center"/>
                </w:tcPr>
                <w:p w14:paraId="0B0DDEAB">
                  <w:pPr>
                    <w:wordWrap/>
                    <w:spacing w:line="240" w:lineRule="auto"/>
                    <w:jc w:val="center"/>
                    <w:rPr>
                      <w:rFonts w:hint="default" w:ascii="Times New Roman" w:hAnsi="Times New Roman" w:cs="Times New Roman"/>
                      <w:color w:val="auto"/>
                      <w:sz w:val="21"/>
                      <w:szCs w:val="21"/>
                    </w:rPr>
                  </w:pPr>
                </w:p>
              </w:tc>
            </w:tr>
            <w:tr w14:paraId="04C35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0ED1FD96">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员工生活</w:t>
                  </w:r>
                </w:p>
              </w:tc>
              <w:tc>
                <w:tcPr>
                  <w:tcW w:w="1357" w:type="dxa"/>
                  <w:vAlign w:val="center"/>
                </w:tcPr>
                <w:p w14:paraId="7E4D6FE5">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生活垃圾</w:t>
                  </w:r>
                </w:p>
              </w:tc>
              <w:tc>
                <w:tcPr>
                  <w:tcW w:w="657" w:type="dxa"/>
                  <w:vAlign w:val="center"/>
                </w:tcPr>
                <w:p w14:paraId="067387D2">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410" w:type="dxa"/>
                  <w:vAlign w:val="center"/>
                </w:tcPr>
                <w:p w14:paraId="3DD07A59">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855" w:type="dxa"/>
                  <w:vAlign w:val="center"/>
                </w:tcPr>
                <w:p w14:paraId="560A9964">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w:t>
                  </w:r>
                </w:p>
              </w:tc>
              <w:tc>
                <w:tcPr>
                  <w:tcW w:w="672" w:type="dxa"/>
                  <w:vAlign w:val="center"/>
                </w:tcPr>
                <w:p w14:paraId="35A754E9">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固态</w:t>
                  </w:r>
                </w:p>
              </w:tc>
              <w:tc>
                <w:tcPr>
                  <w:tcW w:w="1034" w:type="dxa"/>
                  <w:vAlign w:val="center"/>
                </w:tcPr>
                <w:p w14:paraId="47F3072F">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一天</w:t>
                  </w:r>
                </w:p>
              </w:tc>
              <w:tc>
                <w:tcPr>
                  <w:tcW w:w="1125" w:type="dxa"/>
                  <w:vAlign w:val="center"/>
                </w:tcPr>
                <w:p w14:paraId="5B2B6960">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交由环卫部门定期清运</w:t>
                  </w:r>
                </w:p>
              </w:tc>
            </w:tr>
          </w:tbl>
          <w:p w14:paraId="69F18EBC">
            <w:pPr>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（2）固体废物环境影响分析</w:t>
            </w:r>
          </w:p>
          <w:p w14:paraId="5094569E">
            <w:pPr>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1）一般固体废物放置措施</w:t>
            </w:r>
          </w:p>
          <w:p w14:paraId="1C4D0736">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项目机加工产生的</w:t>
            </w:r>
            <w:r>
              <w:rPr>
                <w:rFonts w:hint="default" w:ascii="Times New Roman" w:hAnsi="Times New Roman" w:cs="Times New Roman"/>
                <w:color w:val="auto"/>
                <w:szCs w:val="22"/>
                <w:lang w:val="en-US" w:eastAsia="zh-CN"/>
              </w:rPr>
              <w:t>废模具</w:t>
            </w:r>
            <w:r>
              <w:rPr>
                <w:rFonts w:hint="default" w:ascii="Times New Roman" w:hAnsi="Times New Roman" w:cs="Times New Roman"/>
                <w:color w:val="auto"/>
                <w:szCs w:val="22"/>
              </w:rPr>
              <w:t>、质量检验过程产生的不合格品</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lang w:val="en-US" w:eastAsia="zh-CN"/>
              </w:rPr>
              <w:t>生产过程废料</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lang w:val="en-US" w:eastAsia="zh-CN"/>
              </w:rPr>
              <w:t>包装产生的废包装材料和废水处理产生的废过滤网</w:t>
            </w:r>
            <w:r>
              <w:rPr>
                <w:rFonts w:hint="default" w:ascii="Times New Roman" w:hAnsi="Times New Roman" w:cs="Times New Roman"/>
                <w:color w:val="auto"/>
                <w:szCs w:val="22"/>
              </w:rPr>
              <w:t>收集后交由专业回收公司回收处理</w:t>
            </w:r>
            <w:r>
              <w:rPr>
                <w:rFonts w:hint="default" w:ascii="Times New Roman" w:hAnsi="Times New Roman" w:cs="Times New Roman"/>
                <w:color w:val="auto"/>
              </w:rPr>
              <w:t>。项目设一个</w:t>
            </w:r>
            <w:r>
              <w:rPr>
                <w:rFonts w:hint="default" w:ascii="Times New Roman" w:hAnsi="Times New Roman" w:cs="Times New Roman"/>
                <w:color w:val="auto"/>
                <w:lang w:val="en-US" w:eastAsia="zh-CN"/>
              </w:rPr>
              <w:t>15</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的固废暂存间，</w:t>
            </w:r>
            <w:r>
              <w:rPr>
                <w:rFonts w:hint="default" w:ascii="Times New Roman" w:hAnsi="Times New Roman" w:cs="Times New Roman"/>
                <w:color w:val="auto"/>
                <w:lang w:val="en-US" w:eastAsia="zh-CN"/>
              </w:rPr>
              <w:t>位于厂房六楼南侧，</w:t>
            </w:r>
            <w:r>
              <w:rPr>
                <w:rFonts w:hint="default" w:ascii="Times New Roman" w:hAnsi="Times New Roman" w:cs="Times New Roman"/>
                <w:color w:val="auto"/>
              </w:rPr>
              <w:t>按照防渗漏、防雨淋、防扬尘的相关要求</w:t>
            </w:r>
            <w:r>
              <w:rPr>
                <w:rFonts w:hint="default" w:ascii="Times New Roman" w:hAnsi="Times New Roman" w:cs="Times New Roman"/>
                <w:color w:val="auto"/>
                <w:szCs w:val="22"/>
              </w:rPr>
              <w:t>进行建设。</w:t>
            </w:r>
          </w:p>
          <w:p w14:paraId="25A9B3EE">
            <w:pPr>
              <w:ind w:firstLine="482" w:firstLineChars="200"/>
              <w:rPr>
                <w:rFonts w:hint="default" w:ascii="Times New Roman" w:hAnsi="Times New Roman" w:cs="Times New Roman"/>
                <w:bCs/>
                <w:color w:val="auto"/>
              </w:rPr>
            </w:pPr>
            <w:r>
              <w:rPr>
                <w:rFonts w:hint="default" w:ascii="Times New Roman" w:hAnsi="Times New Roman" w:cs="Times New Roman"/>
                <w:b/>
                <w:bCs/>
                <w:color w:val="auto"/>
              </w:rPr>
              <w:t>2）危险废物放置措施</w:t>
            </w:r>
          </w:p>
          <w:p w14:paraId="311FCFDD">
            <w:pPr>
              <w:pStyle w:val="69"/>
              <w:wordWrap w:val="0"/>
              <w:adjustRightInd/>
              <w:snapToGrid/>
              <w:ind w:firstLine="480"/>
              <w:jc w:val="both"/>
              <w:rPr>
                <w:rFonts w:hint="default" w:ascii="Times New Roman" w:hAnsi="Times New Roman" w:cs="Times New Roman"/>
                <w:color w:val="auto"/>
              </w:rPr>
            </w:pPr>
            <w:r>
              <w:rPr>
                <w:rFonts w:hint="default" w:ascii="Times New Roman" w:hAnsi="Times New Roman" w:cs="Times New Roman"/>
                <w:color w:val="auto"/>
              </w:rPr>
              <w:t>项目设一个10m</w:t>
            </w:r>
            <w:r>
              <w:rPr>
                <w:rFonts w:hint="default" w:ascii="Times New Roman" w:hAnsi="Times New Roman" w:cs="Times New Roman"/>
                <w:color w:val="auto"/>
                <w:vertAlign w:val="superscript"/>
              </w:rPr>
              <w:t>2</w:t>
            </w:r>
            <w:r>
              <w:rPr>
                <w:rFonts w:hint="default" w:ascii="Times New Roman" w:hAnsi="Times New Roman" w:cs="Times New Roman"/>
                <w:color w:val="auto"/>
              </w:rPr>
              <w:t>的危废暂存间</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位于厂房六楼南侧，</w:t>
            </w:r>
            <w:r>
              <w:rPr>
                <w:rFonts w:hint="default" w:ascii="Times New Roman" w:hAnsi="Times New Roman" w:cs="Times New Roman"/>
                <w:color w:val="auto"/>
              </w:rPr>
              <w:t>收集、贮存危险废物，生产过程产生的废原料桶、</w:t>
            </w:r>
            <w:r>
              <w:rPr>
                <w:rFonts w:hint="default" w:ascii="Times New Roman" w:hAnsi="Times New Roman" w:cs="Times New Roman"/>
                <w:color w:val="auto"/>
                <w:lang w:val="en-US" w:eastAsia="zh-CN"/>
              </w:rPr>
              <w:t>废抹布及废手套、</w:t>
            </w:r>
            <w:r>
              <w:rPr>
                <w:rFonts w:hint="default" w:ascii="Times New Roman" w:hAnsi="Times New Roman" w:cs="Times New Roman"/>
                <w:color w:val="auto"/>
              </w:rPr>
              <w:t>设备维护产生的废</w:t>
            </w:r>
            <w:r>
              <w:rPr>
                <w:rFonts w:hint="default" w:ascii="Times New Roman" w:hAnsi="Times New Roman" w:cs="Times New Roman"/>
                <w:color w:val="auto"/>
                <w:lang w:val="en-US" w:eastAsia="zh-CN"/>
              </w:rPr>
              <w:t>矿物油</w:t>
            </w:r>
            <w:r>
              <w:rPr>
                <w:rFonts w:hint="default" w:ascii="Times New Roman" w:hAnsi="Times New Roman" w:cs="Times New Roman"/>
                <w:color w:val="auto"/>
              </w:rPr>
              <w:t>、水帘柜产生的</w:t>
            </w:r>
            <w:r>
              <w:rPr>
                <w:rFonts w:hint="default" w:ascii="Times New Roman" w:hAnsi="Times New Roman" w:cs="Times New Roman"/>
                <w:color w:val="auto"/>
                <w:lang w:eastAsia="zh-CN"/>
              </w:rPr>
              <w:t>漆渣</w:t>
            </w:r>
            <w:r>
              <w:rPr>
                <w:rFonts w:hint="default" w:ascii="Times New Roman" w:hAnsi="Times New Roman" w:cs="Times New Roman"/>
                <w:color w:val="auto"/>
              </w:rPr>
              <w:t>、生产过程产生的</w:t>
            </w:r>
            <w:r>
              <w:rPr>
                <w:rFonts w:hint="default" w:ascii="Times New Roman" w:hAnsi="Times New Roman" w:cs="Times New Roman"/>
                <w:color w:val="auto"/>
                <w:lang w:eastAsia="zh-CN"/>
              </w:rPr>
              <w:t>喷淋废水、</w:t>
            </w:r>
            <w:r>
              <w:rPr>
                <w:rFonts w:hint="default" w:ascii="Times New Roman" w:hAnsi="Times New Roman" w:cs="Times New Roman"/>
                <w:color w:val="auto"/>
                <w:lang w:val="en-US" w:eastAsia="zh-CN"/>
              </w:rPr>
              <w:t>CNC加工过程产生的含油金属屑和废切削液、以及</w:t>
            </w:r>
            <w:r>
              <w:rPr>
                <w:rFonts w:hint="default" w:ascii="Times New Roman" w:hAnsi="Times New Roman" w:cs="Times New Roman"/>
                <w:color w:val="auto"/>
              </w:rPr>
              <w:t>废气处理过程产生的废活性炭收集后交由有资质的单位处理。危废暂存间应严格按照</w:t>
            </w:r>
            <w:r>
              <w:rPr>
                <w:rFonts w:hint="default" w:ascii="Times New Roman" w:hAnsi="Times New Roman" w:eastAsia="宋体" w:cs="Times New Roman"/>
                <w:bCs/>
                <w:color w:val="auto"/>
                <w:sz w:val="24"/>
                <w:szCs w:val="22"/>
              </w:rPr>
              <w:t>《危险废物贮存污染控制标准》（GB 18597-2023）</w:t>
            </w:r>
            <w:r>
              <w:rPr>
                <w:rFonts w:hint="default" w:ascii="Times New Roman" w:hAnsi="Times New Roman" w:cs="Times New Roman"/>
                <w:color w:val="auto"/>
              </w:rPr>
              <w:t>设置，做好警示标识，根据项目所产生危险废物的类别和性质分类贮存，必须采取防扬散、防流失、防渗漏及其他防止污染环境的措施，危险废物不得随意露天堆放。</w:t>
            </w:r>
          </w:p>
          <w:p w14:paraId="12D3DF84">
            <w:pPr>
              <w:ind w:firstLine="480" w:firstLineChars="200"/>
              <w:rPr>
                <w:rFonts w:hint="default" w:ascii="Times New Roman" w:hAnsi="Times New Roman" w:cs="Times New Roman"/>
                <w:color w:val="auto"/>
              </w:rPr>
            </w:pPr>
            <w:r>
              <w:rPr>
                <w:rFonts w:hint="default" w:ascii="Times New Roman" w:hAnsi="Times New Roman" w:cs="Times New Roman"/>
                <w:color w:val="auto"/>
              </w:rPr>
              <w:t>同时，企业必须定期对所贮存的危险废物包装容器及贮存设施进行检查，发现破损，应及时采取措施清理更换。</w:t>
            </w:r>
          </w:p>
          <w:p w14:paraId="6FA85AE3">
            <w:pPr>
              <w:autoSpaceDE w:val="0"/>
              <w:ind w:firstLine="480" w:firstLineChars="200"/>
              <w:rPr>
                <w:rFonts w:hint="default" w:ascii="Times New Roman" w:hAnsi="Times New Roman" w:cs="Times New Roman"/>
                <w:color w:val="auto"/>
              </w:rPr>
            </w:pPr>
            <w:r>
              <w:rPr>
                <w:rFonts w:hint="default" w:ascii="Times New Roman" w:hAnsi="Times New Roman" w:cs="Times New Roman"/>
                <w:color w:val="auto"/>
                <w:lang w:bidi="ar"/>
              </w:rPr>
              <w:t>项目根据《建设项目危险废物环境影响评价指南》设立危险废物暂存点，危险废物储存到一定量后交由有危险废物处置资质单位处理。危险废物贮存场所基本情况如下表。</w:t>
            </w:r>
          </w:p>
          <w:p w14:paraId="1E547F58">
            <w:pPr>
              <w:wordWrap/>
              <w:spacing w:line="240" w:lineRule="auto"/>
              <w:ind w:firstLine="482"/>
              <w:jc w:val="center"/>
              <w:rPr>
                <w:rFonts w:hint="default" w:ascii="Times New Roman" w:hAnsi="Times New Roman" w:cs="Times New Roman"/>
                <w:b/>
                <w:color w:val="auto"/>
              </w:rPr>
            </w:pPr>
            <w:r>
              <w:rPr>
                <w:rFonts w:hint="default" w:ascii="Times New Roman" w:hAnsi="Times New Roman" w:cs="Times New Roman"/>
                <w:b/>
                <w:color w:val="auto"/>
              </w:rPr>
              <w:t>表</w:t>
            </w:r>
            <w:r>
              <w:rPr>
                <w:rFonts w:hint="default" w:ascii="Times New Roman" w:hAnsi="Times New Roman" w:cs="Times New Roman"/>
                <w:b/>
                <w:color w:val="auto"/>
                <w:lang w:val="en-US" w:eastAsia="zh-CN"/>
              </w:rPr>
              <w:t>4-26</w:t>
            </w:r>
            <w:r>
              <w:rPr>
                <w:rFonts w:hint="default" w:ascii="Times New Roman" w:hAnsi="Times New Roman" w:cs="Times New Roman"/>
                <w:b/>
                <w:color w:val="auto"/>
              </w:rPr>
              <w:t xml:space="preserve"> 建设项目危险废物贮存场所基本情况样表</w:t>
            </w:r>
          </w:p>
          <w:tbl>
            <w:tblPr>
              <w:tblStyle w:val="22"/>
              <w:tblW w:w="8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257"/>
              <w:gridCol w:w="1187"/>
              <w:gridCol w:w="1341"/>
              <w:gridCol w:w="1233"/>
              <w:gridCol w:w="1217"/>
            </w:tblGrid>
            <w:tr w14:paraId="7F044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242" w:type="dxa"/>
                  <w:shd w:val="clear" w:color="auto" w:fill="auto"/>
                  <w:vAlign w:val="center"/>
                </w:tcPr>
                <w:p w14:paraId="41ABDF04">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贮存场所名称</w:t>
                  </w:r>
                </w:p>
              </w:tc>
              <w:tc>
                <w:tcPr>
                  <w:tcW w:w="2257" w:type="dxa"/>
                  <w:shd w:val="clear" w:color="auto" w:fill="auto"/>
                  <w:vAlign w:val="center"/>
                </w:tcPr>
                <w:p w14:paraId="040415D5">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危险废物名称</w:t>
                  </w:r>
                </w:p>
              </w:tc>
              <w:tc>
                <w:tcPr>
                  <w:tcW w:w="1187" w:type="dxa"/>
                  <w:shd w:val="clear" w:color="auto" w:fill="auto"/>
                  <w:vAlign w:val="center"/>
                </w:tcPr>
                <w:p w14:paraId="5F6B099E">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占地面积</w:t>
                  </w:r>
                </w:p>
              </w:tc>
              <w:tc>
                <w:tcPr>
                  <w:tcW w:w="1341" w:type="dxa"/>
                  <w:shd w:val="clear" w:color="auto" w:fill="auto"/>
                  <w:vAlign w:val="center"/>
                </w:tcPr>
                <w:p w14:paraId="51F613C7">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贮存方式</w:t>
                  </w:r>
                </w:p>
              </w:tc>
              <w:tc>
                <w:tcPr>
                  <w:tcW w:w="1233" w:type="dxa"/>
                  <w:shd w:val="clear" w:color="auto" w:fill="auto"/>
                  <w:vAlign w:val="center"/>
                </w:tcPr>
                <w:p w14:paraId="6B372286">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贮存能力</w:t>
                  </w:r>
                </w:p>
              </w:tc>
              <w:tc>
                <w:tcPr>
                  <w:tcW w:w="1217" w:type="dxa"/>
                  <w:shd w:val="clear" w:color="auto" w:fill="auto"/>
                  <w:vAlign w:val="center"/>
                </w:tcPr>
                <w:p w14:paraId="060BF003">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贮存周期</w:t>
                  </w:r>
                </w:p>
              </w:tc>
            </w:tr>
            <w:tr w14:paraId="00338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42" w:type="dxa"/>
                  <w:vMerge w:val="restart"/>
                  <w:shd w:val="clear" w:color="auto" w:fill="auto"/>
                  <w:vAlign w:val="center"/>
                </w:tcPr>
                <w:p w14:paraId="5B4BFC82">
                  <w:pPr>
                    <w:topLinePunct/>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危险废物暂存间</w:t>
                  </w:r>
                </w:p>
              </w:tc>
              <w:tc>
                <w:tcPr>
                  <w:tcW w:w="2257" w:type="dxa"/>
                  <w:shd w:val="clear" w:color="auto" w:fill="auto"/>
                  <w:vAlign w:val="center"/>
                </w:tcPr>
                <w:p w14:paraId="2D30564E">
                  <w:pPr>
                    <w:autoSpaceDE w:val="0"/>
                    <w:autoSpaceDN w:val="0"/>
                    <w:spacing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矿物油</w:t>
                  </w:r>
                </w:p>
              </w:tc>
              <w:tc>
                <w:tcPr>
                  <w:tcW w:w="1187" w:type="dxa"/>
                  <w:vMerge w:val="restart"/>
                  <w:shd w:val="clear" w:color="auto" w:fill="auto"/>
                  <w:vAlign w:val="center"/>
                </w:tcPr>
                <w:p w14:paraId="77A072BA">
                  <w:pPr>
                    <w:topLinePunct/>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10m</w:t>
                  </w:r>
                  <w:r>
                    <w:rPr>
                      <w:rFonts w:hint="default" w:ascii="Times New Roman" w:hAnsi="Times New Roman" w:cs="Times New Roman"/>
                      <w:color w:val="auto"/>
                      <w:kern w:val="0"/>
                      <w:sz w:val="21"/>
                      <w:szCs w:val="21"/>
                      <w:vertAlign w:val="superscript"/>
                    </w:rPr>
                    <w:t>2</w:t>
                  </w:r>
                </w:p>
              </w:tc>
              <w:tc>
                <w:tcPr>
                  <w:tcW w:w="1341" w:type="dxa"/>
                  <w:shd w:val="clear" w:color="auto" w:fill="auto"/>
                  <w:vAlign w:val="center"/>
                </w:tcPr>
                <w:p w14:paraId="6D941406">
                  <w:pPr>
                    <w:topLinePunct/>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桶装</w:t>
                  </w:r>
                </w:p>
              </w:tc>
              <w:tc>
                <w:tcPr>
                  <w:tcW w:w="1233" w:type="dxa"/>
                  <w:shd w:val="clear" w:color="auto" w:fill="auto"/>
                  <w:vAlign w:val="center"/>
                </w:tcPr>
                <w:p w14:paraId="25A5C782">
                  <w:pPr>
                    <w:topLinePunct/>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50kg</w:t>
                  </w:r>
                </w:p>
              </w:tc>
              <w:tc>
                <w:tcPr>
                  <w:tcW w:w="1217" w:type="dxa"/>
                  <w:shd w:val="clear" w:color="auto" w:fill="auto"/>
                  <w:vAlign w:val="center"/>
                </w:tcPr>
                <w:p w14:paraId="5318369A">
                  <w:pPr>
                    <w:autoSpaceDE w:val="0"/>
                    <w:autoSpaceDN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半年</w:t>
                  </w:r>
                </w:p>
              </w:tc>
            </w:tr>
            <w:tr w14:paraId="542A7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42" w:type="dxa"/>
                  <w:vMerge w:val="continue"/>
                  <w:shd w:val="clear" w:color="auto" w:fill="auto"/>
                  <w:vAlign w:val="center"/>
                </w:tcPr>
                <w:p w14:paraId="786CC92B">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134510A2">
                  <w:pPr>
                    <w:autoSpaceDE w:val="0"/>
                    <w:autoSpaceDN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废原料桶</w:t>
                  </w:r>
                </w:p>
              </w:tc>
              <w:tc>
                <w:tcPr>
                  <w:tcW w:w="1187" w:type="dxa"/>
                  <w:vMerge w:val="continue"/>
                  <w:shd w:val="clear" w:color="auto" w:fill="auto"/>
                  <w:vAlign w:val="center"/>
                </w:tcPr>
                <w:p w14:paraId="76F2616E">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063DBE86">
                  <w:pPr>
                    <w:topLinePunct/>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堆放</w:t>
                  </w:r>
                </w:p>
              </w:tc>
              <w:tc>
                <w:tcPr>
                  <w:tcW w:w="1233" w:type="dxa"/>
                  <w:shd w:val="clear" w:color="auto" w:fill="auto"/>
                  <w:vAlign w:val="center"/>
                </w:tcPr>
                <w:p w14:paraId="58B6C6FC">
                  <w:pPr>
                    <w:topLinePunct/>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20kg</w:t>
                  </w:r>
                </w:p>
              </w:tc>
              <w:tc>
                <w:tcPr>
                  <w:tcW w:w="1217" w:type="dxa"/>
                  <w:shd w:val="clear" w:color="auto" w:fill="auto"/>
                  <w:vAlign w:val="center"/>
                </w:tcPr>
                <w:p w14:paraId="44478492">
                  <w:pPr>
                    <w:autoSpaceDE w:val="0"/>
                    <w:autoSpaceDN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一个月</w:t>
                  </w:r>
                </w:p>
              </w:tc>
            </w:tr>
            <w:tr w14:paraId="7ECEA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42" w:type="dxa"/>
                  <w:vMerge w:val="continue"/>
                  <w:shd w:val="clear" w:color="auto" w:fill="auto"/>
                  <w:vAlign w:val="center"/>
                </w:tcPr>
                <w:p w14:paraId="65409EFD">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6D851DAF">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漆渣</w:t>
                  </w:r>
                </w:p>
              </w:tc>
              <w:tc>
                <w:tcPr>
                  <w:tcW w:w="1187" w:type="dxa"/>
                  <w:vMerge w:val="continue"/>
                  <w:shd w:val="clear" w:color="auto" w:fill="auto"/>
                  <w:vAlign w:val="center"/>
                </w:tcPr>
                <w:p w14:paraId="21C73403">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0816F89A">
                  <w:pPr>
                    <w:topLinePunct/>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桶装</w:t>
                  </w:r>
                </w:p>
              </w:tc>
              <w:tc>
                <w:tcPr>
                  <w:tcW w:w="1233" w:type="dxa"/>
                  <w:shd w:val="clear" w:color="auto" w:fill="auto"/>
                  <w:vAlign w:val="center"/>
                </w:tcPr>
                <w:p w14:paraId="799FC278">
                  <w:pPr>
                    <w:topLinePunct/>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40kg</w:t>
                  </w:r>
                </w:p>
              </w:tc>
              <w:tc>
                <w:tcPr>
                  <w:tcW w:w="1217" w:type="dxa"/>
                  <w:shd w:val="clear" w:color="auto" w:fill="auto"/>
                  <w:vAlign w:val="center"/>
                </w:tcPr>
                <w:p w14:paraId="61EAC26C">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三个月</w:t>
                  </w:r>
                </w:p>
              </w:tc>
            </w:tr>
            <w:tr w14:paraId="1779A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42" w:type="dxa"/>
                  <w:vMerge w:val="continue"/>
                  <w:shd w:val="clear" w:color="auto" w:fill="auto"/>
                  <w:vAlign w:val="center"/>
                </w:tcPr>
                <w:p w14:paraId="18B80A59">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7B15C8F3">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喷淋废水</w:t>
                  </w:r>
                </w:p>
              </w:tc>
              <w:tc>
                <w:tcPr>
                  <w:tcW w:w="1187" w:type="dxa"/>
                  <w:vMerge w:val="continue"/>
                  <w:shd w:val="clear" w:color="auto" w:fill="auto"/>
                  <w:vAlign w:val="center"/>
                </w:tcPr>
                <w:p w14:paraId="6C41BE0C">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24FDB6F1">
                  <w:pPr>
                    <w:topLinePunct/>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桶装</w:t>
                  </w:r>
                </w:p>
              </w:tc>
              <w:tc>
                <w:tcPr>
                  <w:tcW w:w="1233" w:type="dxa"/>
                  <w:shd w:val="clear" w:color="auto" w:fill="auto"/>
                  <w:vAlign w:val="center"/>
                </w:tcPr>
                <w:p w14:paraId="4788A8D3">
                  <w:pPr>
                    <w:topLinePunct/>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4t</w:t>
                  </w:r>
                </w:p>
              </w:tc>
              <w:tc>
                <w:tcPr>
                  <w:tcW w:w="1217" w:type="dxa"/>
                  <w:shd w:val="clear" w:color="auto" w:fill="auto"/>
                  <w:vAlign w:val="center"/>
                </w:tcPr>
                <w:p w14:paraId="12A13F8A">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三个月</w:t>
                  </w:r>
                </w:p>
              </w:tc>
            </w:tr>
            <w:tr w14:paraId="5A494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42" w:type="dxa"/>
                  <w:vMerge w:val="continue"/>
                  <w:shd w:val="clear" w:color="auto" w:fill="auto"/>
                  <w:vAlign w:val="center"/>
                </w:tcPr>
                <w:p w14:paraId="79F8F811">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0132026E">
                  <w:pPr>
                    <w:autoSpaceDE w:val="0"/>
                    <w:autoSpaceDN w:val="0"/>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废活性炭</w:t>
                  </w:r>
                </w:p>
              </w:tc>
              <w:tc>
                <w:tcPr>
                  <w:tcW w:w="1187" w:type="dxa"/>
                  <w:vMerge w:val="continue"/>
                  <w:shd w:val="clear" w:color="auto" w:fill="auto"/>
                  <w:vAlign w:val="center"/>
                </w:tcPr>
                <w:p w14:paraId="482E462C">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40B4460D">
                  <w:pPr>
                    <w:topLinePunct/>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袋装</w:t>
                  </w:r>
                </w:p>
              </w:tc>
              <w:tc>
                <w:tcPr>
                  <w:tcW w:w="1233" w:type="dxa"/>
                  <w:shd w:val="clear" w:color="auto" w:fill="auto"/>
                  <w:vAlign w:val="center"/>
                </w:tcPr>
                <w:p w14:paraId="0EEAD1D6">
                  <w:pPr>
                    <w:topLinePunct/>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1t</w:t>
                  </w:r>
                </w:p>
              </w:tc>
              <w:tc>
                <w:tcPr>
                  <w:tcW w:w="1217" w:type="dxa"/>
                  <w:shd w:val="clear" w:color="auto" w:fill="auto"/>
                  <w:vAlign w:val="center"/>
                </w:tcPr>
                <w:p w14:paraId="7F33A939">
                  <w:pPr>
                    <w:autoSpaceDE w:val="0"/>
                    <w:autoSpaceDN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三个月</w:t>
                  </w:r>
                </w:p>
              </w:tc>
            </w:tr>
            <w:tr w14:paraId="30AD4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42" w:type="dxa"/>
                  <w:vMerge w:val="continue"/>
                  <w:shd w:val="clear" w:color="auto" w:fill="auto"/>
                  <w:vAlign w:val="center"/>
                </w:tcPr>
                <w:p w14:paraId="26D682BC">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47FDE7BA">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含油金属屑</w:t>
                  </w:r>
                </w:p>
              </w:tc>
              <w:tc>
                <w:tcPr>
                  <w:tcW w:w="1187" w:type="dxa"/>
                  <w:vMerge w:val="continue"/>
                  <w:shd w:val="clear" w:color="auto" w:fill="auto"/>
                  <w:vAlign w:val="center"/>
                </w:tcPr>
                <w:p w14:paraId="6DA1AE93">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63F218D8">
                  <w:pPr>
                    <w:topLinePunct/>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桶装</w:t>
                  </w:r>
                </w:p>
              </w:tc>
              <w:tc>
                <w:tcPr>
                  <w:tcW w:w="1233" w:type="dxa"/>
                  <w:shd w:val="clear" w:color="auto" w:fill="auto"/>
                  <w:vAlign w:val="center"/>
                </w:tcPr>
                <w:p w14:paraId="01460795">
                  <w:pPr>
                    <w:topLinePunct/>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10kg</w:t>
                  </w:r>
                </w:p>
              </w:tc>
              <w:tc>
                <w:tcPr>
                  <w:tcW w:w="1217" w:type="dxa"/>
                  <w:shd w:val="clear" w:color="auto" w:fill="auto"/>
                  <w:vAlign w:val="center"/>
                </w:tcPr>
                <w:p w14:paraId="234925A8">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一个月</w:t>
                  </w:r>
                </w:p>
              </w:tc>
            </w:tr>
            <w:tr w14:paraId="1C020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42" w:type="dxa"/>
                  <w:vMerge w:val="continue"/>
                  <w:shd w:val="clear" w:color="auto" w:fill="auto"/>
                  <w:vAlign w:val="center"/>
                </w:tcPr>
                <w:p w14:paraId="7418498F">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2F09DE48">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废切削液</w:t>
                  </w:r>
                </w:p>
              </w:tc>
              <w:tc>
                <w:tcPr>
                  <w:tcW w:w="1187" w:type="dxa"/>
                  <w:vMerge w:val="continue"/>
                  <w:shd w:val="clear" w:color="auto" w:fill="auto"/>
                  <w:vAlign w:val="center"/>
                </w:tcPr>
                <w:p w14:paraId="5BA8EA2B">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1008F47D">
                  <w:pPr>
                    <w:topLinePunct/>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桶装</w:t>
                  </w:r>
                </w:p>
              </w:tc>
              <w:tc>
                <w:tcPr>
                  <w:tcW w:w="1233" w:type="dxa"/>
                  <w:shd w:val="clear" w:color="auto" w:fill="auto"/>
                  <w:vAlign w:val="center"/>
                </w:tcPr>
                <w:p w14:paraId="5211671A">
                  <w:pPr>
                    <w:topLinePunct/>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0.2t</w:t>
                  </w:r>
                </w:p>
              </w:tc>
              <w:tc>
                <w:tcPr>
                  <w:tcW w:w="1217" w:type="dxa"/>
                  <w:shd w:val="clear" w:color="auto" w:fill="auto"/>
                  <w:vAlign w:val="center"/>
                </w:tcPr>
                <w:p w14:paraId="60A63C0D">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三个月</w:t>
                  </w:r>
                </w:p>
              </w:tc>
            </w:tr>
            <w:tr w14:paraId="62635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242" w:type="dxa"/>
                  <w:vMerge w:val="continue"/>
                  <w:shd w:val="clear" w:color="auto" w:fill="auto"/>
                  <w:vAlign w:val="center"/>
                </w:tcPr>
                <w:p w14:paraId="2B3E47BA">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64436FCB">
                  <w:pPr>
                    <w:autoSpaceDE w:val="0"/>
                    <w:autoSpaceDN w:val="0"/>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废抹布及废手套</w:t>
                  </w:r>
                </w:p>
              </w:tc>
              <w:tc>
                <w:tcPr>
                  <w:tcW w:w="1187" w:type="dxa"/>
                  <w:vMerge w:val="continue"/>
                  <w:shd w:val="clear" w:color="auto" w:fill="auto"/>
                  <w:vAlign w:val="center"/>
                </w:tcPr>
                <w:p w14:paraId="6479DAB5">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38504447">
                  <w:pPr>
                    <w:topLinePunct/>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袋装</w:t>
                  </w:r>
                </w:p>
              </w:tc>
              <w:tc>
                <w:tcPr>
                  <w:tcW w:w="1233" w:type="dxa"/>
                  <w:shd w:val="clear" w:color="auto" w:fill="auto"/>
                  <w:vAlign w:val="center"/>
                </w:tcPr>
                <w:p w14:paraId="2CBA5D93">
                  <w:pPr>
                    <w:topLinePunct/>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5kg</w:t>
                  </w:r>
                </w:p>
              </w:tc>
              <w:tc>
                <w:tcPr>
                  <w:tcW w:w="1217" w:type="dxa"/>
                  <w:shd w:val="clear" w:color="auto" w:fill="auto"/>
                  <w:vAlign w:val="center"/>
                </w:tcPr>
                <w:p w14:paraId="26E2F1B8">
                  <w:pPr>
                    <w:autoSpaceDE w:val="0"/>
                    <w:autoSpaceDN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半年</w:t>
                  </w:r>
                </w:p>
              </w:tc>
            </w:tr>
            <w:tr w14:paraId="583C9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242" w:type="dxa"/>
                  <w:vMerge w:val="continue"/>
                  <w:shd w:val="clear" w:color="auto" w:fill="auto"/>
                  <w:vAlign w:val="center"/>
                </w:tcPr>
                <w:p w14:paraId="60F0B736">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7F3E259E">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废网版</w:t>
                  </w:r>
                </w:p>
              </w:tc>
              <w:tc>
                <w:tcPr>
                  <w:tcW w:w="1187" w:type="dxa"/>
                  <w:vMerge w:val="continue"/>
                  <w:shd w:val="clear" w:color="auto" w:fill="auto"/>
                  <w:vAlign w:val="center"/>
                </w:tcPr>
                <w:p w14:paraId="4F99D922">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49118172">
                  <w:pPr>
                    <w:topLinePunct/>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袋装</w:t>
                  </w:r>
                </w:p>
              </w:tc>
              <w:tc>
                <w:tcPr>
                  <w:tcW w:w="1233" w:type="dxa"/>
                  <w:shd w:val="clear" w:color="auto" w:fill="auto"/>
                  <w:vAlign w:val="center"/>
                </w:tcPr>
                <w:p w14:paraId="18A269AB">
                  <w:pPr>
                    <w:topLinePunct/>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0.1t</w:t>
                  </w:r>
                </w:p>
              </w:tc>
              <w:tc>
                <w:tcPr>
                  <w:tcW w:w="1217" w:type="dxa"/>
                  <w:shd w:val="clear" w:color="auto" w:fill="auto"/>
                  <w:vAlign w:val="center"/>
                </w:tcPr>
                <w:p w14:paraId="745EDB30">
                  <w:pPr>
                    <w:autoSpaceDE w:val="0"/>
                    <w:autoSpaceDN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三个月</w:t>
                  </w:r>
                </w:p>
              </w:tc>
            </w:tr>
            <w:tr w14:paraId="23930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242" w:type="dxa"/>
                  <w:vMerge w:val="continue"/>
                  <w:shd w:val="clear" w:color="auto" w:fill="auto"/>
                  <w:vAlign w:val="center"/>
                </w:tcPr>
                <w:p w14:paraId="0C2B02A1">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2BAE48F7">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喷枪清洗废水</w:t>
                  </w:r>
                </w:p>
              </w:tc>
              <w:tc>
                <w:tcPr>
                  <w:tcW w:w="1187" w:type="dxa"/>
                  <w:vMerge w:val="continue"/>
                  <w:shd w:val="clear" w:color="auto" w:fill="auto"/>
                  <w:vAlign w:val="center"/>
                </w:tcPr>
                <w:p w14:paraId="5616F476">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30826D15">
                  <w:pPr>
                    <w:topLinePunct/>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val="en-US" w:eastAsia="zh-CN" w:bidi="ar"/>
                    </w:rPr>
                    <w:t>桶装</w:t>
                  </w:r>
                </w:p>
              </w:tc>
              <w:tc>
                <w:tcPr>
                  <w:tcW w:w="1233" w:type="dxa"/>
                  <w:shd w:val="clear" w:color="auto" w:fill="auto"/>
                  <w:vAlign w:val="center"/>
                </w:tcPr>
                <w:p w14:paraId="1C1350E5">
                  <w:pPr>
                    <w:topLinePunct/>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0.05</w:t>
                  </w:r>
                </w:p>
              </w:tc>
              <w:tc>
                <w:tcPr>
                  <w:tcW w:w="1217" w:type="dxa"/>
                  <w:shd w:val="clear" w:color="auto" w:fill="auto"/>
                  <w:vAlign w:val="center"/>
                </w:tcPr>
                <w:p w14:paraId="3FB2F615">
                  <w:pPr>
                    <w:autoSpaceDE w:val="0"/>
                    <w:autoSpaceDN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一个月</w:t>
                  </w:r>
                </w:p>
              </w:tc>
            </w:tr>
          </w:tbl>
          <w:p w14:paraId="49D8BBE7">
            <w:pPr>
              <w:ind w:left="482"/>
              <w:rPr>
                <w:rFonts w:hint="default" w:ascii="Times New Roman" w:hAnsi="Times New Roman" w:cs="Times New Roman"/>
                <w:b/>
                <w:bCs/>
                <w:color w:val="auto"/>
              </w:rPr>
            </w:pPr>
            <w:r>
              <w:rPr>
                <w:rFonts w:hint="default" w:ascii="Times New Roman" w:hAnsi="Times New Roman" w:cs="Times New Roman"/>
                <w:b/>
                <w:bCs/>
                <w:color w:val="auto"/>
              </w:rPr>
              <w:t>3）生活垃圾处理措施</w:t>
            </w:r>
          </w:p>
          <w:p w14:paraId="22E42945">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项目设置有多个垃圾收集筒，生活垃圾全部分类收集，然后经收集后定期交环卫部门清运处理。</w:t>
            </w:r>
          </w:p>
          <w:p w14:paraId="20C83F3D">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综上所述，项目固体废物经采取相关的措施处理处置后，可以得到及时、妥善的处理和处置，对周围环境产生影响较小。</w:t>
            </w:r>
          </w:p>
          <w:p w14:paraId="78F22236">
            <w:pPr>
              <w:widowControl/>
              <w:rPr>
                <w:rFonts w:hint="default" w:ascii="Times New Roman" w:hAnsi="Times New Roman" w:cs="Times New Roman"/>
                <w:b/>
                <w:bCs/>
                <w:color w:val="auto"/>
                <w:szCs w:val="22"/>
              </w:rPr>
            </w:pPr>
            <w:r>
              <w:rPr>
                <w:rFonts w:hint="default" w:ascii="Times New Roman" w:hAnsi="Times New Roman" w:cs="Times New Roman"/>
                <w:b/>
                <w:bCs/>
                <w:color w:val="auto"/>
                <w:szCs w:val="22"/>
              </w:rPr>
              <w:t>5、土壤、地下水环境</w:t>
            </w:r>
          </w:p>
          <w:p w14:paraId="2DEC0EB9">
            <w:pPr>
              <w:widowControl/>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项目将对地面进行</w:t>
            </w:r>
            <w:r>
              <w:rPr>
                <w:rFonts w:hint="default" w:ascii="Times New Roman" w:hAnsi="Times New Roman" w:cs="Times New Roman"/>
                <w:color w:val="auto"/>
                <w:szCs w:val="22"/>
                <w:lang w:val="en-US" w:eastAsia="zh-CN"/>
              </w:rPr>
              <w:t>硬化</w:t>
            </w:r>
            <w:r>
              <w:rPr>
                <w:rFonts w:hint="default" w:ascii="Times New Roman" w:hAnsi="Times New Roman" w:cs="Times New Roman"/>
                <w:color w:val="auto"/>
                <w:szCs w:val="22"/>
              </w:rPr>
              <w:t>处理，厂区内设置雨水收集管网，因此运营期可不考虑地面漫流的污染途径。</w:t>
            </w:r>
            <w:r>
              <w:rPr>
                <w:rFonts w:hint="default" w:ascii="Times New Roman" w:hAnsi="Times New Roman" w:eastAsia="宋体" w:cs="Times New Roman"/>
                <w:color w:val="auto"/>
                <w:sz w:val="24"/>
                <w:szCs w:val="22"/>
                <w:lang w:val="en-US" w:eastAsia="zh-CN"/>
              </w:rPr>
              <w:t>项目设危废暂存间和固废暂存间贮存固体废物，位于</w:t>
            </w:r>
            <w:r>
              <w:rPr>
                <w:rFonts w:hint="default" w:ascii="Times New Roman" w:hAnsi="Times New Roman" w:cs="Times New Roman"/>
                <w:color w:val="auto"/>
                <w:sz w:val="24"/>
                <w:szCs w:val="22"/>
                <w:lang w:val="en-US" w:eastAsia="zh-CN"/>
              </w:rPr>
              <w:t>一楼西南侧</w:t>
            </w:r>
            <w:r>
              <w:rPr>
                <w:rFonts w:hint="default" w:ascii="Times New Roman" w:hAnsi="Times New Roman" w:eastAsia="宋体" w:cs="Times New Roman"/>
                <w:color w:val="auto"/>
                <w:sz w:val="24"/>
                <w:szCs w:val="22"/>
                <w:lang w:val="en-US" w:eastAsia="zh-CN"/>
              </w:rPr>
              <w:t>，</w:t>
            </w:r>
            <w:r>
              <w:rPr>
                <w:rFonts w:hint="default" w:ascii="Times New Roman" w:hAnsi="Times New Roman" w:cs="Times New Roman"/>
                <w:color w:val="auto"/>
                <w:szCs w:val="22"/>
              </w:rPr>
              <w:t>危废暂存间做好防腐防渗措施，严格按照相应规范要求进行施工，因此不会出现底部破损进而导致污染物经过垂直入渗途径影响土壤环境和地下水环境的情况。项目废气经收集处理后可以达标排放，</w:t>
            </w:r>
            <w:r>
              <w:rPr>
                <w:rFonts w:hint="default" w:ascii="Times New Roman" w:hAnsi="Times New Roman" w:cs="Times New Roman"/>
                <w:color w:val="auto"/>
              </w:rPr>
              <w:t>因此废气排放对土壤和地下水环境造成较小影响。</w:t>
            </w:r>
            <w:r>
              <w:rPr>
                <w:rFonts w:hint="default" w:ascii="Times New Roman" w:hAnsi="Times New Roman" w:cs="Times New Roman"/>
                <w:color w:val="auto"/>
                <w:szCs w:val="22"/>
              </w:rPr>
              <w:t>综上所述，项目建成后对土壤环境和地下水环境造成的影响较小，无需进行土壤和地下水环境影响分析。</w:t>
            </w:r>
          </w:p>
          <w:p w14:paraId="68877300">
            <w:pPr>
              <w:widowControl/>
              <w:rPr>
                <w:rFonts w:hint="default" w:ascii="Times New Roman" w:hAnsi="Times New Roman" w:cs="Times New Roman"/>
                <w:b/>
                <w:bCs/>
                <w:color w:val="auto"/>
                <w:szCs w:val="22"/>
              </w:rPr>
            </w:pPr>
            <w:r>
              <w:rPr>
                <w:rFonts w:hint="default" w:ascii="Times New Roman" w:hAnsi="Times New Roman" w:cs="Times New Roman"/>
                <w:b/>
                <w:bCs/>
                <w:color w:val="auto"/>
                <w:szCs w:val="22"/>
              </w:rPr>
              <w:t>6、环境风险</w:t>
            </w:r>
          </w:p>
          <w:p w14:paraId="6D5DC3B2">
            <w:pPr>
              <w:adjustRightInd w:val="0"/>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（1）风险识别</w:t>
            </w:r>
          </w:p>
          <w:p w14:paraId="4401594C">
            <w:pPr>
              <w:adjustRightInd w:val="0"/>
              <w:ind w:firstLine="480" w:firstLineChars="200"/>
              <w:rPr>
                <w:rFonts w:hint="default" w:ascii="Times New Roman" w:hAnsi="Times New Roman" w:cs="Times New Roman"/>
                <w:color w:val="auto"/>
              </w:rPr>
            </w:pPr>
            <w:r>
              <w:rPr>
                <w:rFonts w:hint="default" w:ascii="Times New Roman" w:hAnsi="Times New Roman" w:cs="Times New Roman"/>
                <w:color w:val="auto"/>
              </w:rPr>
              <w:t>根据《建设项目环境风险评价技术导则》（HJ 169-2018）附录B及《危险化学品重大危险源辨识》（18218-2018），项目生产过程中涉及的风险物质为原辅材料中使用的润滑油、</w:t>
            </w:r>
            <w:r>
              <w:rPr>
                <w:rFonts w:hint="default" w:ascii="Times New Roman" w:hAnsi="Times New Roman" w:cs="Times New Roman"/>
                <w:color w:val="auto"/>
                <w:lang w:val="en-US" w:eastAsia="zh-CN"/>
              </w:rPr>
              <w:t>火花油、水性漆、硫化剂、水性油墨、切削液</w:t>
            </w:r>
            <w:r>
              <w:rPr>
                <w:rFonts w:hint="default" w:ascii="Times New Roman" w:hAnsi="Times New Roman" w:cs="Times New Roman"/>
                <w:color w:val="auto"/>
              </w:rPr>
              <w:t>等，润滑油和</w:t>
            </w:r>
            <w:r>
              <w:rPr>
                <w:rFonts w:hint="default" w:ascii="Times New Roman" w:hAnsi="Times New Roman" w:cs="Times New Roman"/>
                <w:color w:val="auto"/>
                <w:lang w:val="en-US" w:eastAsia="zh-CN"/>
              </w:rPr>
              <w:t>火花油</w:t>
            </w:r>
            <w:r>
              <w:rPr>
                <w:rFonts w:hint="default" w:ascii="Times New Roman" w:hAnsi="Times New Roman" w:cs="Times New Roman"/>
                <w:color w:val="auto"/>
              </w:rPr>
              <w:t>属于</w:t>
            </w:r>
            <w:r>
              <w:rPr>
                <w:rFonts w:hint="default" w:ascii="Times New Roman" w:hAnsi="Times New Roman" w:cs="Times New Roman"/>
                <w:color w:val="auto"/>
                <w:szCs w:val="21"/>
              </w:rPr>
              <w:t>油类物质（矿物油类，如石油、汽油、柴油等；生物柴油等），</w:t>
            </w:r>
            <w:r>
              <w:rPr>
                <w:rFonts w:hint="default" w:ascii="Times New Roman" w:hAnsi="Times New Roman" w:cs="Times New Roman"/>
                <w:color w:val="auto"/>
                <w:lang w:val="en-US" w:eastAsia="zh-CN"/>
              </w:rPr>
              <w:t>水性漆、硫化剂、水性油墨、切削液、废活性炭等</w:t>
            </w:r>
            <w:r>
              <w:rPr>
                <w:rFonts w:hint="default" w:ascii="Times New Roman" w:hAnsi="Times New Roman" w:cs="Times New Roman"/>
                <w:color w:val="auto"/>
                <w:szCs w:val="21"/>
              </w:rPr>
              <w:t>属于健康危险急性毒性物质（类别2，类别3）</w:t>
            </w:r>
            <w:r>
              <w:rPr>
                <w:rFonts w:hint="default" w:ascii="Times New Roman" w:hAnsi="Times New Roman" w:cs="Times New Roman"/>
                <w:color w:val="auto"/>
              </w:rPr>
              <w:t>。</w:t>
            </w:r>
          </w:p>
          <w:p w14:paraId="49B5DD24">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根据《建设项目环境风险评价技术导则》（HJ 169-2018）附录C，危险物质数量与临界量比值Q定义如下：</w:t>
            </w:r>
          </w:p>
          <w:p w14:paraId="3F348EFA">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当只涉及一种危险物质时，计算该物质的总量与其临界量比值，即为Q；</w:t>
            </w:r>
          </w:p>
          <w:p w14:paraId="12E0240E">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当存在多种危险物质时，则按式（1.5-1）计算物质总量与其临界量比值（Q）：</w:t>
            </w:r>
          </w:p>
          <w:p w14:paraId="35728CF8">
            <w:pPr>
              <w:snapToGrid w:val="0"/>
              <w:ind w:firstLine="480" w:firstLineChars="200"/>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1990725" cy="485775"/>
                  <wp:effectExtent l="0" t="0" r="3175" b="9525"/>
                  <wp:docPr id="6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
                          <pic:cNvPicPr>
                            <a:picLocks noChangeAspect="1"/>
                          </pic:cNvPicPr>
                        </pic:nvPicPr>
                        <pic:blipFill>
                          <a:blip r:embed="rId49"/>
                          <a:stretch>
                            <a:fillRect/>
                          </a:stretch>
                        </pic:blipFill>
                        <pic:spPr>
                          <a:xfrm>
                            <a:off x="0" y="0"/>
                            <a:ext cx="1990725" cy="485775"/>
                          </a:xfrm>
                          <a:prstGeom prst="rect">
                            <a:avLst/>
                          </a:prstGeom>
                          <a:noFill/>
                          <a:ln>
                            <a:noFill/>
                          </a:ln>
                        </pic:spPr>
                      </pic:pic>
                    </a:graphicData>
                  </a:graphic>
                </wp:inline>
              </w:drawing>
            </w:r>
            <w:r>
              <w:rPr>
                <w:rFonts w:hint="default" w:ascii="Times New Roman" w:hAnsi="Times New Roman" w:cs="Times New Roman"/>
                <w:color w:val="auto"/>
              </w:rPr>
              <w:t>（1.5-1）</w:t>
            </w:r>
          </w:p>
          <w:p w14:paraId="00C756F9">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式中：q</w:t>
            </w:r>
            <w:r>
              <w:rPr>
                <w:rFonts w:hint="default" w:ascii="Times New Roman" w:hAnsi="Times New Roman" w:cs="Times New Roman"/>
                <w:color w:val="auto"/>
                <w:vertAlign w:val="subscript"/>
              </w:rPr>
              <w:t>1</w:t>
            </w:r>
            <w:r>
              <w:rPr>
                <w:rFonts w:hint="default" w:ascii="Times New Roman" w:hAnsi="Times New Roman" w:cs="Times New Roman"/>
                <w:color w:val="auto"/>
              </w:rPr>
              <w:t>，q</w:t>
            </w:r>
            <w:r>
              <w:rPr>
                <w:rFonts w:hint="default" w:ascii="Times New Roman" w:hAnsi="Times New Roman" w:cs="Times New Roman"/>
                <w:color w:val="auto"/>
                <w:vertAlign w:val="subscript"/>
              </w:rPr>
              <w:t>2</w:t>
            </w:r>
            <w:r>
              <w:rPr>
                <w:rFonts w:hint="default" w:ascii="Times New Roman" w:hAnsi="Times New Roman" w:cs="Times New Roman"/>
                <w:color w:val="auto"/>
              </w:rPr>
              <w:t>，…，q</w:t>
            </w:r>
            <w:r>
              <w:rPr>
                <w:rFonts w:hint="default" w:ascii="Times New Roman" w:hAnsi="Times New Roman" w:cs="Times New Roman"/>
                <w:color w:val="auto"/>
                <w:vertAlign w:val="subscript"/>
              </w:rPr>
              <w:t>n</w:t>
            </w:r>
            <w:r>
              <w:rPr>
                <w:rFonts w:hint="default" w:ascii="Times New Roman" w:hAnsi="Times New Roman" w:cs="Times New Roman"/>
                <w:color w:val="auto"/>
              </w:rPr>
              <w:t>——每种危险物质的最大存在总量，t；</w:t>
            </w:r>
          </w:p>
          <w:p w14:paraId="5E2F6E35">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 xml:space="preserve">      Q</w:t>
            </w:r>
            <w:r>
              <w:rPr>
                <w:rFonts w:hint="default" w:ascii="Times New Roman" w:hAnsi="Times New Roman" w:cs="Times New Roman"/>
                <w:color w:val="auto"/>
                <w:vertAlign w:val="subscript"/>
              </w:rPr>
              <w:t>1</w:t>
            </w:r>
            <w:r>
              <w:rPr>
                <w:rFonts w:hint="default" w:ascii="Times New Roman" w:hAnsi="Times New Roman" w:cs="Times New Roman"/>
                <w:color w:val="auto"/>
              </w:rPr>
              <w:t>，Q</w:t>
            </w:r>
            <w:r>
              <w:rPr>
                <w:rFonts w:hint="default" w:ascii="Times New Roman" w:hAnsi="Times New Roman" w:cs="Times New Roman"/>
                <w:color w:val="auto"/>
                <w:vertAlign w:val="subscript"/>
              </w:rPr>
              <w:t>2</w:t>
            </w:r>
            <w:r>
              <w:rPr>
                <w:rFonts w:hint="default" w:ascii="Times New Roman" w:hAnsi="Times New Roman" w:cs="Times New Roman"/>
                <w:color w:val="auto"/>
              </w:rPr>
              <w:t>，…，Q</w:t>
            </w:r>
            <w:r>
              <w:rPr>
                <w:rFonts w:hint="default" w:ascii="Times New Roman" w:hAnsi="Times New Roman" w:cs="Times New Roman"/>
                <w:color w:val="auto"/>
                <w:vertAlign w:val="subscript"/>
              </w:rPr>
              <w:t>n</w:t>
            </w:r>
            <w:r>
              <w:rPr>
                <w:rFonts w:hint="default" w:ascii="Times New Roman" w:hAnsi="Times New Roman" w:cs="Times New Roman"/>
                <w:color w:val="auto"/>
              </w:rPr>
              <w:t>——每种危险物质的临界量，t；</w:t>
            </w:r>
          </w:p>
          <w:p w14:paraId="070AE75D">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当Q＜1时，该项目环境风险潜势为I；</w:t>
            </w:r>
          </w:p>
          <w:p w14:paraId="47E559E1">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当Q≥1时，将Q值划分为：（1）1≤Q＜10；（2）10≤Q＜100；（3）Q≥100。</w:t>
            </w:r>
          </w:p>
          <w:p w14:paraId="6202C2A2">
            <w:pPr>
              <w:wordWrap/>
              <w:adjustRightInd w:val="0"/>
              <w:spacing w:line="240" w:lineRule="auto"/>
              <w:ind w:firstLine="602" w:firstLineChars="25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w:t>
            </w:r>
            <w:r>
              <w:rPr>
                <w:rFonts w:hint="default" w:ascii="Times New Roman" w:hAnsi="Times New Roman" w:cs="Times New Roman"/>
                <w:b/>
                <w:bCs/>
                <w:color w:val="auto"/>
                <w:szCs w:val="21"/>
                <w:lang w:val="en-US" w:eastAsia="zh-CN"/>
              </w:rPr>
              <w:t>4-27</w:t>
            </w:r>
            <w:r>
              <w:rPr>
                <w:rFonts w:hint="default" w:ascii="Times New Roman" w:hAnsi="Times New Roman" w:cs="Times New Roman"/>
                <w:b/>
                <w:bCs/>
                <w:color w:val="auto"/>
                <w:szCs w:val="21"/>
              </w:rPr>
              <w:t xml:space="preserve"> 项目</w:t>
            </w:r>
            <w:bookmarkStart w:id="34" w:name="危险物质Q值"/>
            <w:r>
              <w:rPr>
                <w:rFonts w:hint="default" w:ascii="Times New Roman" w:hAnsi="Times New Roman" w:cs="Times New Roman"/>
                <w:b/>
                <w:bCs/>
                <w:color w:val="auto"/>
                <w:szCs w:val="21"/>
              </w:rPr>
              <w:t>危险物质Q值</w:t>
            </w:r>
            <w:bookmarkEnd w:id="34"/>
            <w:r>
              <w:rPr>
                <w:rFonts w:hint="default" w:ascii="Times New Roman" w:hAnsi="Times New Roman" w:cs="Times New Roman"/>
                <w:b/>
                <w:bCs/>
                <w:color w:val="auto"/>
                <w:szCs w:val="21"/>
              </w:rPr>
              <w:t>确定表</w:t>
            </w:r>
          </w:p>
          <w:tbl>
            <w:tblPr>
              <w:tblStyle w:val="22"/>
              <w:tblW w:w="8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1114"/>
              <w:gridCol w:w="2191"/>
              <w:gridCol w:w="1215"/>
              <w:gridCol w:w="1311"/>
              <w:gridCol w:w="1033"/>
              <w:gridCol w:w="1175"/>
            </w:tblGrid>
            <w:tr w14:paraId="1664C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518156CA">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1114" w:type="dxa"/>
                  <w:tcBorders>
                    <w:top w:val="single" w:color="auto" w:sz="4" w:space="0"/>
                    <w:left w:val="nil"/>
                    <w:bottom w:val="single" w:color="auto" w:sz="4" w:space="0"/>
                    <w:right w:val="single" w:color="auto" w:sz="4" w:space="0"/>
                  </w:tcBorders>
                  <w:vAlign w:val="center"/>
                </w:tcPr>
                <w:p w14:paraId="38B7241A">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危险物质名称</w:t>
                  </w:r>
                </w:p>
              </w:tc>
              <w:tc>
                <w:tcPr>
                  <w:tcW w:w="2191" w:type="dxa"/>
                  <w:tcBorders>
                    <w:top w:val="single" w:color="auto" w:sz="4" w:space="0"/>
                    <w:left w:val="nil"/>
                    <w:bottom w:val="single" w:color="auto" w:sz="4" w:space="0"/>
                    <w:right w:val="single" w:color="auto" w:sz="4" w:space="0"/>
                  </w:tcBorders>
                  <w:vAlign w:val="center"/>
                </w:tcPr>
                <w:p w14:paraId="392651EC">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危险物质类别</w:t>
                  </w:r>
                </w:p>
              </w:tc>
              <w:tc>
                <w:tcPr>
                  <w:tcW w:w="1215" w:type="dxa"/>
                  <w:tcBorders>
                    <w:top w:val="single" w:color="auto" w:sz="4" w:space="0"/>
                    <w:left w:val="nil"/>
                    <w:bottom w:val="single" w:color="auto" w:sz="4" w:space="0"/>
                    <w:right w:val="single" w:color="auto" w:sz="4" w:space="0"/>
                  </w:tcBorders>
                  <w:vAlign w:val="center"/>
                </w:tcPr>
                <w:p w14:paraId="7AD5C4BE">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CAS号</w:t>
                  </w:r>
                </w:p>
              </w:tc>
              <w:tc>
                <w:tcPr>
                  <w:tcW w:w="1311" w:type="dxa"/>
                  <w:tcBorders>
                    <w:top w:val="single" w:color="auto" w:sz="4" w:space="0"/>
                    <w:left w:val="nil"/>
                    <w:bottom w:val="single" w:color="auto" w:sz="4" w:space="0"/>
                    <w:right w:val="single" w:color="auto" w:sz="4" w:space="0"/>
                  </w:tcBorders>
                  <w:vAlign w:val="center"/>
                </w:tcPr>
                <w:p w14:paraId="6BCCE1AB">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最大存在总量（q</w:t>
                  </w:r>
                  <w:r>
                    <w:rPr>
                      <w:rFonts w:hint="default" w:ascii="Times New Roman" w:hAnsi="Times New Roman" w:cs="Times New Roman"/>
                      <w:b/>
                      <w:bCs/>
                      <w:color w:val="auto"/>
                      <w:sz w:val="21"/>
                      <w:szCs w:val="21"/>
                      <w:vertAlign w:val="subscript"/>
                    </w:rPr>
                    <w:t>n</w:t>
                  </w:r>
                  <w:r>
                    <w:rPr>
                      <w:rFonts w:hint="default" w:ascii="Times New Roman" w:hAnsi="Times New Roman" w:cs="Times New Roman"/>
                      <w:b/>
                      <w:bCs/>
                      <w:color w:val="auto"/>
                      <w:sz w:val="21"/>
                      <w:szCs w:val="21"/>
                    </w:rPr>
                    <w:t>/t）</w:t>
                  </w:r>
                </w:p>
              </w:tc>
              <w:tc>
                <w:tcPr>
                  <w:tcW w:w="1033" w:type="dxa"/>
                  <w:tcBorders>
                    <w:top w:val="single" w:color="auto" w:sz="4" w:space="0"/>
                    <w:left w:val="nil"/>
                    <w:bottom w:val="single" w:color="auto" w:sz="4" w:space="0"/>
                    <w:right w:val="single" w:color="auto" w:sz="4" w:space="0"/>
                  </w:tcBorders>
                  <w:vAlign w:val="center"/>
                </w:tcPr>
                <w:p w14:paraId="59E0BD6D">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临界量（Q</w:t>
                  </w:r>
                  <w:r>
                    <w:rPr>
                      <w:rFonts w:hint="default" w:ascii="Times New Roman" w:hAnsi="Times New Roman" w:cs="Times New Roman"/>
                      <w:b/>
                      <w:bCs/>
                      <w:color w:val="auto"/>
                      <w:sz w:val="21"/>
                      <w:szCs w:val="21"/>
                      <w:vertAlign w:val="subscript"/>
                    </w:rPr>
                    <w:t>n</w:t>
                  </w:r>
                  <w:r>
                    <w:rPr>
                      <w:rFonts w:hint="default" w:ascii="Times New Roman" w:hAnsi="Times New Roman" w:cs="Times New Roman"/>
                      <w:b/>
                      <w:bCs/>
                      <w:color w:val="auto"/>
                      <w:sz w:val="21"/>
                      <w:szCs w:val="21"/>
                    </w:rPr>
                    <w:t>/t）</w:t>
                  </w:r>
                </w:p>
              </w:tc>
              <w:tc>
                <w:tcPr>
                  <w:tcW w:w="1175" w:type="dxa"/>
                  <w:tcBorders>
                    <w:top w:val="single" w:color="auto" w:sz="4" w:space="0"/>
                    <w:left w:val="nil"/>
                    <w:bottom w:val="single" w:color="auto" w:sz="4" w:space="0"/>
                    <w:right w:val="single" w:color="auto" w:sz="4" w:space="0"/>
                  </w:tcBorders>
                  <w:vAlign w:val="center"/>
                </w:tcPr>
                <w:p w14:paraId="7C79AEB2">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该种危险物质Q值</w:t>
                  </w:r>
                </w:p>
              </w:tc>
            </w:tr>
            <w:tr w14:paraId="635E2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575128DD">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114" w:type="dxa"/>
                  <w:tcBorders>
                    <w:top w:val="single" w:color="auto" w:sz="4" w:space="0"/>
                    <w:left w:val="nil"/>
                    <w:bottom w:val="single" w:color="auto" w:sz="4" w:space="0"/>
                    <w:right w:val="single" w:color="auto" w:sz="4" w:space="0"/>
                  </w:tcBorders>
                  <w:vAlign w:val="center"/>
                </w:tcPr>
                <w:p w14:paraId="5DA3ECA2">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润滑油</w:t>
                  </w:r>
                </w:p>
              </w:tc>
              <w:tc>
                <w:tcPr>
                  <w:tcW w:w="2191" w:type="dxa"/>
                  <w:tcBorders>
                    <w:top w:val="single" w:color="auto" w:sz="4" w:space="0"/>
                    <w:left w:val="nil"/>
                    <w:right w:val="single" w:color="auto" w:sz="4" w:space="0"/>
                  </w:tcBorders>
                  <w:vAlign w:val="center"/>
                </w:tcPr>
                <w:p w14:paraId="7D3142B4">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油类物质（矿物油类，如石油、汽油、柴油等；生物柴油等）</w:t>
                  </w:r>
                </w:p>
              </w:tc>
              <w:tc>
                <w:tcPr>
                  <w:tcW w:w="1215" w:type="dxa"/>
                  <w:tcBorders>
                    <w:top w:val="single" w:color="auto" w:sz="4" w:space="0"/>
                    <w:left w:val="nil"/>
                    <w:bottom w:val="single" w:color="auto" w:sz="4" w:space="0"/>
                    <w:right w:val="single" w:color="auto" w:sz="4" w:space="0"/>
                  </w:tcBorders>
                  <w:vAlign w:val="center"/>
                </w:tcPr>
                <w:p w14:paraId="312D63A3">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311" w:type="dxa"/>
                  <w:tcBorders>
                    <w:top w:val="single" w:color="auto" w:sz="4" w:space="0"/>
                    <w:left w:val="nil"/>
                    <w:bottom w:val="single" w:color="auto" w:sz="4" w:space="0"/>
                    <w:right w:val="single" w:color="auto" w:sz="4" w:space="0"/>
                  </w:tcBorders>
                  <w:vAlign w:val="center"/>
                </w:tcPr>
                <w:p w14:paraId="6944320A">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c>
                <w:tcPr>
                  <w:tcW w:w="1033" w:type="dxa"/>
                  <w:tcBorders>
                    <w:top w:val="single" w:color="auto" w:sz="4" w:space="0"/>
                    <w:left w:val="nil"/>
                    <w:bottom w:val="single" w:color="auto" w:sz="4" w:space="0"/>
                    <w:right w:val="single" w:color="auto" w:sz="4" w:space="0"/>
                  </w:tcBorders>
                  <w:vAlign w:val="center"/>
                </w:tcPr>
                <w:p w14:paraId="229077C3">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2500</w:t>
                  </w:r>
                </w:p>
              </w:tc>
              <w:tc>
                <w:tcPr>
                  <w:tcW w:w="1175" w:type="dxa"/>
                  <w:tcBorders>
                    <w:top w:val="single" w:color="auto" w:sz="4" w:space="0"/>
                    <w:left w:val="nil"/>
                    <w:bottom w:val="single" w:color="auto" w:sz="4" w:space="0"/>
                    <w:right w:val="single" w:color="auto" w:sz="4" w:space="0"/>
                  </w:tcBorders>
                  <w:vAlign w:val="center"/>
                </w:tcPr>
                <w:p w14:paraId="0BB619EB">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0.00008</w:t>
                  </w:r>
                </w:p>
              </w:tc>
            </w:tr>
            <w:tr w14:paraId="3727D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0ADCF03F">
                  <w:pPr>
                    <w:wordWrap/>
                    <w:adjustRightIn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2</w:t>
                  </w:r>
                </w:p>
              </w:tc>
              <w:tc>
                <w:tcPr>
                  <w:tcW w:w="1114" w:type="dxa"/>
                  <w:tcBorders>
                    <w:top w:val="single" w:color="auto" w:sz="4" w:space="0"/>
                    <w:left w:val="nil"/>
                    <w:bottom w:val="single" w:color="auto" w:sz="4" w:space="0"/>
                    <w:right w:val="single" w:color="auto" w:sz="4" w:space="0"/>
                  </w:tcBorders>
                  <w:vAlign w:val="center"/>
                </w:tcPr>
                <w:p w14:paraId="54A3E7A6">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火花油</w:t>
                  </w:r>
                </w:p>
              </w:tc>
              <w:tc>
                <w:tcPr>
                  <w:tcW w:w="2191" w:type="dxa"/>
                  <w:tcBorders>
                    <w:top w:val="single" w:color="auto" w:sz="4" w:space="0"/>
                    <w:left w:val="nil"/>
                    <w:right w:val="single" w:color="auto" w:sz="4" w:space="0"/>
                  </w:tcBorders>
                  <w:vAlign w:val="center"/>
                </w:tcPr>
                <w:p w14:paraId="2D754D84">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油类物质（矿物油类，如石油、汽油、柴油等；生物柴油等）</w:t>
                  </w:r>
                </w:p>
              </w:tc>
              <w:tc>
                <w:tcPr>
                  <w:tcW w:w="1215" w:type="dxa"/>
                  <w:tcBorders>
                    <w:top w:val="single" w:color="auto" w:sz="4" w:space="0"/>
                    <w:left w:val="nil"/>
                    <w:bottom w:val="single" w:color="auto" w:sz="4" w:space="0"/>
                    <w:right w:val="single" w:color="auto" w:sz="4" w:space="0"/>
                  </w:tcBorders>
                  <w:vAlign w:val="center"/>
                </w:tcPr>
                <w:p w14:paraId="607E4790">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311" w:type="dxa"/>
                  <w:tcBorders>
                    <w:top w:val="single" w:color="auto" w:sz="4" w:space="0"/>
                    <w:left w:val="nil"/>
                    <w:bottom w:val="single" w:color="auto" w:sz="4" w:space="0"/>
                    <w:right w:val="single" w:color="auto" w:sz="4" w:space="0"/>
                  </w:tcBorders>
                  <w:vAlign w:val="center"/>
                </w:tcPr>
                <w:p w14:paraId="16747483">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c>
                <w:tcPr>
                  <w:tcW w:w="1033" w:type="dxa"/>
                  <w:tcBorders>
                    <w:top w:val="single" w:color="auto" w:sz="4" w:space="0"/>
                    <w:left w:val="nil"/>
                    <w:bottom w:val="single" w:color="auto" w:sz="4" w:space="0"/>
                    <w:right w:val="single" w:color="auto" w:sz="4" w:space="0"/>
                  </w:tcBorders>
                  <w:vAlign w:val="center"/>
                </w:tcPr>
                <w:p w14:paraId="17085023">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2500</w:t>
                  </w:r>
                </w:p>
              </w:tc>
              <w:tc>
                <w:tcPr>
                  <w:tcW w:w="1175" w:type="dxa"/>
                  <w:tcBorders>
                    <w:top w:val="single" w:color="auto" w:sz="4" w:space="0"/>
                    <w:left w:val="nil"/>
                    <w:bottom w:val="single" w:color="auto" w:sz="4" w:space="0"/>
                    <w:right w:val="single" w:color="auto" w:sz="4" w:space="0"/>
                  </w:tcBorders>
                  <w:vAlign w:val="center"/>
                </w:tcPr>
                <w:p w14:paraId="4DF92F15">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0.00004</w:t>
                  </w:r>
                </w:p>
              </w:tc>
            </w:tr>
            <w:tr w14:paraId="58373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36B75335">
                  <w:pPr>
                    <w:wordWrap/>
                    <w:adjustRightIn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p>
              </w:tc>
              <w:tc>
                <w:tcPr>
                  <w:tcW w:w="1114" w:type="dxa"/>
                  <w:tcBorders>
                    <w:top w:val="single" w:color="auto" w:sz="4" w:space="0"/>
                    <w:left w:val="nil"/>
                    <w:bottom w:val="single" w:color="auto" w:sz="4" w:space="0"/>
                    <w:right w:val="single" w:color="auto" w:sz="4" w:space="0"/>
                  </w:tcBorders>
                  <w:vAlign w:val="center"/>
                </w:tcPr>
                <w:p w14:paraId="39AA2C4D">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水性油墨</w:t>
                  </w:r>
                </w:p>
              </w:tc>
              <w:tc>
                <w:tcPr>
                  <w:tcW w:w="2191" w:type="dxa"/>
                  <w:tcBorders>
                    <w:top w:val="single" w:color="auto" w:sz="4" w:space="0"/>
                    <w:left w:val="nil"/>
                    <w:right w:val="single" w:color="auto" w:sz="4" w:space="0"/>
                  </w:tcBorders>
                  <w:vAlign w:val="center"/>
                </w:tcPr>
                <w:p w14:paraId="4C1C1FE6">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健康危险急性毒性物质（类别2，类别3）</w:t>
                  </w:r>
                </w:p>
              </w:tc>
              <w:tc>
                <w:tcPr>
                  <w:tcW w:w="1215" w:type="dxa"/>
                  <w:tcBorders>
                    <w:top w:val="single" w:color="auto" w:sz="4" w:space="0"/>
                    <w:left w:val="nil"/>
                    <w:bottom w:val="single" w:color="auto" w:sz="4" w:space="0"/>
                    <w:right w:val="single" w:color="auto" w:sz="4" w:space="0"/>
                  </w:tcBorders>
                  <w:vAlign w:val="center"/>
                </w:tcPr>
                <w:p w14:paraId="46A09FCD">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311" w:type="dxa"/>
                  <w:tcBorders>
                    <w:top w:val="single" w:color="auto" w:sz="4" w:space="0"/>
                    <w:left w:val="nil"/>
                    <w:bottom w:val="single" w:color="auto" w:sz="4" w:space="0"/>
                    <w:right w:val="single" w:color="auto" w:sz="4" w:space="0"/>
                  </w:tcBorders>
                  <w:vAlign w:val="center"/>
                </w:tcPr>
                <w:p w14:paraId="0B8C3B16">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c>
                <w:tcPr>
                  <w:tcW w:w="1033" w:type="dxa"/>
                  <w:tcBorders>
                    <w:top w:val="single" w:color="auto" w:sz="4" w:space="0"/>
                    <w:left w:val="nil"/>
                    <w:bottom w:val="single" w:color="auto" w:sz="4" w:space="0"/>
                    <w:right w:val="single" w:color="auto" w:sz="4" w:space="0"/>
                  </w:tcBorders>
                  <w:vAlign w:val="center"/>
                </w:tcPr>
                <w:p w14:paraId="685B1123">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1175" w:type="dxa"/>
                  <w:tcBorders>
                    <w:top w:val="single" w:color="auto" w:sz="4" w:space="0"/>
                    <w:left w:val="nil"/>
                    <w:bottom w:val="single" w:color="auto" w:sz="4" w:space="0"/>
                    <w:right w:val="single" w:color="auto" w:sz="4" w:space="0"/>
                  </w:tcBorders>
                  <w:vAlign w:val="center"/>
                </w:tcPr>
                <w:p w14:paraId="7CCAAEC1">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0.002</w:t>
                  </w:r>
                </w:p>
              </w:tc>
            </w:tr>
            <w:tr w14:paraId="7397B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3FA4D887">
                  <w:pPr>
                    <w:wordWrap/>
                    <w:adjustRightIn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4</w:t>
                  </w:r>
                </w:p>
              </w:tc>
              <w:tc>
                <w:tcPr>
                  <w:tcW w:w="1114" w:type="dxa"/>
                  <w:tcBorders>
                    <w:top w:val="single" w:color="auto" w:sz="4" w:space="0"/>
                    <w:left w:val="nil"/>
                    <w:bottom w:val="single" w:color="auto" w:sz="4" w:space="0"/>
                    <w:right w:val="single" w:color="auto" w:sz="4" w:space="0"/>
                  </w:tcBorders>
                  <w:vAlign w:val="center"/>
                </w:tcPr>
                <w:p w14:paraId="639F537F">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水性漆</w:t>
                  </w:r>
                </w:p>
              </w:tc>
              <w:tc>
                <w:tcPr>
                  <w:tcW w:w="2191" w:type="dxa"/>
                  <w:tcBorders>
                    <w:top w:val="single" w:color="auto" w:sz="4" w:space="0"/>
                    <w:left w:val="nil"/>
                    <w:right w:val="single" w:color="auto" w:sz="4" w:space="0"/>
                  </w:tcBorders>
                  <w:vAlign w:val="center"/>
                </w:tcPr>
                <w:p w14:paraId="4475B84B">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健康危险急性毒性物质（类别2，类别3）</w:t>
                  </w:r>
                </w:p>
              </w:tc>
              <w:tc>
                <w:tcPr>
                  <w:tcW w:w="1215" w:type="dxa"/>
                  <w:tcBorders>
                    <w:top w:val="single" w:color="auto" w:sz="4" w:space="0"/>
                    <w:left w:val="nil"/>
                    <w:bottom w:val="single" w:color="auto" w:sz="4" w:space="0"/>
                    <w:right w:val="single" w:color="auto" w:sz="4" w:space="0"/>
                  </w:tcBorders>
                  <w:vAlign w:val="center"/>
                </w:tcPr>
                <w:p w14:paraId="311508B2">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311" w:type="dxa"/>
                  <w:tcBorders>
                    <w:top w:val="single" w:color="auto" w:sz="4" w:space="0"/>
                    <w:left w:val="nil"/>
                    <w:bottom w:val="single" w:color="auto" w:sz="4" w:space="0"/>
                    <w:right w:val="single" w:color="auto" w:sz="4" w:space="0"/>
                  </w:tcBorders>
                  <w:vAlign w:val="center"/>
                </w:tcPr>
                <w:p w14:paraId="741BD7B2">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033" w:type="dxa"/>
                  <w:tcBorders>
                    <w:top w:val="single" w:color="auto" w:sz="4" w:space="0"/>
                    <w:left w:val="nil"/>
                    <w:bottom w:val="single" w:color="auto" w:sz="4" w:space="0"/>
                    <w:right w:val="single" w:color="auto" w:sz="4" w:space="0"/>
                  </w:tcBorders>
                  <w:vAlign w:val="center"/>
                </w:tcPr>
                <w:p w14:paraId="35EEE60D">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50</w:t>
                  </w:r>
                </w:p>
              </w:tc>
              <w:tc>
                <w:tcPr>
                  <w:tcW w:w="1175" w:type="dxa"/>
                  <w:tcBorders>
                    <w:top w:val="single" w:color="auto" w:sz="4" w:space="0"/>
                    <w:left w:val="nil"/>
                    <w:bottom w:val="single" w:color="auto" w:sz="4" w:space="0"/>
                    <w:right w:val="single" w:color="auto" w:sz="4" w:space="0"/>
                  </w:tcBorders>
                  <w:vAlign w:val="center"/>
                </w:tcPr>
                <w:p w14:paraId="600E1DDA">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w:t>
                  </w:r>
                </w:p>
              </w:tc>
            </w:tr>
            <w:tr w14:paraId="63263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0C59B891">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w:t>
                  </w:r>
                </w:p>
              </w:tc>
              <w:tc>
                <w:tcPr>
                  <w:tcW w:w="1114" w:type="dxa"/>
                  <w:tcBorders>
                    <w:top w:val="single" w:color="auto" w:sz="4" w:space="0"/>
                    <w:left w:val="nil"/>
                    <w:bottom w:val="single" w:color="auto" w:sz="4" w:space="0"/>
                    <w:right w:val="single" w:color="auto" w:sz="4" w:space="0"/>
                  </w:tcBorders>
                  <w:vAlign w:val="center"/>
                </w:tcPr>
                <w:p w14:paraId="6B56025C">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硫化剂</w:t>
                  </w:r>
                </w:p>
              </w:tc>
              <w:tc>
                <w:tcPr>
                  <w:tcW w:w="2191" w:type="dxa"/>
                  <w:tcBorders>
                    <w:top w:val="single" w:color="auto" w:sz="4" w:space="0"/>
                    <w:left w:val="nil"/>
                    <w:right w:val="single" w:color="auto" w:sz="4" w:space="0"/>
                  </w:tcBorders>
                  <w:vAlign w:val="center"/>
                </w:tcPr>
                <w:p w14:paraId="7170B279">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健康危险急性毒性物质（类别2，类别3）</w:t>
                  </w:r>
                </w:p>
              </w:tc>
              <w:tc>
                <w:tcPr>
                  <w:tcW w:w="1215" w:type="dxa"/>
                  <w:tcBorders>
                    <w:top w:val="single" w:color="auto" w:sz="4" w:space="0"/>
                    <w:left w:val="nil"/>
                    <w:bottom w:val="single" w:color="auto" w:sz="4" w:space="0"/>
                    <w:right w:val="single" w:color="auto" w:sz="4" w:space="0"/>
                  </w:tcBorders>
                  <w:vAlign w:val="center"/>
                </w:tcPr>
                <w:p w14:paraId="59E5781F">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311" w:type="dxa"/>
                  <w:tcBorders>
                    <w:top w:val="single" w:color="auto" w:sz="4" w:space="0"/>
                    <w:left w:val="nil"/>
                    <w:bottom w:val="single" w:color="auto" w:sz="4" w:space="0"/>
                    <w:right w:val="single" w:color="auto" w:sz="4" w:space="0"/>
                  </w:tcBorders>
                  <w:vAlign w:val="center"/>
                </w:tcPr>
                <w:p w14:paraId="234A2C92">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033" w:type="dxa"/>
                  <w:tcBorders>
                    <w:top w:val="single" w:color="auto" w:sz="4" w:space="0"/>
                    <w:left w:val="nil"/>
                    <w:bottom w:val="single" w:color="auto" w:sz="4" w:space="0"/>
                    <w:right w:val="single" w:color="auto" w:sz="4" w:space="0"/>
                  </w:tcBorders>
                  <w:vAlign w:val="center"/>
                </w:tcPr>
                <w:p w14:paraId="79A61992">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50</w:t>
                  </w:r>
                </w:p>
              </w:tc>
              <w:tc>
                <w:tcPr>
                  <w:tcW w:w="1175" w:type="dxa"/>
                  <w:tcBorders>
                    <w:top w:val="single" w:color="auto" w:sz="4" w:space="0"/>
                    <w:left w:val="nil"/>
                    <w:bottom w:val="single" w:color="auto" w:sz="4" w:space="0"/>
                    <w:right w:val="single" w:color="auto" w:sz="4" w:space="0"/>
                  </w:tcBorders>
                  <w:vAlign w:val="center"/>
                </w:tcPr>
                <w:p w14:paraId="5DD82B4A">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w:t>
                  </w:r>
                </w:p>
              </w:tc>
            </w:tr>
            <w:tr w14:paraId="01429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09C4D9BB">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w:t>
                  </w:r>
                </w:p>
              </w:tc>
              <w:tc>
                <w:tcPr>
                  <w:tcW w:w="1114" w:type="dxa"/>
                  <w:tcBorders>
                    <w:top w:val="single" w:color="auto" w:sz="4" w:space="0"/>
                    <w:left w:val="nil"/>
                    <w:bottom w:val="single" w:color="auto" w:sz="4" w:space="0"/>
                    <w:right w:val="single" w:color="auto" w:sz="4" w:space="0"/>
                  </w:tcBorders>
                  <w:vAlign w:val="center"/>
                </w:tcPr>
                <w:p w14:paraId="4BF9D773">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切削液</w:t>
                  </w:r>
                </w:p>
              </w:tc>
              <w:tc>
                <w:tcPr>
                  <w:tcW w:w="2191" w:type="dxa"/>
                  <w:tcBorders>
                    <w:top w:val="single" w:color="auto" w:sz="4" w:space="0"/>
                    <w:left w:val="nil"/>
                    <w:right w:val="single" w:color="auto" w:sz="4" w:space="0"/>
                  </w:tcBorders>
                  <w:vAlign w:val="center"/>
                </w:tcPr>
                <w:p w14:paraId="36F4D4A6">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健康危险急性毒性物质（类别2，类别3）</w:t>
                  </w:r>
                </w:p>
              </w:tc>
              <w:tc>
                <w:tcPr>
                  <w:tcW w:w="1215" w:type="dxa"/>
                  <w:tcBorders>
                    <w:top w:val="single" w:color="auto" w:sz="4" w:space="0"/>
                    <w:left w:val="nil"/>
                    <w:bottom w:val="single" w:color="auto" w:sz="4" w:space="0"/>
                    <w:right w:val="single" w:color="auto" w:sz="4" w:space="0"/>
                  </w:tcBorders>
                  <w:vAlign w:val="center"/>
                </w:tcPr>
                <w:p w14:paraId="5E409427">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1311" w:type="dxa"/>
                  <w:tcBorders>
                    <w:top w:val="single" w:color="auto" w:sz="4" w:space="0"/>
                    <w:left w:val="nil"/>
                    <w:bottom w:val="single" w:color="auto" w:sz="4" w:space="0"/>
                    <w:right w:val="single" w:color="auto" w:sz="4" w:space="0"/>
                  </w:tcBorders>
                  <w:vAlign w:val="center"/>
                </w:tcPr>
                <w:p w14:paraId="1B4CBA5C">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c>
                <w:tcPr>
                  <w:tcW w:w="1033" w:type="dxa"/>
                  <w:tcBorders>
                    <w:top w:val="single" w:color="auto" w:sz="4" w:space="0"/>
                    <w:left w:val="nil"/>
                    <w:bottom w:val="single" w:color="auto" w:sz="4" w:space="0"/>
                    <w:right w:val="single" w:color="auto" w:sz="4" w:space="0"/>
                  </w:tcBorders>
                  <w:vAlign w:val="center"/>
                </w:tcPr>
                <w:p w14:paraId="4E975F1D">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50</w:t>
                  </w:r>
                </w:p>
              </w:tc>
              <w:tc>
                <w:tcPr>
                  <w:tcW w:w="1175" w:type="dxa"/>
                  <w:tcBorders>
                    <w:top w:val="single" w:color="auto" w:sz="4" w:space="0"/>
                    <w:left w:val="nil"/>
                    <w:bottom w:val="single" w:color="auto" w:sz="4" w:space="0"/>
                    <w:right w:val="single" w:color="auto" w:sz="4" w:space="0"/>
                  </w:tcBorders>
                  <w:vAlign w:val="center"/>
                </w:tcPr>
                <w:p w14:paraId="02F5064B">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0.002</w:t>
                  </w:r>
                </w:p>
              </w:tc>
            </w:tr>
            <w:tr w14:paraId="61167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3C8D4DE4">
                  <w:pPr>
                    <w:wordWrap/>
                    <w:adjustRightIn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w:t>
                  </w:r>
                </w:p>
              </w:tc>
              <w:tc>
                <w:tcPr>
                  <w:tcW w:w="1114" w:type="dxa"/>
                  <w:tcBorders>
                    <w:top w:val="single" w:color="auto" w:sz="4" w:space="0"/>
                    <w:left w:val="nil"/>
                    <w:bottom w:val="single" w:color="auto" w:sz="4" w:space="0"/>
                    <w:right w:val="single" w:color="auto" w:sz="4" w:space="0"/>
                  </w:tcBorders>
                  <w:vAlign w:val="center"/>
                </w:tcPr>
                <w:p w14:paraId="2AA55C6F">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废矿物油</w:t>
                  </w:r>
                </w:p>
              </w:tc>
              <w:tc>
                <w:tcPr>
                  <w:tcW w:w="2191" w:type="dxa"/>
                  <w:tcBorders>
                    <w:top w:val="single" w:color="auto" w:sz="4" w:space="0"/>
                    <w:left w:val="nil"/>
                    <w:right w:val="single" w:color="auto" w:sz="4" w:space="0"/>
                  </w:tcBorders>
                  <w:vAlign w:val="center"/>
                </w:tcPr>
                <w:p w14:paraId="63FC581F">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油类物质（矿物油类，如石油、汽油、柴油等；生物柴油等）</w:t>
                  </w:r>
                </w:p>
              </w:tc>
              <w:tc>
                <w:tcPr>
                  <w:tcW w:w="1215" w:type="dxa"/>
                  <w:tcBorders>
                    <w:top w:val="single" w:color="auto" w:sz="4" w:space="0"/>
                    <w:left w:val="nil"/>
                    <w:bottom w:val="single" w:color="auto" w:sz="4" w:space="0"/>
                    <w:right w:val="single" w:color="auto" w:sz="4" w:space="0"/>
                  </w:tcBorders>
                  <w:vAlign w:val="center"/>
                </w:tcPr>
                <w:p w14:paraId="187D9835">
                  <w:pPr>
                    <w:wordWrap/>
                    <w:adjustRightIn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311" w:type="dxa"/>
                  <w:tcBorders>
                    <w:top w:val="single" w:color="auto" w:sz="4" w:space="0"/>
                    <w:left w:val="nil"/>
                    <w:bottom w:val="single" w:color="auto" w:sz="4" w:space="0"/>
                    <w:right w:val="single" w:color="auto" w:sz="4" w:space="0"/>
                  </w:tcBorders>
                  <w:vAlign w:val="center"/>
                </w:tcPr>
                <w:p w14:paraId="23FC4A44">
                  <w:pPr>
                    <w:wordWrap/>
                    <w:adjustRightIn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0.025</w:t>
                  </w:r>
                </w:p>
              </w:tc>
              <w:tc>
                <w:tcPr>
                  <w:tcW w:w="1033" w:type="dxa"/>
                  <w:tcBorders>
                    <w:top w:val="single" w:color="auto" w:sz="4" w:space="0"/>
                    <w:left w:val="nil"/>
                    <w:bottom w:val="single" w:color="auto" w:sz="4" w:space="0"/>
                    <w:right w:val="single" w:color="auto" w:sz="4" w:space="0"/>
                  </w:tcBorders>
                  <w:vAlign w:val="center"/>
                </w:tcPr>
                <w:p w14:paraId="16458F54">
                  <w:pPr>
                    <w:wordWrap/>
                    <w:adjustRightIn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2500</w:t>
                  </w:r>
                </w:p>
              </w:tc>
              <w:tc>
                <w:tcPr>
                  <w:tcW w:w="1175" w:type="dxa"/>
                  <w:tcBorders>
                    <w:top w:val="single" w:color="auto" w:sz="4" w:space="0"/>
                    <w:left w:val="nil"/>
                    <w:bottom w:val="single" w:color="auto" w:sz="4" w:space="0"/>
                    <w:right w:val="single" w:color="auto" w:sz="4" w:space="0"/>
                  </w:tcBorders>
                  <w:vAlign w:val="center"/>
                </w:tcPr>
                <w:p w14:paraId="1F2AE577">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0.00001</w:t>
                  </w:r>
                </w:p>
              </w:tc>
            </w:tr>
            <w:tr w14:paraId="0F7A3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66556C59">
                  <w:pPr>
                    <w:wordWrap/>
                    <w:adjustRightIn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8</w:t>
                  </w:r>
                </w:p>
              </w:tc>
              <w:tc>
                <w:tcPr>
                  <w:tcW w:w="1114" w:type="dxa"/>
                  <w:tcBorders>
                    <w:top w:val="single" w:color="auto" w:sz="4" w:space="0"/>
                    <w:left w:val="nil"/>
                    <w:bottom w:val="single" w:color="auto" w:sz="4" w:space="0"/>
                    <w:right w:val="single" w:color="auto" w:sz="4" w:space="0"/>
                  </w:tcBorders>
                  <w:vAlign w:val="center"/>
                </w:tcPr>
                <w:p w14:paraId="03105B2F">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废切削液</w:t>
                  </w:r>
                </w:p>
              </w:tc>
              <w:tc>
                <w:tcPr>
                  <w:tcW w:w="2191" w:type="dxa"/>
                  <w:tcBorders>
                    <w:top w:val="single" w:color="auto" w:sz="4" w:space="0"/>
                    <w:left w:val="nil"/>
                    <w:right w:val="single" w:color="auto" w:sz="4" w:space="0"/>
                  </w:tcBorders>
                  <w:vAlign w:val="center"/>
                </w:tcPr>
                <w:p w14:paraId="0E4BD2B7">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油类物质（矿物油类，如石油、汽油、柴油等；生物柴油等）</w:t>
                  </w:r>
                </w:p>
              </w:tc>
              <w:tc>
                <w:tcPr>
                  <w:tcW w:w="1215" w:type="dxa"/>
                  <w:tcBorders>
                    <w:top w:val="single" w:color="auto" w:sz="4" w:space="0"/>
                    <w:left w:val="nil"/>
                    <w:bottom w:val="single" w:color="auto" w:sz="4" w:space="0"/>
                    <w:right w:val="single" w:color="auto" w:sz="4" w:space="0"/>
                  </w:tcBorders>
                  <w:vAlign w:val="center"/>
                </w:tcPr>
                <w:p w14:paraId="50516AB6">
                  <w:pPr>
                    <w:wordWrap/>
                    <w:adjustRightIn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311" w:type="dxa"/>
                  <w:tcBorders>
                    <w:top w:val="single" w:color="auto" w:sz="4" w:space="0"/>
                    <w:left w:val="nil"/>
                    <w:bottom w:val="single" w:color="auto" w:sz="4" w:space="0"/>
                    <w:right w:val="single" w:color="auto" w:sz="4" w:space="0"/>
                  </w:tcBorders>
                  <w:vAlign w:val="center"/>
                </w:tcPr>
                <w:p w14:paraId="76B95A55">
                  <w:pPr>
                    <w:wordWrap/>
                    <w:adjustRightIn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0.01</w:t>
                  </w:r>
                </w:p>
              </w:tc>
              <w:tc>
                <w:tcPr>
                  <w:tcW w:w="1033" w:type="dxa"/>
                  <w:tcBorders>
                    <w:top w:val="single" w:color="auto" w:sz="4" w:space="0"/>
                    <w:left w:val="nil"/>
                    <w:bottom w:val="single" w:color="auto" w:sz="4" w:space="0"/>
                    <w:right w:val="single" w:color="auto" w:sz="4" w:space="0"/>
                  </w:tcBorders>
                  <w:vAlign w:val="center"/>
                </w:tcPr>
                <w:p w14:paraId="301E1BCE">
                  <w:pPr>
                    <w:wordWrap/>
                    <w:adjustRightIn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2500</w:t>
                  </w:r>
                </w:p>
              </w:tc>
              <w:tc>
                <w:tcPr>
                  <w:tcW w:w="1175" w:type="dxa"/>
                  <w:tcBorders>
                    <w:top w:val="single" w:color="auto" w:sz="4" w:space="0"/>
                    <w:left w:val="nil"/>
                    <w:bottom w:val="single" w:color="auto" w:sz="4" w:space="0"/>
                    <w:right w:val="single" w:color="auto" w:sz="4" w:space="0"/>
                  </w:tcBorders>
                  <w:vAlign w:val="center"/>
                </w:tcPr>
                <w:p w14:paraId="525C5FA1">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0.000004</w:t>
                  </w:r>
                </w:p>
              </w:tc>
            </w:tr>
            <w:tr w14:paraId="5D224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7301" w:type="dxa"/>
                  <w:gridSpan w:val="6"/>
                  <w:tcBorders>
                    <w:top w:val="single" w:color="auto" w:sz="4" w:space="0"/>
                    <w:left w:val="single" w:color="auto" w:sz="4" w:space="0"/>
                    <w:bottom w:val="single" w:color="auto" w:sz="4" w:space="0"/>
                    <w:right w:val="single" w:color="auto" w:sz="4" w:space="0"/>
                  </w:tcBorders>
                  <w:vAlign w:val="center"/>
                </w:tcPr>
                <w:p w14:paraId="4A1CABB4">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项目Q值∑</w:t>
                  </w:r>
                </w:p>
              </w:tc>
              <w:tc>
                <w:tcPr>
                  <w:tcW w:w="1175" w:type="dxa"/>
                  <w:tcBorders>
                    <w:top w:val="single" w:color="auto" w:sz="4" w:space="0"/>
                    <w:left w:val="nil"/>
                    <w:bottom w:val="single" w:color="auto" w:sz="4" w:space="0"/>
                    <w:right w:val="single" w:color="auto" w:sz="4" w:space="0"/>
                  </w:tcBorders>
                  <w:vAlign w:val="center"/>
                </w:tcPr>
                <w:p w14:paraId="0278D145">
                  <w:pPr>
                    <w:wordWrap/>
                    <w:adjustRightInd w:val="0"/>
                    <w:spacing w:line="240" w:lineRule="auto"/>
                    <w:jc w:val="center"/>
                    <w:rPr>
                      <w:rFonts w:hint="default" w:ascii="Times New Roman" w:hAnsi="Times New Roman" w:eastAsia="宋体" w:cs="Times New Roman"/>
                      <w:color w:val="auto"/>
                      <w:sz w:val="21"/>
                      <w:szCs w:val="21"/>
                      <w:lang w:val="en-US" w:eastAsia="zh-CN"/>
                    </w:rPr>
                  </w:pPr>
                </w:p>
              </w:tc>
            </w:tr>
          </w:tbl>
          <w:p w14:paraId="4CE4BB0B">
            <w:pPr>
              <w:ind w:firstLine="480" w:firstLineChars="200"/>
              <w:rPr>
                <w:rFonts w:hint="default" w:ascii="Times New Roman" w:hAnsi="Times New Roman" w:cs="Times New Roman"/>
                <w:color w:val="auto"/>
              </w:rPr>
            </w:pPr>
            <w:r>
              <w:rPr>
                <w:rFonts w:hint="default" w:ascii="Times New Roman" w:hAnsi="Times New Roman" w:cs="Times New Roman"/>
                <w:color w:val="auto"/>
              </w:rPr>
              <w:t>根据上表，项目厂区风险物质数量与临界量的比值Q=</w:t>
            </w:r>
            <w:r>
              <w:rPr>
                <w:rFonts w:hint="default" w:ascii="Times New Roman" w:hAnsi="Times New Roman" w:cs="Times New Roman"/>
                <w:color w:val="auto"/>
                <w:lang w:val="en-US" w:eastAsia="zh-CN"/>
              </w:rPr>
              <w:t>0.044134</w:t>
            </w:r>
            <w:r>
              <w:rPr>
                <w:rFonts w:hint="default" w:ascii="Times New Roman" w:hAnsi="Times New Roman" w:cs="Times New Roman"/>
                <w:color w:val="auto"/>
              </w:rPr>
              <w:t>，即Q值划分为Q＜1。</w:t>
            </w:r>
          </w:p>
          <w:p w14:paraId="4B9C75DC">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项目的事故风险来源主要为①废气处理设施发生破损，会使废气中颗粒物</w:t>
            </w:r>
            <w:r>
              <w:rPr>
                <w:rFonts w:hint="default" w:ascii="Times New Roman" w:hAnsi="Times New Roman" w:cs="Times New Roman"/>
                <w:color w:val="auto"/>
                <w:szCs w:val="22"/>
                <w:lang w:val="en-US" w:eastAsia="zh-CN"/>
              </w:rPr>
              <w:t>和有机废气</w:t>
            </w:r>
            <w:r>
              <w:rPr>
                <w:rFonts w:hint="default" w:ascii="Times New Roman" w:hAnsi="Times New Roman" w:cs="Times New Roman"/>
                <w:color w:val="auto"/>
                <w:szCs w:val="22"/>
              </w:rPr>
              <w:t>浓度上升；②</w:t>
            </w:r>
            <w:r>
              <w:rPr>
                <w:rFonts w:hint="default" w:ascii="Times New Roman" w:hAnsi="Times New Roman" w:cs="Times New Roman"/>
                <w:color w:val="auto"/>
                <w:szCs w:val="22"/>
                <w:lang w:val="en-US" w:eastAsia="zh-CN"/>
              </w:rPr>
              <w:t>液体</w:t>
            </w:r>
            <w:r>
              <w:rPr>
                <w:rFonts w:hint="default" w:ascii="Times New Roman" w:hAnsi="Times New Roman" w:cs="Times New Roman"/>
                <w:color w:val="auto"/>
                <w:szCs w:val="22"/>
              </w:rPr>
              <w:t>原料桶的破裂泄漏，容易引发火灾，产生有毒有害气体。③</w:t>
            </w:r>
            <w:r>
              <w:rPr>
                <w:rFonts w:hint="default" w:ascii="Times New Roman" w:hAnsi="Times New Roman" w:cs="Times New Roman"/>
                <w:color w:val="auto"/>
                <w:szCs w:val="22"/>
                <w:lang w:val="en-US" w:eastAsia="zh-CN"/>
              </w:rPr>
              <w:t>液体</w:t>
            </w:r>
            <w:r>
              <w:rPr>
                <w:rFonts w:hint="default" w:ascii="Times New Roman" w:hAnsi="Times New Roman" w:cs="Times New Roman"/>
                <w:color w:val="auto"/>
                <w:szCs w:val="22"/>
              </w:rPr>
              <w:t>原料桶破裂渗漏，污染地下水和土壤环境；④危废间中存放的废</w:t>
            </w:r>
            <w:r>
              <w:rPr>
                <w:rFonts w:hint="default" w:ascii="Times New Roman" w:hAnsi="Times New Roman" w:cs="Times New Roman"/>
                <w:color w:val="auto"/>
                <w:szCs w:val="22"/>
                <w:lang w:val="en-US" w:eastAsia="zh-CN"/>
              </w:rPr>
              <w:t>原料</w:t>
            </w:r>
            <w:r>
              <w:rPr>
                <w:rFonts w:hint="default" w:ascii="Times New Roman" w:hAnsi="Times New Roman" w:cs="Times New Roman"/>
                <w:color w:val="auto"/>
                <w:szCs w:val="22"/>
              </w:rPr>
              <w:t>桶</w:t>
            </w:r>
            <w:r>
              <w:rPr>
                <w:rFonts w:hint="default" w:ascii="Times New Roman" w:hAnsi="Times New Roman" w:cs="Times New Roman"/>
                <w:color w:val="auto"/>
                <w:szCs w:val="22"/>
                <w:lang w:val="en-US" w:eastAsia="zh-CN"/>
              </w:rPr>
              <w:t>和废矿物油桶</w:t>
            </w:r>
            <w:r>
              <w:rPr>
                <w:rFonts w:hint="default" w:ascii="Times New Roman" w:hAnsi="Times New Roman" w:cs="Times New Roman"/>
                <w:color w:val="auto"/>
                <w:szCs w:val="22"/>
              </w:rPr>
              <w:t>破裂导致泄漏，污染地下水和土壤环境。</w:t>
            </w:r>
          </w:p>
          <w:p w14:paraId="64D63556">
            <w:pPr>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t>表</w:t>
            </w:r>
            <w:r>
              <w:rPr>
                <w:rFonts w:hint="default" w:ascii="Times New Roman" w:hAnsi="Times New Roman" w:cs="Times New Roman"/>
                <w:b/>
                <w:bCs/>
                <w:color w:val="auto"/>
                <w:lang w:val="en-US" w:eastAsia="zh-CN"/>
              </w:rPr>
              <w:t>4-28</w:t>
            </w:r>
            <w:r>
              <w:rPr>
                <w:rFonts w:hint="default" w:ascii="Times New Roman" w:hAnsi="Times New Roman" w:cs="Times New Roman"/>
                <w:b/>
                <w:bCs/>
                <w:color w:val="auto"/>
              </w:rPr>
              <w:t xml:space="preserve"> 项目环境风险识别表</w:t>
            </w:r>
          </w:p>
          <w:tbl>
            <w:tblPr>
              <w:tblStyle w:val="22"/>
              <w:tblW w:w="846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437"/>
              <w:gridCol w:w="1341"/>
              <w:gridCol w:w="1140"/>
              <w:gridCol w:w="2102"/>
              <w:gridCol w:w="2196"/>
              <w:gridCol w:w="1248"/>
            </w:tblGrid>
            <w:tr w14:paraId="49DE19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58" w:type="pct"/>
                  <w:tcMar>
                    <w:top w:w="0" w:type="dxa"/>
                    <w:left w:w="117" w:type="dxa"/>
                    <w:bottom w:w="0" w:type="dxa"/>
                    <w:right w:w="117" w:type="dxa"/>
                  </w:tcMar>
                  <w:vAlign w:val="center"/>
                </w:tcPr>
                <w:p w14:paraId="318B02B7">
                  <w:pPr>
                    <w:spacing w:line="240" w:lineRule="auto"/>
                    <w:jc w:val="center"/>
                    <w:textAlignment w:val="baseline"/>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rPr>
                    <w:t>序</w:t>
                  </w:r>
                  <w:r>
                    <w:rPr>
                      <w:rFonts w:hint="default" w:ascii="Times New Roman" w:hAnsi="Times New Roman" w:cs="Times New Roman"/>
                      <w:b/>
                      <w:bCs/>
                      <w:color w:val="auto"/>
                      <w:sz w:val="21"/>
                      <w:szCs w:val="21"/>
                      <w:lang w:val="zh-CN"/>
                    </w:rPr>
                    <w:t>号</w:t>
                  </w:r>
                </w:p>
              </w:tc>
              <w:tc>
                <w:tcPr>
                  <w:tcW w:w="792" w:type="pct"/>
                  <w:tcMar>
                    <w:top w:w="0" w:type="dxa"/>
                    <w:left w:w="117" w:type="dxa"/>
                    <w:bottom w:w="0" w:type="dxa"/>
                    <w:right w:w="117" w:type="dxa"/>
                  </w:tcMar>
                  <w:vAlign w:val="center"/>
                </w:tcPr>
                <w:p w14:paraId="2C25D920">
                  <w:pPr>
                    <w:spacing w:line="240" w:lineRule="auto"/>
                    <w:jc w:val="center"/>
                    <w:textAlignment w:val="baseline"/>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危险单元</w:t>
                  </w:r>
                </w:p>
              </w:tc>
              <w:tc>
                <w:tcPr>
                  <w:tcW w:w="672" w:type="pct"/>
                  <w:tcMar>
                    <w:top w:w="0" w:type="dxa"/>
                    <w:left w:w="117" w:type="dxa"/>
                    <w:bottom w:w="0" w:type="dxa"/>
                    <w:right w:w="117" w:type="dxa"/>
                  </w:tcMar>
                  <w:vAlign w:val="center"/>
                </w:tcPr>
                <w:p w14:paraId="426E1E67">
                  <w:pPr>
                    <w:spacing w:line="240" w:lineRule="auto"/>
                    <w:jc w:val="center"/>
                    <w:textAlignment w:val="baseline"/>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风险源</w:t>
                  </w:r>
                </w:p>
              </w:tc>
              <w:tc>
                <w:tcPr>
                  <w:tcW w:w="1241" w:type="pct"/>
                  <w:tcMar>
                    <w:top w:w="0" w:type="dxa"/>
                    <w:left w:w="117" w:type="dxa"/>
                    <w:bottom w:w="0" w:type="dxa"/>
                    <w:right w:w="117" w:type="dxa"/>
                  </w:tcMar>
                  <w:vAlign w:val="center"/>
                </w:tcPr>
                <w:p w14:paraId="023526C4">
                  <w:pPr>
                    <w:spacing w:line="240" w:lineRule="auto"/>
                    <w:jc w:val="center"/>
                    <w:textAlignment w:val="baseline"/>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主要危险物质</w:t>
                  </w:r>
                </w:p>
              </w:tc>
              <w:tc>
                <w:tcPr>
                  <w:tcW w:w="1297" w:type="pct"/>
                  <w:tcMar>
                    <w:top w:w="0" w:type="dxa"/>
                    <w:left w:w="117" w:type="dxa"/>
                    <w:bottom w:w="0" w:type="dxa"/>
                    <w:right w:w="117" w:type="dxa"/>
                  </w:tcMar>
                  <w:vAlign w:val="center"/>
                </w:tcPr>
                <w:p w14:paraId="1FA3D37A">
                  <w:pPr>
                    <w:spacing w:line="240" w:lineRule="auto"/>
                    <w:jc w:val="center"/>
                    <w:textAlignment w:val="baseline"/>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环境风险类型</w:t>
                  </w:r>
                </w:p>
              </w:tc>
              <w:tc>
                <w:tcPr>
                  <w:tcW w:w="737" w:type="pct"/>
                  <w:tcMar>
                    <w:top w:w="0" w:type="dxa"/>
                    <w:left w:w="117" w:type="dxa"/>
                    <w:bottom w:w="0" w:type="dxa"/>
                    <w:right w:w="117" w:type="dxa"/>
                  </w:tcMar>
                  <w:vAlign w:val="center"/>
                </w:tcPr>
                <w:p w14:paraId="60610A39">
                  <w:pPr>
                    <w:spacing w:line="240" w:lineRule="auto"/>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zh-CN"/>
                    </w:rPr>
                    <w:t>风险</w:t>
                  </w:r>
                  <w:r>
                    <w:rPr>
                      <w:rFonts w:hint="default" w:ascii="Times New Roman" w:hAnsi="Times New Roman" w:cs="Times New Roman"/>
                      <w:b/>
                      <w:bCs/>
                      <w:color w:val="auto"/>
                      <w:sz w:val="21"/>
                      <w:szCs w:val="21"/>
                    </w:rPr>
                    <w:t>影响途径</w:t>
                  </w:r>
                </w:p>
              </w:tc>
            </w:tr>
            <w:tr w14:paraId="12256F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58" w:type="pct"/>
                  <w:tcMar>
                    <w:top w:w="0" w:type="dxa"/>
                    <w:left w:w="117" w:type="dxa"/>
                    <w:bottom w:w="0" w:type="dxa"/>
                    <w:right w:w="117" w:type="dxa"/>
                  </w:tcMar>
                  <w:vAlign w:val="center"/>
                </w:tcPr>
                <w:p w14:paraId="37C9BDE0">
                  <w:pPr>
                    <w:spacing w:line="240" w:lineRule="auto"/>
                    <w:jc w:val="center"/>
                    <w:textAlignment w:val="baseline"/>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rPr>
                    <w:t>1</w:t>
                  </w:r>
                </w:p>
              </w:tc>
              <w:tc>
                <w:tcPr>
                  <w:tcW w:w="1465" w:type="pct"/>
                  <w:gridSpan w:val="2"/>
                  <w:tcMar>
                    <w:top w:w="0" w:type="dxa"/>
                    <w:left w:w="117" w:type="dxa"/>
                    <w:bottom w:w="0" w:type="dxa"/>
                    <w:right w:w="117" w:type="dxa"/>
                  </w:tcMar>
                  <w:vAlign w:val="center"/>
                </w:tcPr>
                <w:p w14:paraId="0459D9FE">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生产车间</w:t>
                  </w:r>
                </w:p>
              </w:tc>
              <w:tc>
                <w:tcPr>
                  <w:tcW w:w="1241" w:type="pct"/>
                  <w:vMerge w:val="restart"/>
                  <w:tcMar>
                    <w:top w:w="0" w:type="dxa"/>
                    <w:left w:w="117" w:type="dxa"/>
                    <w:bottom w:w="0" w:type="dxa"/>
                    <w:right w:w="117" w:type="dxa"/>
                  </w:tcMar>
                  <w:vAlign w:val="center"/>
                </w:tcPr>
                <w:p w14:paraId="5BE69501">
                  <w:pPr>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润滑油、火花油、</w:t>
                  </w:r>
                  <w:r>
                    <w:rPr>
                      <w:rFonts w:hint="default" w:ascii="Times New Roman" w:hAnsi="Times New Roman" w:cs="Times New Roman"/>
                      <w:color w:val="auto"/>
                      <w:sz w:val="21"/>
                      <w:szCs w:val="21"/>
                      <w:lang w:eastAsia="zh-CN"/>
                    </w:rPr>
                    <w:t>水性漆</w:t>
                  </w:r>
                  <w:r>
                    <w:rPr>
                      <w:rFonts w:hint="default" w:ascii="Times New Roman" w:hAnsi="Times New Roman" w:cs="Times New Roman"/>
                      <w:color w:val="auto"/>
                      <w:sz w:val="21"/>
                      <w:szCs w:val="21"/>
                    </w:rPr>
                    <w:t>、硫化剂、</w:t>
                  </w:r>
                  <w:r>
                    <w:rPr>
                      <w:rFonts w:hint="default" w:ascii="Times New Roman" w:hAnsi="Times New Roman" w:cs="Times New Roman"/>
                      <w:color w:val="auto"/>
                      <w:sz w:val="21"/>
                      <w:szCs w:val="21"/>
                      <w:lang w:eastAsia="zh-CN"/>
                    </w:rPr>
                    <w:t>水性油墨</w:t>
                  </w:r>
                  <w:r>
                    <w:rPr>
                      <w:rFonts w:hint="default" w:ascii="Times New Roman" w:hAnsi="Times New Roman" w:cs="Times New Roman"/>
                      <w:color w:val="auto"/>
                      <w:sz w:val="21"/>
                      <w:szCs w:val="21"/>
                    </w:rPr>
                    <w:t>、切削液</w:t>
                  </w:r>
                  <w:r>
                    <w:rPr>
                      <w:rFonts w:hint="default" w:ascii="Times New Roman" w:hAnsi="Times New Roman" w:cs="Times New Roman"/>
                      <w:color w:val="auto"/>
                      <w:sz w:val="21"/>
                      <w:szCs w:val="21"/>
                      <w:lang w:val="en-US" w:eastAsia="zh-CN"/>
                    </w:rPr>
                    <w:t>等</w:t>
                  </w:r>
                </w:p>
              </w:tc>
              <w:tc>
                <w:tcPr>
                  <w:tcW w:w="1297" w:type="pct"/>
                  <w:vMerge w:val="restart"/>
                  <w:tcMar>
                    <w:top w:w="0" w:type="dxa"/>
                    <w:left w:w="117" w:type="dxa"/>
                    <w:bottom w:w="0" w:type="dxa"/>
                    <w:right w:w="117" w:type="dxa"/>
                  </w:tcMar>
                  <w:vAlign w:val="center"/>
                </w:tcPr>
                <w:p w14:paraId="576E0013">
                  <w:pPr>
                    <w:spacing w:line="240" w:lineRule="auto"/>
                    <w:jc w:val="center"/>
                    <w:textAlignment w:val="baseline"/>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rPr>
                    <w:t>泄漏，火灾、爆炸等引发的伴生/次生污染物排放</w:t>
                  </w:r>
                </w:p>
              </w:tc>
              <w:tc>
                <w:tcPr>
                  <w:tcW w:w="737" w:type="pct"/>
                  <w:vMerge w:val="restart"/>
                  <w:tcMar>
                    <w:top w:w="0" w:type="dxa"/>
                    <w:left w:w="117" w:type="dxa"/>
                    <w:bottom w:w="0" w:type="dxa"/>
                    <w:right w:w="117" w:type="dxa"/>
                  </w:tcMar>
                  <w:vAlign w:val="center"/>
                </w:tcPr>
                <w:p w14:paraId="22B1814A">
                  <w:pPr>
                    <w:widowControl/>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地表水/地下水、大气</w:t>
                  </w:r>
                </w:p>
              </w:tc>
            </w:tr>
            <w:tr w14:paraId="42BC4F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58" w:type="pct"/>
                  <w:tcMar>
                    <w:top w:w="0" w:type="dxa"/>
                    <w:left w:w="117" w:type="dxa"/>
                    <w:bottom w:w="0" w:type="dxa"/>
                    <w:right w:w="117" w:type="dxa"/>
                  </w:tcMar>
                  <w:vAlign w:val="center"/>
                </w:tcPr>
                <w:p w14:paraId="7F075CBF">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465" w:type="pct"/>
                  <w:gridSpan w:val="2"/>
                  <w:tcMar>
                    <w:top w:w="0" w:type="dxa"/>
                    <w:left w:w="117" w:type="dxa"/>
                    <w:bottom w:w="0" w:type="dxa"/>
                    <w:right w:w="117" w:type="dxa"/>
                  </w:tcMar>
                  <w:vAlign w:val="center"/>
                </w:tcPr>
                <w:p w14:paraId="70C270BD">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化学品仓库</w:t>
                  </w:r>
                </w:p>
              </w:tc>
              <w:tc>
                <w:tcPr>
                  <w:tcW w:w="1241" w:type="pct"/>
                  <w:vMerge w:val="continue"/>
                  <w:tcMar>
                    <w:top w:w="0" w:type="dxa"/>
                    <w:left w:w="117" w:type="dxa"/>
                    <w:bottom w:w="0" w:type="dxa"/>
                    <w:right w:w="117" w:type="dxa"/>
                  </w:tcMar>
                  <w:vAlign w:val="center"/>
                </w:tcPr>
                <w:p w14:paraId="2EF6F045">
                  <w:pPr>
                    <w:spacing w:line="240" w:lineRule="auto"/>
                    <w:jc w:val="center"/>
                    <w:textAlignment w:val="baseline"/>
                    <w:rPr>
                      <w:rFonts w:hint="default" w:ascii="Times New Roman" w:hAnsi="Times New Roman" w:cs="Times New Roman"/>
                      <w:color w:val="auto"/>
                      <w:sz w:val="21"/>
                      <w:szCs w:val="21"/>
                      <w:lang w:val="zh-CN"/>
                    </w:rPr>
                  </w:pPr>
                </w:p>
              </w:tc>
              <w:tc>
                <w:tcPr>
                  <w:tcW w:w="1297" w:type="pct"/>
                  <w:vMerge w:val="continue"/>
                  <w:tcMar>
                    <w:top w:w="0" w:type="dxa"/>
                    <w:left w:w="117" w:type="dxa"/>
                    <w:bottom w:w="0" w:type="dxa"/>
                    <w:right w:w="117" w:type="dxa"/>
                  </w:tcMar>
                  <w:vAlign w:val="center"/>
                </w:tcPr>
                <w:p w14:paraId="0AF89ED3">
                  <w:pPr>
                    <w:spacing w:line="240" w:lineRule="auto"/>
                    <w:jc w:val="center"/>
                    <w:textAlignment w:val="baseline"/>
                    <w:rPr>
                      <w:rFonts w:hint="default" w:ascii="Times New Roman" w:hAnsi="Times New Roman" w:cs="Times New Roman"/>
                      <w:color w:val="auto"/>
                      <w:sz w:val="21"/>
                      <w:szCs w:val="21"/>
                      <w:lang w:val="zh-CN"/>
                    </w:rPr>
                  </w:pPr>
                </w:p>
              </w:tc>
              <w:tc>
                <w:tcPr>
                  <w:tcW w:w="737" w:type="pct"/>
                  <w:vMerge w:val="continue"/>
                  <w:tcMar>
                    <w:top w:w="0" w:type="dxa"/>
                    <w:left w:w="117" w:type="dxa"/>
                    <w:bottom w:w="0" w:type="dxa"/>
                    <w:right w:w="117" w:type="dxa"/>
                  </w:tcMar>
                  <w:vAlign w:val="center"/>
                </w:tcPr>
                <w:p w14:paraId="6455E21B">
                  <w:pPr>
                    <w:widowControl/>
                    <w:spacing w:line="240" w:lineRule="auto"/>
                    <w:jc w:val="center"/>
                    <w:textAlignment w:val="baseline"/>
                    <w:rPr>
                      <w:rFonts w:hint="default" w:ascii="Times New Roman" w:hAnsi="Times New Roman" w:cs="Times New Roman"/>
                      <w:color w:val="auto"/>
                      <w:sz w:val="21"/>
                      <w:szCs w:val="21"/>
                    </w:rPr>
                  </w:pPr>
                </w:p>
              </w:tc>
            </w:tr>
            <w:tr w14:paraId="2510C1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58" w:type="pct"/>
                  <w:tcMar>
                    <w:top w:w="0" w:type="dxa"/>
                    <w:left w:w="117" w:type="dxa"/>
                    <w:bottom w:w="0" w:type="dxa"/>
                    <w:right w:w="117" w:type="dxa"/>
                  </w:tcMar>
                  <w:vAlign w:val="center"/>
                </w:tcPr>
                <w:p w14:paraId="74AC423F">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792" w:type="pct"/>
                  <w:tcMar>
                    <w:top w:w="0" w:type="dxa"/>
                    <w:left w:w="117" w:type="dxa"/>
                    <w:bottom w:w="0" w:type="dxa"/>
                    <w:right w:w="117" w:type="dxa"/>
                  </w:tcMar>
                  <w:vAlign w:val="center"/>
                </w:tcPr>
                <w:p w14:paraId="70AE8F98">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危废暂存间</w:t>
                  </w:r>
                </w:p>
              </w:tc>
              <w:tc>
                <w:tcPr>
                  <w:tcW w:w="672" w:type="pct"/>
                  <w:tcMar>
                    <w:top w:w="0" w:type="dxa"/>
                    <w:left w:w="117" w:type="dxa"/>
                    <w:bottom w:w="0" w:type="dxa"/>
                    <w:right w:w="117" w:type="dxa"/>
                  </w:tcMar>
                  <w:vAlign w:val="center"/>
                </w:tcPr>
                <w:p w14:paraId="77C77C8F">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1241" w:type="pct"/>
                  <w:tcMar>
                    <w:top w:w="0" w:type="dxa"/>
                    <w:left w:w="117" w:type="dxa"/>
                    <w:bottom w:w="0" w:type="dxa"/>
                    <w:right w:w="117" w:type="dxa"/>
                  </w:tcMar>
                  <w:vAlign w:val="center"/>
                </w:tcPr>
                <w:p w14:paraId="1B232C10">
                  <w:pPr>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原料桶、废矿物油</w:t>
                  </w:r>
                </w:p>
              </w:tc>
              <w:tc>
                <w:tcPr>
                  <w:tcW w:w="1297" w:type="pct"/>
                  <w:vMerge w:val="continue"/>
                  <w:tcMar>
                    <w:top w:w="0" w:type="dxa"/>
                    <w:left w:w="117" w:type="dxa"/>
                    <w:bottom w:w="0" w:type="dxa"/>
                    <w:right w:w="117" w:type="dxa"/>
                  </w:tcMar>
                  <w:vAlign w:val="center"/>
                </w:tcPr>
                <w:p w14:paraId="1263608A">
                  <w:pPr>
                    <w:spacing w:line="240" w:lineRule="auto"/>
                    <w:jc w:val="center"/>
                    <w:textAlignment w:val="baseline"/>
                    <w:rPr>
                      <w:rFonts w:hint="default" w:ascii="Times New Roman" w:hAnsi="Times New Roman" w:cs="Times New Roman"/>
                      <w:color w:val="auto"/>
                      <w:sz w:val="21"/>
                      <w:szCs w:val="21"/>
                      <w:lang w:val="zh-CN"/>
                    </w:rPr>
                  </w:pPr>
                </w:p>
              </w:tc>
              <w:tc>
                <w:tcPr>
                  <w:tcW w:w="737" w:type="pct"/>
                  <w:vMerge w:val="continue"/>
                  <w:tcMar>
                    <w:top w:w="0" w:type="dxa"/>
                    <w:left w:w="117" w:type="dxa"/>
                    <w:bottom w:w="0" w:type="dxa"/>
                    <w:right w:w="117" w:type="dxa"/>
                  </w:tcMar>
                  <w:vAlign w:val="center"/>
                </w:tcPr>
                <w:p w14:paraId="50D96CB4">
                  <w:pPr>
                    <w:widowControl/>
                    <w:spacing w:line="240" w:lineRule="auto"/>
                    <w:jc w:val="center"/>
                    <w:textAlignment w:val="baseline"/>
                    <w:rPr>
                      <w:rFonts w:hint="default" w:ascii="Times New Roman" w:hAnsi="Times New Roman" w:cs="Times New Roman"/>
                      <w:color w:val="auto"/>
                      <w:sz w:val="21"/>
                      <w:szCs w:val="21"/>
                    </w:rPr>
                  </w:pPr>
                </w:p>
              </w:tc>
            </w:tr>
            <w:tr w14:paraId="01C05C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58" w:type="pct"/>
                  <w:tcBorders>
                    <w:bottom w:val="single" w:color="auto" w:sz="4" w:space="0"/>
                  </w:tcBorders>
                  <w:tcMar>
                    <w:top w:w="0" w:type="dxa"/>
                    <w:left w:w="117" w:type="dxa"/>
                    <w:bottom w:w="0" w:type="dxa"/>
                    <w:right w:w="117" w:type="dxa"/>
                  </w:tcMar>
                  <w:vAlign w:val="center"/>
                </w:tcPr>
                <w:p w14:paraId="651682F7">
                  <w:pPr>
                    <w:spacing w:line="240" w:lineRule="auto"/>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4</w:t>
                  </w:r>
                </w:p>
              </w:tc>
              <w:tc>
                <w:tcPr>
                  <w:tcW w:w="792" w:type="pct"/>
                  <w:tcMar>
                    <w:top w:w="0" w:type="dxa"/>
                    <w:left w:w="117" w:type="dxa"/>
                    <w:bottom w:w="0" w:type="dxa"/>
                    <w:right w:w="117" w:type="dxa"/>
                  </w:tcMar>
                  <w:vAlign w:val="center"/>
                </w:tcPr>
                <w:p w14:paraId="5D4A1DA8">
                  <w:pPr>
                    <w:spacing w:line="240" w:lineRule="auto"/>
                    <w:jc w:val="center"/>
                    <w:textAlignment w:val="baseline"/>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环保工程</w:t>
                  </w:r>
                </w:p>
              </w:tc>
              <w:tc>
                <w:tcPr>
                  <w:tcW w:w="672" w:type="pct"/>
                  <w:tcMar>
                    <w:top w:w="0" w:type="dxa"/>
                    <w:left w:w="117" w:type="dxa"/>
                    <w:bottom w:w="0" w:type="dxa"/>
                    <w:right w:w="117" w:type="dxa"/>
                  </w:tcMar>
                  <w:vAlign w:val="center"/>
                </w:tcPr>
                <w:p w14:paraId="4E69CD04">
                  <w:pPr>
                    <w:widowControl/>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废气处理设施</w:t>
                  </w:r>
                </w:p>
              </w:tc>
              <w:tc>
                <w:tcPr>
                  <w:tcW w:w="1241" w:type="pct"/>
                  <w:tcMar>
                    <w:top w:w="0" w:type="dxa"/>
                    <w:left w:w="117" w:type="dxa"/>
                    <w:bottom w:w="0" w:type="dxa"/>
                    <w:right w:w="117" w:type="dxa"/>
                  </w:tcMar>
                  <w:vAlign w:val="center"/>
                </w:tcPr>
                <w:p w14:paraId="7AF8B51A">
                  <w:pPr>
                    <w:widowControl/>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颗粒物</w:t>
                  </w:r>
                  <w:r>
                    <w:rPr>
                      <w:rFonts w:hint="default" w:ascii="Times New Roman" w:hAnsi="Times New Roman" w:cs="Times New Roman"/>
                      <w:color w:val="auto"/>
                      <w:sz w:val="21"/>
                      <w:szCs w:val="21"/>
                      <w:lang w:val="en-US" w:eastAsia="zh-CN"/>
                    </w:rPr>
                    <w:t>和有机废气</w:t>
                  </w:r>
                </w:p>
              </w:tc>
              <w:tc>
                <w:tcPr>
                  <w:tcW w:w="1297" w:type="pct"/>
                  <w:tcMar>
                    <w:top w:w="0" w:type="dxa"/>
                    <w:left w:w="117" w:type="dxa"/>
                    <w:bottom w:w="0" w:type="dxa"/>
                    <w:right w:w="117" w:type="dxa"/>
                  </w:tcMar>
                  <w:vAlign w:val="center"/>
                </w:tcPr>
                <w:p w14:paraId="5E68A1B3">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废气处理设施发生故障导致事故排放</w:t>
                  </w:r>
                </w:p>
              </w:tc>
              <w:tc>
                <w:tcPr>
                  <w:tcW w:w="737" w:type="pct"/>
                  <w:tcMar>
                    <w:top w:w="0" w:type="dxa"/>
                    <w:left w:w="117" w:type="dxa"/>
                    <w:bottom w:w="0" w:type="dxa"/>
                    <w:right w:w="117" w:type="dxa"/>
                  </w:tcMar>
                  <w:vAlign w:val="center"/>
                </w:tcPr>
                <w:p w14:paraId="1423F428">
                  <w:pPr>
                    <w:widowControl/>
                    <w:spacing w:line="240" w:lineRule="auto"/>
                    <w:jc w:val="center"/>
                    <w:textAlignment w:val="baseline"/>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rPr>
                    <w:t>大气</w:t>
                  </w:r>
                </w:p>
              </w:tc>
            </w:tr>
          </w:tbl>
          <w:p w14:paraId="3E13921C">
            <w:pPr>
              <w:widowControl/>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（2）环境风险防范措施</w:t>
            </w:r>
          </w:p>
          <w:p w14:paraId="0AD90638">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1）生产车间泄漏防范措施</w:t>
            </w:r>
          </w:p>
          <w:p w14:paraId="49F5C16A">
            <w:pPr>
              <w:autoSpaceDE w:val="0"/>
              <w:autoSpaceDN w:val="0"/>
              <w:ind w:firstLine="480" w:firstLineChars="200"/>
              <w:rPr>
                <w:rFonts w:hint="default" w:ascii="Times New Roman" w:hAnsi="Times New Roman" w:cs="Times New Roman"/>
                <w:color w:val="auto"/>
              </w:rPr>
            </w:pPr>
            <w:r>
              <w:rPr>
                <w:rFonts w:hint="default" w:ascii="Times New Roman" w:hAnsi="Times New Roman" w:cs="Times New Roman"/>
                <w:bCs/>
                <w:color w:val="auto"/>
              </w:rPr>
              <w:t>车间应</w:t>
            </w:r>
            <w:r>
              <w:rPr>
                <w:rFonts w:hint="default" w:ascii="Times New Roman" w:hAnsi="Times New Roman" w:cs="Times New Roman"/>
                <w:color w:val="auto"/>
              </w:rPr>
              <w:t>符合《建筑设计防火规范》中相应的消防、防火防爆要求</w:t>
            </w:r>
            <w:r>
              <w:rPr>
                <w:rFonts w:hint="default" w:ascii="Times New Roman" w:hAnsi="Times New Roman" w:cs="Times New Roman"/>
                <w:bCs/>
                <w:color w:val="auto"/>
              </w:rPr>
              <w:t>，</w:t>
            </w:r>
            <w:r>
              <w:rPr>
                <w:rFonts w:hint="default" w:ascii="Times New Roman" w:hAnsi="Times New Roman" w:cs="Times New Roman"/>
                <w:color w:val="auto"/>
              </w:rPr>
              <w:t>配备足量的泡沫、干粉等灭火器、消防沙、灭火毯等消防器材。</w:t>
            </w:r>
            <w:r>
              <w:rPr>
                <w:rFonts w:hint="default" w:ascii="Times New Roman" w:hAnsi="Times New Roman" w:cs="Times New Roman"/>
                <w:bCs/>
                <w:color w:val="auto"/>
              </w:rPr>
              <w:t>同时应加强车间通风，防止可燃气体的累积。生产车间、</w:t>
            </w:r>
            <w:r>
              <w:rPr>
                <w:rFonts w:hint="default" w:ascii="Times New Roman" w:hAnsi="Times New Roman" w:cs="Times New Roman"/>
                <w:bCs/>
                <w:color w:val="auto"/>
                <w:lang w:val="en-US" w:eastAsia="zh-CN"/>
              </w:rPr>
              <w:t>仓库</w:t>
            </w:r>
            <w:r>
              <w:rPr>
                <w:rFonts w:hint="default" w:ascii="Times New Roman" w:hAnsi="Times New Roman" w:cs="Times New Roman"/>
                <w:bCs/>
                <w:color w:val="auto"/>
              </w:rPr>
              <w:t>等安装自动监测装置和自动火灾报警系统。</w:t>
            </w:r>
            <w:r>
              <w:rPr>
                <w:rFonts w:hint="default" w:ascii="Times New Roman" w:hAnsi="Times New Roman" w:cs="Times New Roman"/>
                <w:color w:val="auto"/>
                <w:szCs w:val="22"/>
              </w:rPr>
              <w:t>生产设备、管道的设计应根据生产过程的特点和物料的性质选择合适材料。设备和管道的设计、制造、安装、试压等应符合国家标准和有关规范要求。</w:t>
            </w:r>
          </w:p>
          <w:p w14:paraId="49535ECD">
            <w:pPr>
              <w:autoSpaceDE w:val="0"/>
              <w:autoSpaceDN w:val="0"/>
              <w:ind w:firstLine="480" w:firstLineChars="200"/>
              <w:rPr>
                <w:rFonts w:hint="default" w:ascii="Times New Roman" w:hAnsi="Times New Roman" w:cs="Times New Roman"/>
                <w:color w:val="auto"/>
              </w:rPr>
            </w:pPr>
            <w:r>
              <w:rPr>
                <w:rFonts w:hint="default" w:ascii="Times New Roman" w:hAnsi="Times New Roman" w:cs="Times New Roman"/>
                <w:bCs/>
                <w:color w:val="auto"/>
              </w:rPr>
              <w:t>储存液体原材料的铁桶上应注明物质的名称、危险特性、安全使用说明以及事故应对措施等内容。</w:t>
            </w:r>
            <w:r>
              <w:rPr>
                <w:rFonts w:hint="default" w:ascii="Times New Roman" w:hAnsi="Times New Roman" w:cs="Times New Roman"/>
                <w:color w:val="auto"/>
              </w:rPr>
              <w:t>企业危险化学品仓库应急物资配备参照《危险化学品单位应急救援物资配备要求危化品应急物资配备标准》（GB 30077-2013）。一旦出现泄漏事故，应将泄漏物料集中收集至专用收集桶。发生少量泄漏时，用吸液棉等吸附残液，转移至安全容器内，交由有资质的单位进行处置。</w:t>
            </w:r>
          </w:p>
          <w:p w14:paraId="009D6670">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2）危废暂存间泄漏防范措施</w:t>
            </w:r>
          </w:p>
          <w:p w14:paraId="1F74EC4F">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应按照相关规定规范对危险废物的贮存及管理过程，加强对员工的教育培训。危废暂存间在厂内存储地点必须远离动火点，且保证存储地点通风良好，在明显位置张贴禁用明火的告示。危废暂存间应安排专人管理，做好入库记录，并定期检查危险废物存储的安全状态，定期检查其包装有无破损，以防止泄漏。同时在危废暂存间门口设置围堰，发生少量泄漏事件时泄漏物不会流出危废暂存间。</w:t>
            </w:r>
            <w:r>
              <w:rPr>
                <w:rFonts w:hint="default" w:ascii="Times New Roman" w:hAnsi="Times New Roman" w:cs="Times New Roman"/>
                <w:color w:val="auto"/>
              </w:rPr>
              <w:t>危废暂存间严格按照</w:t>
            </w:r>
            <w:r>
              <w:rPr>
                <w:rFonts w:hint="default" w:ascii="Times New Roman" w:hAnsi="Times New Roman" w:eastAsia="宋体" w:cs="Times New Roman"/>
                <w:bCs/>
                <w:color w:val="auto"/>
                <w:sz w:val="24"/>
                <w:szCs w:val="22"/>
              </w:rPr>
              <w:t>《危险废物贮存污染控制标准》（GB 18597-2023）</w:t>
            </w:r>
            <w:r>
              <w:rPr>
                <w:rFonts w:hint="default" w:ascii="Times New Roman" w:hAnsi="Times New Roman" w:cs="Times New Roman"/>
                <w:color w:val="auto"/>
              </w:rPr>
              <w:t>的要求设计，地面采用2mm厚的环氧树脂漆进行防腐、防渗处理，</w:t>
            </w:r>
            <w:r>
              <w:rPr>
                <w:rFonts w:hint="default" w:ascii="Times New Roman" w:hAnsi="Times New Roman" w:cs="Times New Roman"/>
                <w:bCs/>
                <w:color w:val="auto"/>
              </w:rPr>
              <w:t>周围设应急物资，确保发生泄漏事故时能及时处理。</w:t>
            </w:r>
            <w:r>
              <w:rPr>
                <w:rFonts w:hint="default" w:ascii="Times New Roman" w:hAnsi="Times New Roman" w:cs="Times New Roman"/>
                <w:color w:val="auto"/>
                <w:szCs w:val="22"/>
              </w:rPr>
              <w:t>另外，危险废物定期交有资质单位处理，运输过程落实防渗、防漏措施。</w:t>
            </w:r>
          </w:p>
          <w:p w14:paraId="07193A8A">
            <w:pPr>
              <w:wordWrap w:val="0"/>
              <w:bidi w:val="0"/>
              <w:spacing w:line="360" w:lineRule="auto"/>
              <w:ind w:firstLine="482" w:firstLineChars="200"/>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lang w:val="en-US" w:eastAsia="zh-CN"/>
              </w:rPr>
              <w:t>3）</w:t>
            </w:r>
            <w:r>
              <w:rPr>
                <w:rFonts w:hint="default" w:ascii="Times New Roman" w:hAnsi="Times New Roman" w:eastAsia="宋体" w:cs="Times New Roman"/>
                <w:b/>
                <w:bCs/>
                <w:color w:val="auto"/>
                <w:sz w:val="24"/>
                <w:szCs w:val="22"/>
              </w:rPr>
              <w:t>废气处理系统</w:t>
            </w:r>
            <w:r>
              <w:rPr>
                <w:rFonts w:hint="default" w:ascii="Times New Roman" w:hAnsi="Times New Roman" w:eastAsia="宋体" w:cs="Times New Roman"/>
                <w:b/>
                <w:bCs/>
                <w:color w:val="auto"/>
                <w:sz w:val="24"/>
                <w:szCs w:val="22"/>
                <w:lang w:val="en-US" w:eastAsia="zh-CN"/>
              </w:rPr>
              <w:t>故障事故排放防范</w:t>
            </w:r>
            <w:r>
              <w:rPr>
                <w:rFonts w:hint="default" w:ascii="Times New Roman" w:hAnsi="Times New Roman" w:eastAsia="宋体" w:cs="Times New Roman"/>
                <w:b/>
                <w:bCs/>
                <w:color w:val="auto"/>
                <w:sz w:val="24"/>
                <w:szCs w:val="22"/>
              </w:rPr>
              <w:t>措施</w:t>
            </w:r>
          </w:p>
          <w:p w14:paraId="7387EFB3">
            <w:pPr>
              <w:wordWrap w:val="0"/>
              <w:autoSpaceDE w:val="0"/>
              <w:autoSpaceDN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各生产环节严格执行生产管理的有关规定，加强设备的检修及保养，提高管理人员素质，并设置及其事故应急措施及管理制度，确保设备长期处于良好状态，使设备达到预期的处理效果。</w:t>
            </w:r>
            <w:r>
              <w:rPr>
                <w:rFonts w:hint="default" w:ascii="Times New Roman" w:hAnsi="Times New Roman" w:eastAsia="宋体" w:cs="Times New Roman"/>
                <w:color w:val="auto"/>
                <w:sz w:val="24"/>
              </w:rPr>
              <w:t>建立事故防范和处理应对制度，</w:t>
            </w:r>
            <w:r>
              <w:rPr>
                <w:rFonts w:hint="default" w:ascii="Times New Roman" w:hAnsi="Times New Roman" w:eastAsia="宋体" w:cs="Times New Roman"/>
                <w:bCs/>
                <w:color w:val="auto"/>
                <w:sz w:val="24"/>
              </w:rPr>
              <w:t>设专人负责废气处理设施的运行，</w:t>
            </w:r>
            <w:r>
              <w:rPr>
                <w:rFonts w:hint="default" w:ascii="Times New Roman" w:hAnsi="Times New Roman" w:eastAsia="宋体" w:cs="Times New Roman"/>
                <w:color w:val="auto"/>
                <w:sz w:val="24"/>
              </w:rPr>
              <w:t>密切监视废气产生状况的波动</w:t>
            </w:r>
            <w:r>
              <w:rPr>
                <w:rFonts w:hint="default" w:ascii="Times New Roman" w:hAnsi="Times New Roman" w:eastAsia="宋体" w:cs="Times New Roman"/>
                <w:bCs/>
                <w:color w:val="auto"/>
                <w:sz w:val="24"/>
              </w:rPr>
              <w:t>，定期检查废气处理设施是否正常运转。</w:t>
            </w:r>
          </w:p>
          <w:p w14:paraId="4CFFA592">
            <w:pPr>
              <w:wordWrap w:val="0"/>
              <w:autoSpaceDE w:val="0"/>
              <w:autoSpaceDN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废气收集系统</w:t>
            </w:r>
            <w:r>
              <w:rPr>
                <w:rFonts w:hint="default" w:ascii="Times New Roman" w:hAnsi="Times New Roman" w:eastAsia="宋体" w:cs="Times New Roman"/>
                <w:color w:val="auto"/>
                <w:sz w:val="24"/>
              </w:rPr>
              <w:t>管道破裂，或阀门故障，导致废气泄漏至车间，可通过在车间设置局部排风系统，每班工作人员都要对管道、泵、阀门进行检查，一旦发现管道破裂、泵或阀门出现异常，立即启动排风系统，相关安全人员及时处理，处理作业时应佩带防毒面具。并停止作业，待维修好后方可作业。</w:t>
            </w:r>
          </w:p>
          <w:p w14:paraId="0BEDB072">
            <w:pPr>
              <w:wordWrap w:val="0"/>
              <w:bidi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bCs/>
                <w:color w:val="auto"/>
                <w:sz w:val="24"/>
              </w:rPr>
              <w:t>现场作业人员定时记录废气处理状况，如对风机、废气处理设施等设备进行定期检查，并派专人巡视，遇不良工作状况应立即停止车间相关作业，维修正常后再开始作业，杜绝事故性废气直排，并及时呈报单位主管。待检修完毕再通知生产车间相关工序。风机等重要设备应一用一备，发生故障时可自动启动备用设备。</w:t>
            </w:r>
            <w:r>
              <w:rPr>
                <w:rFonts w:hint="default" w:ascii="Times New Roman" w:hAnsi="Times New Roman" w:eastAsia="宋体" w:cs="Times New Roman"/>
                <w:bCs/>
                <w:color w:val="auto"/>
                <w:sz w:val="24"/>
                <w:szCs w:val="22"/>
              </w:rPr>
              <w:t>对于废气处理设施所有的易损部件（如皮带、轴承）等，废气处理设施负责人要及时委托采购人员购买备用件，一旦发生损坏及时更换。</w:t>
            </w:r>
          </w:p>
          <w:p w14:paraId="25376151">
            <w:pPr>
              <w:wordWrap w:val="0"/>
              <w:bidi w:val="0"/>
              <w:spacing w:line="360" w:lineRule="auto"/>
              <w:ind w:firstLine="480" w:firstLineChars="200"/>
              <w:rPr>
                <w:rFonts w:hint="default" w:ascii="Times New Roman" w:hAnsi="Times New Roman" w:eastAsia="宋体" w:cs="Times New Roman"/>
                <w:b w:val="0"/>
                <w:bCs w:val="0"/>
                <w:color w:val="auto"/>
                <w:sz w:val="24"/>
                <w:szCs w:val="22"/>
                <w:lang w:val="en-US" w:eastAsia="zh-CN"/>
              </w:rPr>
            </w:pPr>
            <w:r>
              <w:rPr>
                <w:rFonts w:hint="default" w:ascii="Times New Roman" w:hAnsi="Times New Roman" w:eastAsia="宋体" w:cs="Times New Roman"/>
                <w:b w:val="0"/>
                <w:bCs w:val="0"/>
                <w:color w:val="auto"/>
                <w:sz w:val="24"/>
                <w:szCs w:val="22"/>
                <w:lang w:val="en-US" w:eastAsia="zh-CN"/>
              </w:rPr>
              <w:t>在采取以上措施的情况下，风险事故发生概率很低，项目环境风险在可接受范围内。</w:t>
            </w:r>
          </w:p>
          <w:p w14:paraId="48E0207B">
            <w:pPr>
              <w:rPr>
                <w:rFonts w:hint="default" w:ascii="Times New Roman" w:hAnsi="Times New Roman" w:cs="Times New Roman"/>
                <w:b/>
                <w:bCs/>
                <w:color w:val="auto"/>
                <w:szCs w:val="22"/>
              </w:rPr>
            </w:pPr>
            <w:r>
              <w:rPr>
                <w:rFonts w:hint="default" w:ascii="Times New Roman" w:hAnsi="Times New Roman" w:cs="Times New Roman"/>
                <w:b/>
                <w:bCs/>
                <w:color w:val="auto"/>
                <w:szCs w:val="22"/>
              </w:rPr>
              <w:t>7、电磁辐射</w:t>
            </w:r>
          </w:p>
          <w:p w14:paraId="14F7A75C">
            <w:pPr>
              <w:ind w:firstLine="480" w:firstLineChars="200"/>
              <w:rPr>
                <w:rFonts w:hint="default" w:ascii="Times New Roman" w:hAnsi="Times New Roman" w:eastAsia="黑体" w:cs="Times New Roman"/>
                <w:snapToGrid w:val="0"/>
                <w:color w:val="auto"/>
                <w:sz w:val="30"/>
                <w:szCs w:val="30"/>
                <w:vertAlign w:val="baseline"/>
              </w:rPr>
            </w:pPr>
            <w:r>
              <w:rPr>
                <w:rFonts w:hint="default" w:ascii="Times New Roman" w:hAnsi="Times New Roman" w:eastAsia="宋体" w:cs="Times New Roman"/>
                <w:color w:val="auto"/>
                <w:szCs w:val="22"/>
                <w:lang w:val="en-US" w:eastAsia="zh-CN"/>
              </w:rPr>
              <w:t>项目不涉及电磁辐射，无需开展电磁辐射影响和保护措施分析。</w:t>
            </w:r>
          </w:p>
        </w:tc>
      </w:tr>
    </w:tbl>
    <w:p w14:paraId="469EA4A6">
      <w:pPr>
        <w:pStyle w:val="18"/>
        <w:jc w:val="center"/>
        <w:outlineLvl w:val="0"/>
        <w:rPr>
          <w:rFonts w:hint="default" w:ascii="Times New Roman" w:hAnsi="Times New Roman" w:eastAsia="黑体" w:cs="Times New Roman"/>
          <w:snapToGrid w:val="0"/>
          <w:color w:val="auto"/>
          <w:sz w:val="30"/>
          <w:szCs w:val="30"/>
        </w:rPr>
        <w:sectPr>
          <w:pgSz w:w="11906" w:h="16838"/>
          <w:pgMar w:top="1701" w:right="1531" w:bottom="1701" w:left="1531" w:header="851" w:footer="851" w:gutter="0"/>
          <w:cols w:space="720" w:num="1"/>
          <w:docGrid w:linePitch="312" w:charSpace="0"/>
        </w:sectPr>
      </w:pPr>
    </w:p>
    <w:p w14:paraId="4858F54C">
      <w:pPr>
        <w:pStyle w:val="18"/>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五、</w:t>
      </w:r>
      <w:bookmarkStart w:id="35" w:name="_Hlk54167917"/>
      <w:r>
        <w:rPr>
          <w:rFonts w:hint="default" w:ascii="Times New Roman" w:hAnsi="Times New Roman" w:eastAsia="黑体" w:cs="Times New Roman"/>
          <w:snapToGrid w:val="0"/>
          <w:color w:val="auto"/>
          <w:sz w:val="30"/>
          <w:szCs w:val="30"/>
        </w:rPr>
        <w:t>环境保护措施监督检查清单</w:t>
      </w:r>
      <w:bookmarkEnd w:id="35"/>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63"/>
        <w:gridCol w:w="759"/>
        <w:gridCol w:w="726"/>
        <w:gridCol w:w="570"/>
        <w:gridCol w:w="570"/>
        <w:gridCol w:w="2205"/>
        <w:gridCol w:w="2543"/>
      </w:tblGrid>
      <w:tr w14:paraId="6E5F35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463" w:type="dxa"/>
            <w:tcBorders>
              <w:tl2br w:val="single" w:color="auto" w:sz="4" w:space="0"/>
            </w:tcBorders>
            <w:vAlign w:val="center"/>
          </w:tcPr>
          <w:p w14:paraId="75E2A1EA">
            <w:pPr>
              <w:adjustRightInd w:val="0"/>
              <w:snapToGrid w:val="0"/>
              <w:spacing w:line="240" w:lineRule="auto"/>
              <w:ind w:firstLine="84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内容</w:t>
            </w:r>
          </w:p>
          <w:p w14:paraId="3FAFB523">
            <w:pPr>
              <w:adjustRightInd w:val="0"/>
              <w:snapToGrid w:val="0"/>
              <w:spacing w:line="240" w:lineRule="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要素</w:t>
            </w:r>
          </w:p>
        </w:tc>
        <w:tc>
          <w:tcPr>
            <w:tcW w:w="1485" w:type="dxa"/>
            <w:gridSpan w:val="2"/>
            <w:vAlign w:val="center"/>
          </w:tcPr>
          <w:p w14:paraId="3D5ECC4F">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排放口(编号、</w:t>
            </w:r>
          </w:p>
          <w:p w14:paraId="7F34F1A4">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名称)/污染源</w:t>
            </w:r>
          </w:p>
        </w:tc>
        <w:tc>
          <w:tcPr>
            <w:tcW w:w="1140" w:type="dxa"/>
            <w:gridSpan w:val="2"/>
            <w:vAlign w:val="center"/>
          </w:tcPr>
          <w:p w14:paraId="1229FDC4">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污染物项目</w:t>
            </w:r>
          </w:p>
        </w:tc>
        <w:tc>
          <w:tcPr>
            <w:tcW w:w="2205" w:type="dxa"/>
            <w:vAlign w:val="center"/>
          </w:tcPr>
          <w:p w14:paraId="442C5516">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环境保护措施</w:t>
            </w:r>
          </w:p>
        </w:tc>
        <w:tc>
          <w:tcPr>
            <w:tcW w:w="2543" w:type="dxa"/>
            <w:vAlign w:val="center"/>
          </w:tcPr>
          <w:p w14:paraId="2819DEDA">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执行标准</w:t>
            </w:r>
          </w:p>
        </w:tc>
      </w:tr>
      <w:tr w14:paraId="00C01B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1463" w:type="dxa"/>
            <w:vMerge w:val="restart"/>
            <w:vAlign w:val="center"/>
          </w:tcPr>
          <w:p w14:paraId="4E36FB07">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大气环境</w:t>
            </w:r>
          </w:p>
        </w:tc>
        <w:tc>
          <w:tcPr>
            <w:tcW w:w="1485" w:type="dxa"/>
            <w:gridSpan w:val="2"/>
            <w:vMerge w:val="restart"/>
            <w:vAlign w:val="center"/>
          </w:tcPr>
          <w:p w14:paraId="56201ED6">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排气筒DA001/调漆、喷漆、烘烤、移印、密炼、硫化</w:t>
            </w:r>
          </w:p>
        </w:tc>
        <w:tc>
          <w:tcPr>
            <w:tcW w:w="570" w:type="dxa"/>
            <w:vMerge w:val="restart"/>
            <w:vAlign w:val="center"/>
          </w:tcPr>
          <w:p w14:paraId="61162D7E">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VOCs</w:t>
            </w:r>
          </w:p>
        </w:tc>
        <w:tc>
          <w:tcPr>
            <w:tcW w:w="570" w:type="dxa"/>
            <w:vAlign w:val="center"/>
          </w:tcPr>
          <w:p w14:paraId="4EC6D6CD">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pacing w:val="0"/>
                <w:kern w:val="2"/>
                <w:sz w:val="21"/>
                <w:szCs w:val="21"/>
                <w:lang w:val="en-US" w:eastAsia="zh-CN" w:bidi="ar-SA"/>
              </w:rPr>
              <w:t>总VOCs</w:t>
            </w:r>
          </w:p>
        </w:tc>
        <w:tc>
          <w:tcPr>
            <w:tcW w:w="2205" w:type="dxa"/>
            <w:vMerge w:val="restart"/>
            <w:vAlign w:val="center"/>
          </w:tcPr>
          <w:p w14:paraId="41421E47">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经水帘柜预处理后，进入“水喷淋塔+干式过滤棉+</w:t>
            </w:r>
            <w:r>
              <w:rPr>
                <w:rFonts w:hint="default" w:ascii="Times New Roman" w:hAnsi="Times New Roman" w:cs="Times New Roman"/>
                <w:color w:val="auto"/>
                <w:sz w:val="21"/>
                <w:szCs w:val="21"/>
                <w:lang w:eastAsia="zh-CN"/>
              </w:rPr>
              <w:t>二级活性炭</w:t>
            </w:r>
            <w:r>
              <w:rPr>
                <w:rFonts w:hint="default" w:ascii="Times New Roman" w:hAnsi="Times New Roman" w:cs="Times New Roman"/>
                <w:color w:val="auto"/>
                <w:sz w:val="21"/>
                <w:szCs w:val="21"/>
              </w:rPr>
              <w:t>吸附装置”处理后引至排气筒DA001排放</w:t>
            </w:r>
          </w:p>
        </w:tc>
        <w:tc>
          <w:tcPr>
            <w:tcW w:w="2543" w:type="dxa"/>
            <w:vAlign w:val="center"/>
          </w:tcPr>
          <w:p w14:paraId="08852F2A">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广东省《印刷行业挥发性有机化合物排放标准》（DB44/815-2010）表2第II时段标准限值</w:t>
            </w:r>
          </w:p>
        </w:tc>
      </w:tr>
      <w:tr w14:paraId="5D881E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7A0E1993">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546D014E">
            <w:pPr>
              <w:spacing w:line="240" w:lineRule="auto"/>
              <w:jc w:val="center"/>
              <w:rPr>
                <w:rFonts w:hint="default" w:ascii="Times New Roman" w:hAnsi="Times New Roman" w:cs="Times New Roman"/>
                <w:color w:val="auto"/>
                <w:sz w:val="21"/>
                <w:szCs w:val="21"/>
              </w:rPr>
            </w:pPr>
          </w:p>
        </w:tc>
        <w:tc>
          <w:tcPr>
            <w:tcW w:w="570" w:type="dxa"/>
            <w:vMerge w:val="continue"/>
            <w:vAlign w:val="center"/>
          </w:tcPr>
          <w:p w14:paraId="0A13E293">
            <w:pPr>
              <w:spacing w:line="240" w:lineRule="auto"/>
              <w:jc w:val="center"/>
              <w:rPr>
                <w:rFonts w:hint="default" w:ascii="Times New Roman" w:hAnsi="Times New Roman" w:eastAsia="宋体" w:cs="Times New Roman"/>
                <w:color w:val="auto"/>
                <w:sz w:val="21"/>
                <w:szCs w:val="21"/>
                <w:lang w:val="en-US" w:eastAsia="zh-CN"/>
              </w:rPr>
            </w:pPr>
          </w:p>
        </w:tc>
        <w:tc>
          <w:tcPr>
            <w:tcW w:w="570" w:type="dxa"/>
            <w:vAlign w:val="center"/>
          </w:tcPr>
          <w:p w14:paraId="206D86F3">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pacing w:val="0"/>
                <w:kern w:val="2"/>
                <w:sz w:val="21"/>
                <w:szCs w:val="21"/>
                <w:lang w:val="en-US" w:eastAsia="zh-CN" w:bidi="ar-SA"/>
              </w:rPr>
              <w:t>非甲烷总烃</w:t>
            </w:r>
          </w:p>
        </w:tc>
        <w:tc>
          <w:tcPr>
            <w:tcW w:w="2205" w:type="dxa"/>
            <w:vMerge w:val="continue"/>
            <w:vAlign w:val="center"/>
          </w:tcPr>
          <w:p w14:paraId="63B041BC">
            <w:pPr>
              <w:spacing w:line="240" w:lineRule="auto"/>
              <w:jc w:val="center"/>
              <w:rPr>
                <w:rFonts w:hint="default" w:ascii="Times New Roman" w:hAnsi="Times New Roman" w:cs="Times New Roman"/>
                <w:color w:val="auto"/>
                <w:sz w:val="21"/>
                <w:szCs w:val="21"/>
              </w:rPr>
            </w:pPr>
          </w:p>
        </w:tc>
        <w:tc>
          <w:tcPr>
            <w:tcW w:w="2543" w:type="dxa"/>
            <w:vAlign w:val="center"/>
          </w:tcPr>
          <w:p w14:paraId="5D8736FA">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广东省《固定污染源挥发性有机物综合排放标准》（DB44/2367-2022）表1 NMHC最高允许浓度限值、《橡胶制品工业污染物排放标准》（GB27632-2011）表5中新建企业大气污染物排放限值及《印刷工业大气污染物排放标准》（GB 41616—2022）表1排放限值要求的三者较严值</w:t>
            </w:r>
          </w:p>
        </w:tc>
      </w:tr>
      <w:tr w14:paraId="3EEA1C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7999F575">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34BACDD0">
            <w:pPr>
              <w:spacing w:line="240" w:lineRule="auto"/>
              <w:jc w:val="center"/>
              <w:rPr>
                <w:rFonts w:hint="default" w:ascii="Times New Roman" w:hAnsi="Times New Roman" w:cs="Times New Roman"/>
                <w:color w:val="auto"/>
                <w:sz w:val="21"/>
                <w:szCs w:val="21"/>
              </w:rPr>
            </w:pPr>
          </w:p>
        </w:tc>
        <w:tc>
          <w:tcPr>
            <w:tcW w:w="570" w:type="dxa"/>
            <w:vMerge w:val="continue"/>
            <w:vAlign w:val="center"/>
          </w:tcPr>
          <w:p w14:paraId="380A7D1C">
            <w:pPr>
              <w:spacing w:line="240" w:lineRule="auto"/>
              <w:jc w:val="center"/>
              <w:rPr>
                <w:rFonts w:hint="default" w:ascii="Times New Roman" w:hAnsi="Times New Roman" w:cs="Times New Roman"/>
                <w:color w:val="auto"/>
                <w:sz w:val="21"/>
                <w:szCs w:val="21"/>
                <w:lang w:val="en-US" w:eastAsia="zh-CN"/>
              </w:rPr>
            </w:pPr>
          </w:p>
        </w:tc>
        <w:tc>
          <w:tcPr>
            <w:tcW w:w="570" w:type="dxa"/>
            <w:vAlign w:val="center"/>
          </w:tcPr>
          <w:p w14:paraId="2699C495">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pacing w:val="0"/>
                <w:kern w:val="2"/>
                <w:sz w:val="21"/>
                <w:szCs w:val="21"/>
                <w:lang w:val="en-US" w:eastAsia="zh-CN" w:bidi="ar-SA"/>
              </w:rPr>
              <w:t>TVOC</w:t>
            </w:r>
          </w:p>
        </w:tc>
        <w:tc>
          <w:tcPr>
            <w:tcW w:w="2205" w:type="dxa"/>
            <w:vMerge w:val="continue"/>
            <w:vAlign w:val="center"/>
          </w:tcPr>
          <w:p w14:paraId="78DFADC4">
            <w:pPr>
              <w:spacing w:line="240" w:lineRule="auto"/>
              <w:jc w:val="center"/>
              <w:rPr>
                <w:rFonts w:hint="default" w:ascii="Times New Roman" w:hAnsi="Times New Roman" w:cs="Times New Roman"/>
                <w:color w:val="auto"/>
                <w:sz w:val="21"/>
                <w:szCs w:val="21"/>
              </w:rPr>
            </w:pPr>
          </w:p>
        </w:tc>
        <w:tc>
          <w:tcPr>
            <w:tcW w:w="2543" w:type="dxa"/>
            <w:vAlign w:val="center"/>
          </w:tcPr>
          <w:p w14:paraId="44BB5845">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广东省《固定污染源挥发性有机物综合排放标准》（DB44/2367-2022）表1 TVOC最高允许浓度限值</w:t>
            </w:r>
          </w:p>
        </w:tc>
      </w:tr>
      <w:tr w14:paraId="4EA7AF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339F3D55">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4A0D5122">
            <w:pPr>
              <w:spacing w:line="240" w:lineRule="auto"/>
              <w:jc w:val="center"/>
              <w:rPr>
                <w:rFonts w:hint="default" w:ascii="Times New Roman" w:hAnsi="Times New Roman" w:cs="Times New Roman"/>
                <w:color w:val="auto"/>
                <w:sz w:val="21"/>
                <w:szCs w:val="21"/>
              </w:rPr>
            </w:pPr>
          </w:p>
        </w:tc>
        <w:tc>
          <w:tcPr>
            <w:tcW w:w="1140" w:type="dxa"/>
            <w:gridSpan w:val="2"/>
            <w:vAlign w:val="center"/>
          </w:tcPr>
          <w:p w14:paraId="22237D45">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颗粒物</w:t>
            </w:r>
          </w:p>
        </w:tc>
        <w:tc>
          <w:tcPr>
            <w:tcW w:w="2205" w:type="dxa"/>
            <w:vMerge w:val="continue"/>
            <w:vAlign w:val="center"/>
          </w:tcPr>
          <w:p w14:paraId="6DE56504">
            <w:pPr>
              <w:spacing w:line="240" w:lineRule="auto"/>
              <w:jc w:val="center"/>
              <w:rPr>
                <w:rFonts w:hint="default" w:ascii="Times New Roman" w:hAnsi="Times New Roman" w:cs="Times New Roman"/>
                <w:color w:val="auto"/>
                <w:sz w:val="21"/>
                <w:szCs w:val="21"/>
              </w:rPr>
            </w:pPr>
          </w:p>
        </w:tc>
        <w:tc>
          <w:tcPr>
            <w:tcW w:w="2543" w:type="dxa"/>
            <w:vAlign w:val="center"/>
          </w:tcPr>
          <w:p w14:paraId="224485BC">
            <w:pPr>
              <w:spacing w:line="240" w:lineRule="auto"/>
              <w:jc w:val="center"/>
              <w:rPr>
                <w:rFonts w:hint="default" w:ascii="Times New Roman" w:hAnsi="Times New Roman" w:eastAsia="宋体" w:cs="Times New Roman"/>
                <w:bCs/>
                <w:color w:val="auto"/>
                <w:kern w:val="21"/>
                <w:sz w:val="21"/>
                <w:szCs w:val="21"/>
              </w:rPr>
            </w:pPr>
            <w:r>
              <w:rPr>
                <w:rFonts w:hint="default" w:ascii="Times New Roman" w:hAnsi="Times New Roman" w:eastAsia="宋体" w:cs="Times New Roman"/>
                <w:bCs/>
                <w:color w:val="auto"/>
                <w:kern w:val="21"/>
                <w:sz w:val="21"/>
                <w:szCs w:val="21"/>
              </w:rPr>
              <w:t>广东省《大气污染物排放限值》（DB44/27-2001）中第二时段二级标准限值</w:t>
            </w:r>
          </w:p>
        </w:tc>
      </w:tr>
      <w:tr w14:paraId="7FB585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0B2CCD34">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195EEC4D">
            <w:pPr>
              <w:spacing w:line="240" w:lineRule="auto"/>
              <w:jc w:val="center"/>
              <w:rPr>
                <w:rFonts w:hint="default" w:ascii="Times New Roman" w:hAnsi="Times New Roman" w:cs="Times New Roman"/>
                <w:color w:val="auto"/>
                <w:sz w:val="21"/>
                <w:szCs w:val="21"/>
              </w:rPr>
            </w:pPr>
          </w:p>
        </w:tc>
        <w:tc>
          <w:tcPr>
            <w:tcW w:w="1140" w:type="dxa"/>
            <w:gridSpan w:val="2"/>
            <w:vAlign w:val="center"/>
          </w:tcPr>
          <w:p w14:paraId="4318DD81">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臭气浓度</w:t>
            </w:r>
          </w:p>
        </w:tc>
        <w:tc>
          <w:tcPr>
            <w:tcW w:w="2205" w:type="dxa"/>
            <w:vMerge w:val="continue"/>
            <w:vAlign w:val="center"/>
          </w:tcPr>
          <w:p w14:paraId="32C1EFA2">
            <w:pPr>
              <w:spacing w:line="240" w:lineRule="auto"/>
              <w:jc w:val="center"/>
              <w:rPr>
                <w:rFonts w:hint="default" w:ascii="Times New Roman" w:hAnsi="Times New Roman" w:cs="Times New Roman"/>
                <w:color w:val="auto"/>
                <w:sz w:val="21"/>
                <w:szCs w:val="21"/>
              </w:rPr>
            </w:pPr>
          </w:p>
        </w:tc>
        <w:tc>
          <w:tcPr>
            <w:tcW w:w="2543" w:type="dxa"/>
            <w:vAlign w:val="center"/>
          </w:tcPr>
          <w:p w14:paraId="7DB0165E">
            <w:pPr>
              <w:spacing w:line="240" w:lineRule="auto"/>
              <w:jc w:val="center"/>
              <w:rPr>
                <w:rFonts w:hint="default" w:ascii="Times New Roman" w:hAnsi="Times New Roman" w:eastAsia="宋体" w:cs="Times New Roman"/>
                <w:bCs/>
                <w:color w:val="auto"/>
                <w:kern w:val="21"/>
                <w:sz w:val="21"/>
                <w:szCs w:val="21"/>
              </w:rPr>
            </w:pPr>
            <w:r>
              <w:rPr>
                <w:rFonts w:hint="default" w:ascii="Times New Roman" w:hAnsi="Times New Roman" w:eastAsia="宋体" w:cs="Times New Roman"/>
                <w:bCs/>
                <w:color w:val="auto"/>
                <w:kern w:val="21"/>
                <w:sz w:val="21"/>
                <w:szCs w:val="21"/>
                <w:lang w:val="en-US" w:eastAsia="zh-CN"/>
              </w:rPr>
              <w:t>《恶臭污染物排放标准》（GB14554-93）表2恶臭污染物排放标准值</w:t>
            </w:r>
          </w:p>
        </w:tc>
      </w:tr>
      <w:tr w14:paraId="314160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34CF111D">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restart"/>
            <w:vAlign w:val="center"/>
          </w:tcPr>
          <w:p w14:paraId="427CB3FC">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排气筒DA002/液态成型、</w:t>
            </w:r>
          </w:p>
        </w:tc>
        <w:tc>
          <w:tcPr>
            <w:tcW w:w="1140" w:type="dxa"/>
            <w:gridSpan w:val="2"/>
            <w:vAlign w:val="center"/>
          </w:tcPr>
          <w:p w14:paraId="5F91078F">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p>
        </w:tc>
        <w:tc>
          <w:tcPr>
            <w:tcW w:w="2205" w:type="dxa"/>
            <w:vMerge w:val="restart"/>
            <w:vAlign w:val="center"/>
          </w:tcPr>
          <w:p w14:paraId="2E2CBB0B">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进入“</w:t>
            </w:r>
            <w:r>
              <w:rPr>
                <w:rFonts w:hint="default" w:ascii="Times New Roman" w:hAnsi="Times New Roman" w:cs="Times New Roman"/>
                <w:color w:val="auto"/>
                <w:sz w:val="21"/>
                <w:szCs w:val="21"/>
                <w:lang w:val="en-US" w:eastAsia="zh-CN"/>
              </w:rPr>
              <w:t>二级</w:t>
            </w:r>
            <w:r>
              <w:rPr>
                <w:rFonts w:hint="default" w:ascii="Times New Roman" w:hAnsi="Times New Roman" w:cs="Times New Roman"/>
                <w:color w:val="auto"/>
                <w:sz w:val="21"/>
                <w:szCs w:val="21"/>
              </w:rPr>
              <w:t>活性炭吸附装置”处理后引至排气筒DA00</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排放</w:t>
            </w:r>
          </w:p>
        </w:tc>
        <w:tc>
          <w:tcPr>
            <w:tcW w:w="2543" w:type="dxa"/>
            <w:vAlign w:val="center"/>
          </w:tcPr>
          <w:p w14:paraId="13D7AEEC">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《合成树脂工业污染物排放标准》（GB31572-2015，含2024年修改单）表5大气污染物特别排放限值和《橡胶制品工业污染物排放标准》（GB27632-2011）表5新建企业大气污染物排放限值两者的较严值</w:t>
            </w:r>
          </w:p>
        </w:tc>
      </w:tr>
      <w:tr w14:paraId="49CBD5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26BAD19B">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3DF2CBD1">
            <w:pPr>
              <w:spacing w:line="240" w:lineRule="auto"/>
              <w:jc w:val="center"/>
              <w:rPr>
                <w:rFonts w:hint="default" w:ascii="Times New Roman" w:hAnsi="Times New Roman" w:cs="Times New Roman"/>
                <w:color w:val="auto"/>
                <w:sz w:val="21"/>
                <w:szCs w:val="21"/>
                <w:lang w:val="en-US" w:eastAsia="zh-CN"/>
              </w:rPr>
            </w:pPr>
          </w:p>
        </w:tc>
        <w:tc>
          <w:tcPr>
            <w:tcW w:w="1140" w:type="dxa"/>
            <w:gridSpan w:val="2"/>
            <w:vAlign w:val="center"/>
          </w:tcPr>
          <w:p w14:paraId="7FF3CA64">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苯乙烯、丙烯腈、1,3-丁二烯、甲苯、乙苯</w:t>
            </w:r>
          </w:p>
        </w:tc>
        <w:tc>
          <w:tcPr>
            <w:tcW w:w="2205" w:type="dxa"/>
            <w:vMerge w:val="continue"/>
            <w:vAlign w:val="center"/>
          </w:tcPr>
          <w:p w14:paraId="56EC066F">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p>
        </w:tc>
        <w:tc>
          <w:tcPr>
            <w:tcW w:w="2543" w:type="dxa"/>
            <w:vAlign w:val="center"/>
          </w:tcPr>
          <w:p w14:paraId="57B3D8EC">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kern w:val="21"/>
                <w:sz w:val="24"/>
                <w:szCs w:val="24"/>
              </w:rPr>
            </w:pPr>
            <w:r>
              <w:rPr>
                <w:rFonts w:hint="default" w:ascii="Times New Roman" w:hAnsi="Times New Roman" w:cs="Times New Roman"/>
                <w:color w:val="auto"/>
                <w:spacing w:val="0"/>
                <w:sz w:val="21"/>
                <w:szCs w:val="21"/>
                <w:lang w:val="en-US" w:eastAsia="zh-CN"/>
              </w:rPr>
              <w:t>《合成树脂工业污染物排放标准》（GB31572-2015，含2024年修改单）表5排放限值</w:t>
            </w:r>
          </w:p>
        </w:tc>
      </w:tr>
      <w:tr w14:paraId="34E925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004B696E">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4FED9DB1">
            <w:pPr>
              <w:spacing w:line="240" w:lineRule="auto"/>
              <w:jc w:val="center"/>
              <w:rPr>
                <w:rFonts w:hint="default" w:ascii="Times New Roman" w:hAnsi="Times New Roman" w:cs="Times New Roman"/>
                <w:color w:val="auto"/>
                <w:sz w:val="21"/>
                <w:szCs w:val="21"/>
                <w:lang w:val="en-US" w:eastAsia="zh-CN"/>
              </w:rPr>
            </w:pPr>
          </w:p>
        </w:tc>
        <w:tc>
          <w:tcPr>
            <w:tcW w:w="1140" w:type="dxa"/>
            <w:gridSpan w:val="2"/>
            <w:vAlign w:val="center"/>
          </w:tcPr>
          <w:p w14:paraId="4EDD8D9A">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臭气浓度</w:t>
            </w:r>
          </w:p>
        </w:tc>
        <w:tc>
          <w:tcPr>
            <w:tcW w:w="2205" w:type="dxa"/>
            <w:vMerge w:val="continue"/>
            <w:vAlign w:val="center"/>
          </w:tcPr>
          <w:p w14:paraId="56767D4B">
            <w:pPr>
              <w:spacing w:line="240" w:lineRule="auto"/>
              <w:jc w:val="center"/>
              <w:rPr>
                <w:rFonts w:hint="default" w:ascii="Times New Roman" w:hAnsi="Times New Roman" w:cs="Times New Roman"/>
                <w:color w:val="auto"/>
                <w:sz w:val="21"/>
                <w:szCs w:val="21"/>
              </w:rPr>
            </w:pPr>
          </w:p>
        </w:tc>
        <w:tc>
          <w:tcPr>
            <w:tcW w:w="2543" w:type="dxa"/>
            <w:vAlign w:val="center"/>
          </w:tcPr>
          <w:p w14:paraId="65DBDABC">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《恶臭污染物排放标准》（GB14554-93）表2恶臭污染物排放标准限值</w:t>
            </w:r>
          </w:p>
        </w:tc>
      </w:tr>
      <w:tr w14:paraId="471F4C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1D02B9DF">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restart"/>
            <w:vAlign w:val="center"/>
          </w:tcPr>
          <w:p w14:paraId="45BCA464">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厂界</w:t>
            </w:r>
          </w:p>
        </w:tc>
        <w:tc>
          <w:tcPr>
            <w:tcW w:w="1140" w:type="dxa"/>
            <w:gridSpan w:val="2"/>
            <w:vAlign w:val="center"/>
          </w:tcPr>
          <w:p w14:paraId="56BD5E0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非甲烷总烃</w:t>
            </w:r>
          </w:p>
        </w:tc>
        <w:tc>
          <w:tcPr>
            <w:tcW w:w="2205" w:type="dxa"/>
            <w:vMerge w:val="restart"/>
            <w:vAlign w:val="center"/>
          </w:tcPr>
          <w:p w14:paraId="18D8112A">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在车间无组织排放</w:t>
            </w:r>
          </w:p>
        </w:tc>
        <w:tc>
          <w:tcPr>
            <w:tcW w:w="2543" w:type="dxa"/>
            <w:vAlign w:val="center"/>
          </w:tcPr>
          <w:p w14:paraId="10D3353E">
            <w:pPr>
              <w:spacing w:line="240" w:lineRule="auto"/>
              <w:jc w:val="center"/>
              <w:rPr>
                <w:rFonts w:hint="default" w:ascii="Times New Roman" w:hAnsi="Times New Roman" w:eastAsia="宋体" w:cs="Times New Roman"/>
                <w:bCs/>
                <w:color w:val="auto"/>
                <w:kern w:val="21"/>
                <w:sz w:val="21"/>
                <w:szCs w:val="21"/>
                <w:lang w:val="en-US" w:eastAsia="zh-CN" w:bidi="ar-SA"/>
              </w:rPr>
            </w:pPr>
            <w:r>
              <w:rPr>
                <w:rFonts w:hint="default" w:ascii="Times New Roman" w:hAnsi="Times New Roman" w:eastAsia="宋体" w:cs="Times New Roman"/>
                <w:bCs/>
                <w:color w:val="auto"/>
                <w:kern w:val="21"/>
                <w:sz w:val="21"/>
                <w:szCs w:val="21"/>
                <w:lang w:val="en-US" w:eastAsia="zh-CN" w:bidi="ar-SA"/>
              </w:rPr>
              <w:t>《合成树脂工业污染物排放标准》（GB31572-2015，含2024年修改单）表9企业边界大气污染物浓度限值、广东省《大气污染物排放限值》（DB44/27-2001）第二时段无组织排放浓度限值和《橡胶制品工业污染物排放标准》（GB27632-2011）表6厂界无组织排放限值三者较严值</w:t>
            </w:r>
          </w:p>
        </w:tc>
      </w:tr>
      <w:tr w14:paraId="27484D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59D4073B">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45183D36">
            <w:pPr>
              <w:spacing w:line="240" w:lineRule="auto"/>
              <w:jc w:val="center"/>
              <w:rPr>
                <w:rFonts w:hint="default" w:ascii="Times New Roman" w:hAnsi="Times New Roman" w:cs="Times New Roman"/>
                <w:color w:val="auto"/>
                <w:sz w:val="21"/>
                <w:szCs w:val="21"/>
                <w:lang w:val="en-US" w:eastAsia="zh-CN"/>
              </w:rPr>
            </w:pPr>
          </w:p>
        </w:tc>
        <w:tc>
          <w:tcPr>
            <w:tcW w:w="1140" w:type="dxa"/>
            <w:gridSpan w:val="2"/>
            <w:vAlign w:val="center"/>
          </w:tcPr>
          <w:p w14:paraId="63358695">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2205" w:type="dxa"/>
            <w:vMerge w:val="continue"/>
            <w:vAlign w:val="center"/>
          </w:tcPr>
          <w:p w14:paraId="131DFEEA">
            <w:pPr>
              <w:spacing w:line="240" w:lineRule="auto"/>
              <w:jc w:val="center"/>
              <w:rPr>
                <w:rFonts w:hint="default" w:ascii="Times New Roman" w:hAnsi="Times New Roman" w:cs="Times New Roman"/>
                <w:color w:val="auto"/>
                <w:kern w:val="2"/>
                <w:sz w:val="21"/>
                <w:szCs w:val="21"/>
                <w:lang w:val="en-US" w:eastAsia="zh-CN" w:bidi="ar-SA"/>
              </w:rPr>
            </w:pPr>
          </w:p>
        </w:tc>
        <w:tc>
          <w:tcPr>
            <w:tcW w:w="2543" w:type="dxa"/>
            <w:vAlign w:val="center"/>
          </w:tcPr>
          <w:p w14:paraId="5CF31944">
            <w:pPr>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《大气污染物排放限值》（DB44/27-2001）第二时段无组织排放浓度限、《合成树脂工业污染物排放标准》（GB31572-2015，含2024年修改单）表9企业边界大气污染物浓度限值两者较严值</w:t>
            </w:r>
          </w:p>
        </w:tc>
      </w:tr>
      <w:tr w14:paraId="66C5BB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43EB5FF2">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290809F4">
            <w:pPr>
              <w:spacing w:line="240" w:lineRule="auto"/>
              <w:jc w:val="center"/>
              <w:rPr>
                <w:rFonts w:hint="default" w:ascii="Times New Roman" w:hAnsi="Times New Roman" w:cs="Times New Roman"/>
                <w:color w:val="auto"/>
                <w:sz w:val="21"/>
                <w:szCs w:val="21"/>
                <w:lang w:val="en-US" w:eastAsia="zh-CN"/>
              </w:rPr>
            </w:pPr>
          </w:p>
        </w:tc>
        <w:tc>
          <w:tcPr>
            <w:tcW w:w="1140" w:type="dxa"/>
            <w:gridSpan w:val="2"/>
            <w:vAlign w:val="center"/>
          </w:tcPr>
          <w:p w14:paraId="5D3C5D5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总VOCs</w:t>
            </w:r>
          </w:p>
        </w:tc>
        <w:tc>
          <w:tcPr>
            <w:tcW w:w="2205" w:type="dxa"/>
            <w:vMerge w:val="continue"/>
            <w:vAlign w:val="center"/>
          </w:tcPr>
          <w:p w14:paraId="69744B89">
            <w:pPr>
              <w:spacing w:line="240" w:lineRule="auto"/>
              <w:jc w:val="center"/>
              <w:rPr>
                <w:rFonts w:hint="default" w:ascii="Times New Roman" w:hAnsi="Times New Roman" w:cs="Times New Roman"/>
                <w:color w:val="auto"/>
                <w:kern w:val="2"/>
                <w:sz w:val="21"/>
                <w:szCs w:val="21"/>
                <w:lang w:val="en-US" w:eastAsia="zh-CN" w:bidi="ar-SA"/>
              </w:rPr>
            </w:pPr>
          </w:p>
        </w:tc>
        <w:tc>
          <w:tcPr>
            <w:tcW w:w="2543" w:type="dxa"/>
            <w:vAlign w:val="center"/>
          </w:tcPr>
          <w:p w14:paraId="21C545A3">
            <w:pPr>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《印刷行业挥发性有机化合物排放标准》（DB44/815-2010）和广东省地方标准《家具制造行业挥发性有机化合物排放标准》（DB44/814-2010）两者较严值</w:t>
            </w:r>
          </w:p>
        </w:tc>
      </w:tr>
      <w:tr w14:paraId="1B3C1A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137E4041">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6E25A23D">
            <w:pPr>
              <w:spacing w:line="240" w:lineRule="auto"/>
              <w:jc w:val="center"/>
              <w:rPr>
                <w:rFonts w:hint="default" w:ascii="Times New Roman" w:hAnsi="Times New Roman" w:cs="Times New Roman"/>
                <w:color w:val="auto"/>
                <w:sz w:val="21"/>
                <w:szCs w:val="21"/>
                <w:lang w:val="en-US" w:eastAsia="zh-CN"/>
              </w:rPr>
            </w:pPr>
          </w:p>
        </w:tc>
        <w:tc>
          <w:tcPr>
            <w:tcW w:w="1140" w:type="dxa"/>
            <w:gridSpan w:val="2"/>
            <w:vAlign w:val="center"/>
          </w:tcPr>
          <w:p w14:paraId="02D4E66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臭气浓度</w:t>
            </w:r>
          </w:p>
        </w:tc>
        <w:tc>
          <w:tcPr>
            <w:tcW w:w="2205" w:type="dxa"/>
            <w:vMerge w:val="continue"/>
            <w:vAlign w:val="center"/>
          </w:tcPr>
          <w:p w14:paraId="1899B1FE">
            <w:pPr>
              <w:spacing w:line="240" w:lineRule="auto"/>
              <w:jc w:val="center"/>
              <w:rPr>
                <w:rFonts w:hint="default" w:ascii="Times New Roman" w:hAnsi="Times New Roman" w:cs="Times New Roman"/>
                <w:color w:val="auto"/>
                <w:kern w:val="2"/>
                <w:sz w:val="21"/>
                <w:szCs w:val="21"/>
                <w:lang w:val="en-US" w:eastAsia="zh-CN" w:bidi="ar-SA"/>
              </w:rPr>
            </w:pPr>
          </w:p>
        </w:tc>
        <w:tc>
          <w:tcPr>
            <w:tcW w:w="2543" w:type="dxa"/>
            <w:vAlign w:val="center"/>
          </w:tcPr>
          <w:p w14:paraId="70CB0689">
            <w:pPr>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《恶臭污染物排放标准》（GB14554-93）表1恶臭污染物厂界标准值中新改扩建二级标准值</w:t>
            </w:r>
          </w:p>
        </w:tc>
      </w:tr>
      <w:tr w14:paraId="3AD47C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463" w:type="dxa"/>
            <w:vMerge w:val="continue"/>
            <w:vAlign w:val="center"/>
          </w:tcPr>
          <w:p w14:paraId="372CF464">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029BFE3F">
            <w:pPr>
              <w:spacing w:line="240" w:lineRule="auto"/>
              <w:jc w:val="center"/>
              <w:rPr>
                <w:rFonts w:hint="default" w:ascii="Times New Roman" w:hAnsi="Times New Roman" w:cs="Times New Roman"/>
                <w:color w:val="auto"/>
                <w:sz w:val="21"/>
                <w:szCs w:val="21"/>
                <w:lang w:val="en-US" w:eastAsia="zh-CN"/>
              </w:rPr>
            </w:pPr>
          </w:p>
        </w:tc>
        <w:tc>
          <w:tcPr>
            <w:tcW w:w="1140" w:type="dxa"/>
            <w:gridSpan w:val="2"/>
            <w:vAlign w:val="center"/>
          </w:tcPr>
          <w:p w14:paraId="5BFD6179">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kern w:val="0"/>
                <w:sz w:val="21"/>
                <w:szCs w:val="21"/>
                <w:highlight w:val="none"/>
                <w:lang w:val="en-US" w:eastAsia="zh-CN"/>
              </w:rPr>
              <w:t>苯乙烯</w:t>
            </w:r>
          </w:p>
        </w:tc>
        <w:tc>
          <w:tcPr>
            <w:tcW w:w="2205" w:type="dxa"/>
            <w:vMerge w:val="continue"/>
            <w:vAlign w:val="center"/>
          </w:tcPr>
          <w:p w14:paraId="40A49D10">
            <w:pPr>
              <w:spacing w:line="240" w:lineRule="auto"/>
              <w:jc w:val="center"/>
              <w:rPr>
                <w:rFonts w:hint="default" w:ascii="Times New Roman" w:hAnsi="Times New Roman" w:cs="Times New Roman"/>
                <w:color w:val="auto"/>
                <w:kern w:val="2"/>
                <w:sz w:val="21"/>
                <w:szCs w:val="21"/>
                <w:lang w:val="en-US" w:eastAsia="zh-CN" w:bidi="ar-SA"/>
              </w:rPr>
            </w:pPr>
          </w:p>
        </w:tc>
        <w:tc>
          <w:tcPr>
            <w:tcW w:w="2543" w:type="dxa"/>
            <w:vAlign w:val="center"/>
          </w:tcPr>
          <w:p w14:paraId="683201C8">
            <w:pPr>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《大气污染物排放限值》（DB44/27-2001）第二时段无组织排放浓度限值</w:t>
            </w:r>
          </w:p>
        </w:tc>
      </w:tr>
      <w:tr w14:paraId="23C53B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7DA9B348">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4B70B606">
            <w:pPr>
              <w:spacing w:line="240" w:lineRule="auto"/>
              <w:jc w:val="center"/>
              <w:rPr>
                <w:rFonts w:hint="default" w:ascii="Times New Roman" w:hAnsi="Times New Roman" w:cs="Times New Roman"/>
                <w:color w:val="auto"/>
                <w:sz w:val="21"/>
                <w:szCs w:val="21"/>
                <w:lang w:val="en-US" w:eastAsia="zh-CN"/>
              </w:rPr>
            </w:pPr>
          </w:p>
        </w:tc>
        <w:tc>
          <w:tcPr>
            <w:tcW w:w="1140" w:type="dxa"/>
            <w:gridSpan w:val="2"/>
            <w:vAlign w:val="center"/>
          </w:tcPr>
          <w:p w14:paraId="0B0F27B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甲苯</w:t>
            </w:r>
          </w:p>
        </w:tc>
        <w:tc>
          <w:tcPr>
            <w:tcW w:w="2205" w:type="dxa"/>
            <w:vMerge w:val="continue"/>
            <w:vAlign w:val="center"/>
          </w:tcPr>
          <w:p w14:paraId="5A3F211F">
            <w:pPr>
              <w:spacing w:line="240" w:lineRule="auto"/>
              <w:jc w:val="center"/>
              <w:rPr>
                <w:rFonts w:hint="default" w:ascii="Times New Roman" w:hAnsi="Times New Roman" w:cs="Times New Roman"/>
                <w:color w:val="auto"/>
                <w:sz w:val="21"/>
                <w:szCs w:val="21"/>
              </w:rPr>
            </w:pPr>
          </w:p>
        </w:tc>
        <w:tc>
          <w:tcPr>
            <w:tcW w:w="2543" w:type="dxa"/>
            <w:vAlign w:val="center"/>
          </w:tcPr>
          <w:p w14:paraId="40C10F0E">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《合成树脂工业污染物排放标准》（GB31572-2015，含2024年修改单）表9企业边界大气污染物浓度限值</w:t>
            </w:r>
          </w:p>
        </w:tc>
      </w:tr>
      <w:tr w14:paraId="53264E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76718EA3">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Align w:val="center"/>
          </w:tcPr>
          <w:p w14:paraId="6241002D">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厂区内</w:t>
            </w:r>
          </w:p>
        </w:tc>
        <w:tc>
          <w:tcPr>
            <w:tcW w:w="1140" w:type="dxa"/>
            <w:gridSpan w:val="2"/>
            <w:vAlign w:val="center"/>
          </w:tcPr>
          <w:p w14:paraId="63DFCA7F">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VOCs（NMHC）</w:t>
            </w:r>
          </w:p>
        </w:tc>
        <w:tc>
          <w:tcPr>
            <w:tcW w:w="2205" w:type="dxa"/>
            <w:vAlign w:val="center"/>
          </w:tcPr>
          <w:p w14:paraId="464145B1">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2543" w:type="dxa"/>
            <w:vAlign w:val="center"/>
          </w:tcPr>
          <w:p w14:paraId="0E257C67">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广东省《固定污染源挥发性有机物综合排放标准》（DB 44/2367-2022）表3厂区内VOCs无组织排放限值</w:t>
            </w:r>
          </w:p>
        </w:tc>
      </w:tr>
      <w:tr w14:paraId="06263D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463" w:type="dxa"/>
            <w:vMerge w:val="restart"/>
            <w:vAlign w:val="center"/>
          </w:tcPr>
          <w:p w14:paraId="0E1DDA2B">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地表水环境</w:t>
            </w:r>
          </w:p>
        </w:tc>
        <w:tc>
          <w:tcPr>
            <w:tcW w:w="1485" w:type="dxa"/>
            <w:gridSpan w:val="2"/>
            <w:vAlign w:val="center"/>
          </w:tcPr>
          <w:p w14:paraId="3365589F">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position w:val="-10"/>
                <w:sz w:val="21"/>
                <w:szCs w:val="21"/>
                <w:lang w:val="en-US" w:eastAsia="zh-CN"/>
              </w:rPr>
              <w:t>间接冷却废水</w:t>
            </w:r>
          </w:p>
        </w:tc>
        <w:tc>
          <w:tcPr>
            <w:tcW w:w="1140" w:type="dxa"/>
            <w:gridSpan w:val="2"/>
            <w:vMerge w:val="restart"/>
            <w:vAlign w:val="center"/>
          </w:tcPr>
          <w:p w14:paraId="356726C2">
            <w:pPr>
              <w:spacing w:line="240" w:lineRule="auto"/>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CODcr、SS、石油类</w:t>
            </w:r>
          </w:p>
        </w:tc>
        <w:tc>
          <w:tcPr>
            <w:tcW w:w="2205" w:type="dxa"/>
            <w:vAlign w:val="center"/>
          </w:tcPr>
          <w:p w14:paraId="4823A4BA">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循环使用不外排</w:t>
            </w:r>
          </w:p>
        </w:tc>
        <w:tc>
          <w:tcPr>
            <w:tcW w:w="2543" w:type="dxa"/>
            <w:vMerge w:val="restart"/>
            <w:vAlign w:val="center"/>
          </w:tcPr>
          <w:p w14:paraId="1D30FE5F">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7408C6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63" w:type="dxa"/>
            <w:vMerge w:val="continue"/>
            <w:vAlign w:val="center"/>
          </w:tcPr>
          <w:p w14:paraId="6C437308">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Align w:val="center"/>
          </w:tcPr>
          <w:p w14:paraId="4189E4BC">
            <w:pPr>
              <w:spacing w:line="240" w:lineRule="auto"/>
              <w:jc w:val="center"/>
              <w:rPr>
                <w:rFonts w:hint="default" w:ascii="Times New Roman" w:hAnsi="Times New Roman" w:cs="Times New Roman"/>
                <w:color w:val="auto"/>
                <w:position w:val="-10"/>
                <w:sz w:val="21"/>
                <w:szCs w:val="21"/>
              </w:rPr>
            </w:pPr>
            <w:r>
              <w:rPr>
                <w:rFonts w:hint="default" w:ascii="Times New Roman" w:hAnsi="Times New Roman" w:cs="Times New Roman"/>
                <w:color w:val="auto"/>
                <w:position w:val="-10"/>
                <w:sz w:val="21"/>
                <w:szCs w:val="21"/>
              </w:rPr>
              <w:t>水帘柜废水</w:t>
            </w:r>
          </w:p>
        </w:tc>
        <w:tc>
          <w:tcPr>
            <w:tcW w:w="1140" w:type="dxa"/>
            <w:gridSpan w:val="2"/>
            <w:vMerge w:val="continue"/>
            <w:vAlign w:val="center"/>
          </w:tcPr>
          <w:p w14:paraId="71A329CD">
            <w:pPr>
              <w:spacing w:line="240" w:lineRule="auto"/>
              <w:jc w:val="center"/>
              <w:textAlignment w:val="center"/>
              <w:rPr>
                <w:rFonts w:hint="default" w:ascii="Times New Roman" w:hAnsi="Times New Roman" w:cs="Times New Roman"/>
                <w:color w:val="auto"/>
                <w:sz w:val="21"/>
                <w:szCs w:val="21"/>
              </w:rPr>
            </w:pPr>
          </w:p>
        </w:tc>
        <w:tc>
          <w:tcPr>
            <w:tcW w:w="2205" w:type="dxa"/>
            <w:vMerge w:val="restart"/>
            <w:vAlign w:val="center"/>
          </w:tcPr>
          <w:p w14:paraId="6517AF45">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收集后交由有资质的单位处理</w:t>
            </w:r>
          </w:p>
        </w:tc>
        <w:tc>
          <w:tcPr>
            <w:tcW w:w="2543" w:type="dxa"/>
            <w:vMerge w:val="continue"/>
            <w:vAlign w:val="center"/>
          </w:tcPr>
          <w:p w14:paraId="606573B5">
            <w:pPr>
              <w:adjustRightInd w:val="0"/>
              <w:snapToGrid w:val="0"/>
              <w:spacing w:line="240" w:lineRule="auto"/>
              <w:jc w:val="center"/>
              <w:rPr>
                <w:rFonts w:hint="default" w:ascii="Times New Roman" w:hAnsi="Times New Roman" w:cs="Times New Roman"/>
                <w:color w:val="auto"/>
                <w:sz w:val="21"/>
                <w:szCs w:val="21"/>
              </w:rPr>
            </w:pPr>
          </w:p>
        </w:tc>
      </w:tr>
      <w:tr w14:paraId="7A07F9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63" w:type="dxa"/>
            <w:vMerge w:val="continue"/>
            <w:vAlign w:val="center"/>
          </w:tcPr>
          <w:p w14:paraId="33DAFC99">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Align w:val="center"/>
          </w:tcPr>
          <w:p w14:paraId="6404A474">
            <w:pPr>
              <w:spacing w:line="240" w:lineRule="auto"/>
              <w:jc w:val="center"/>
              <w:rPr>
                <w:rFonts w:hint="default" w:ascii="Times New Roman" w:hAnsi="Times New Roman" w:cs="Times New Roman"/>
                <w:color w:val="auto"/>
                <w:position w:val="-10"/>
                <w:sz w:val="21"/>
                <w:szCs w:val="21"/>
              </w:rPr>
            </w:pPr>
            <w:r>
              <w:rPr>
                <w:rFonts w:hint="default" w:ascii="Times New Roman" w:hAnsi="Times New Roman" w:cs="Times New Roman"/>
                <w:color w:val="auto"/>
                <w:position w:val="-10"/>
                <w:sz w:val="21"/>
                <w:szCs w:val="21"/>
              </w:rPr>
              <w:t>喷淋塔废水</w:t>
            </w:r>
          </w:p>
        </w:tc>
        <w:tc>
          <w:tcPr>
            <w:tcW w:w="1140" w:type="dxa"/>
            <w:gridSpan w:val="2"/>
            <w:vMerge w:val="continue"/>
            <w:vAlign w:val="center"/>
          </w:tcPr>
          <w:p w14:paraId="10A94721">
            <w:pPr>
              <w:spacing w:line="240" w:lineRule="auto"/>
              <w:jc w:val="center"/>
              <w:textAlignment w:val="center"/>
              <w:rPr>
                <w:rFonts w:hint="default" w:ascii="Times New Roman" w:hAnsi="Times New Roman" w:cs="Times New Roman"/>
                <w:color w:val="auto"/>
                <w:sz w:val="21"/>
                <w:szCs w:val="21"/>
              </w:rPr>
            </w:pPr>
          </w:p>
        </w:tc>
        <w:tc>
          <w:tcPr>
            <w:tcW w:w="2205" w:type="dxa"/>
            <w:vMerge w:val="continue"/>
            <w:vAlign w:val="center"/>
          </w:tcPr>
          <w:p w14:paraId="3B14AEE3">
            <w:pPr>
              <w:spacing w:line="240" w:lineRule="auto"/>
              <w:jc w:val="center"/>
              <w:rPr>
                <w:rFonts w:hint="default" w:ascii="Times New Roman" w:hAnsi="Times New Roman" w:cs="Times New Roman"/>
                <w:color w:val="auto"/>
                <w:sz w:val="21"/>
                <w:szCs w:val="21"/>
              </w:rPr>
            </w:pPr>
          </w:p>
        </w:tc>
        <w:tc>
          <w:tcPr>
            <w:tcW w:w="2543" w:type="dxa"/>
            <w:vMerge w:val="continue"/>
            <w:vAlign w:val="center"/>
          </w:tcPr>
          <w:p w14:paraId="63E4449A">
            <w:pPr>
              <w:adjustRightInd w:val="0"/>
              <w:snapToGrid w:val="0"/>
              <w:spacing w:line="240" w:lineRule="auto"/>
              <w:jc w:val="center"/>
              <w:rPr>
                <w:rFonts w:hint="default" w:ascii="Times New Roman" w:hAnsi="Times New Roman" w:cs="Times New Roman"/>
                <w:color w:val="auto"/>
                <w:sz w:val="21"/>
                <w:szCs w:val="21"/>
              </w:rPr>
            </w:pPr>
          </w:p>
        </w:tc>
      </w:tr>
      <w:tr w14:paraId="27603D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63" w:type="dxa"/>
            <w:vMerge w:val="continue"/>
            <w:vAlign w:val="center"/>
          </w:tcPr>
          <w:p w14:paraId="43536359">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Align w:val="center"/>
          </w:tcPr>
          <w:p w14:paraId="60556CEE">
            <w:pPr>
              <w:spacing w:line="240" w:lineRule="auto"/>
              <w:jc w:val="center"/>
              <w:rPr>
                <w:rFonts w:hint="default" w:ascii="Times New Roman" w:hAnsi="Times New Roman" w:eastAsia="宋体" w:cs="Times New Roman"/>
                <w:color w:val="auto"/>
                <w:position w:val="-10"/>
                <w:sz w:val="21"/>
                <w:szCs w:val="21"/>
                <w:lang w:val="en-US" w:eastAsia="zh-CN"/>
              </w:rPr>
            </w:pPr>
            <w:r>
              <w:rPr>
                <w:rFonts w:hint="default" w:ascii="Times New Roman" w:hAnsi="Times New Roman" w:cs="Times New Roman"/>
                <w:color w:val="auto"/>
                <w:position w:val="-10"/>
                <w:sz w:val="21"/>
                <w:szCs w:val="21"/>
                <w:lang w:val="en-US" w:eastAsia="zh-CN"/>
              </w:rPr>
              <w:t>喷枪清洗废水</w:t>
            </w:r>
          </w:p>
        </w:tc>
        <w:tc>
          <w:tcPr>
            <w:tcW w:w="1140" w:type="dxa"/>
            <w:gridSpan w:val="2"/>
            <w:vMerge w:val="continue"/>
            <w:vAlign w:val="center"/>
          </w:tcPr>
          <w:p w14:paraId="5F7FF484">
            <w:pPr>
              <w:spacing w:line="240" w:lineRule="auto"/>
              <w:jc w:val="center"/>
              <w:textAlignment w:val="center"/>
              <w:rPr>
                <w:rFonts w:hint="default" w:ascii="Times New Roman" w:hAnsi="Times New Roman" w:cs="Times New Roman"/>
                <w:color w:val="auto"/>
                <w:sz w:val="21"/>
                <w:szCs w:val="21"/>
              </w:rPr>
            </w:pPr>
          </w:p>
        </w:tc>
        <w:tc>
          <w:tcPr>
            <w:tcW w:w="2205" w:type="dxa"/>
            <w:vMerge w:val="continue"/>
            <w:vAlign w:val="center"/>
          </w:tcPr>
          <w:p w14:paraId="4DEEF0D0">
            <w:pPr>
              <w:spacing w:line="240" w:lineRule="auto"/>
              <w:jc w:val="center"/>
              <w:rPr>
                <w:rFonts w:hint="default" w:ascii="Times New Roman" w:hAnsi="Times New Roman" w:cs="Times New Roman"/>
                <w:color w:val="auto"/>
                <w:sz w:val="21"/>
                <w:szCs w:val="21"/>
              </w:rPr>
            </w:pPr>
          </w:p>
        </w:tc>
        <w:tc>
          <w:tcPr>
            <w:tcW w:w="2543" w:type="dxa"/>
            <w:vMerge w:val="continue"/>
            <w:vAlign w:val="center"/>
          </w:tcPr>
          <w:p w14:paraId="7F449803">
            <w:pPr>
              <w:adjustRightInd w:val="0"/>
              <w:snapToGrid w:val="0"/>
              <w:spacing w:line="240" w:lineRule="auto"/>
              <w:jc w:val="center"/>
              <w:rPr>
                <w:rFonts w:hint="default" w:ascii="Times New Roman" w:hAnsi="Times New Roman" w:cs="Times New Roman"/>
                <w:color w:val="auto"/>
                <w:sz w:val="21"/>
                <w:szCs w:val="21"/>
              </w:rPr>
            </w:pPr>
          </w:p>
        </w:tc>
      </w:tr>
      <w:tr w14:paraId="035A53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63" w:type="dxa"/>
            <w:vMerge w:val="continue"/>
            <w:vAlign w:val="center"/>
          </w:tcPr>
          <w:p w14:paraId="403E7414">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Align w:val="center"/>
          </w:tcPr>
          <w:p w14:paraId="6A9DC7D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生活污水</w:t>
            </w:r>
          </w:p>
        </w:tc>
        <w:tc>
          <w:tcPr>
            <w:tcW w:w="1140" w:type="dxa"/>
            <w:gridSpan w:val="2"/>
            <w:vAlign w:val="center"/>
          </w:tcPr>
          <w:p w14:paraId="1E3CDAFF">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CODcr、BOD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、SS、NH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p>
        </w:tc>
        <w:tc>
          <w:tcPr>
            <w:tcW w:w="2205" w:type="dxa"/>
            <w:vAlign w:val="center"/>
          </w:tcPr>
          <w:p w14:paraId="2DE18C4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三级化粪池预处理后纳入市政管网进入</w:t>
            </w:r>
            <w:r>
              <w:rPr>
                <w:rFonts w:hint="default" w:ascii="Times New Roman" w:hAnsi="Times New Roman" w:cs="Times New Roman"/>
                <w:color w:val="auto"/>
                <w:sz w:val="21"/>
                <w:szCs w:val="21"/>
                <w:lang w:eastAsia="zh-CN"/>
              </w:rPr>
              <w:t>园洲镇第五污水处理厂</w:t>
            </w:r>
            <w:r>
              <w:rPr>
                <w:rFonts w:hint="default" w:ascii="Times New Roman" w:hAnsi="Times New Roman" w:cs="Times New Roman"/>
                <w:color w:val="auto"/>
                <w:sz w:val="21"/>
                <w:szCs w:val="21"/>
              </w:rPr>
              <w:t>处理</w:t>
            </w:r>
          </w:p>
        </w:tc>
        <w:tc>
          <w:tcPr>
            <w:tcW w:w="2543" w:type="dxa"/>
            <w:vAlign w:val="center"/>
          </w:tcPr>
          <w:p w14:paraId="52F2FF50">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园洲镇第五污水处理厂</w:t>
            </w:r>
            <w:r>
              <w:rPr>
                <w:rFonts w:hint="default" w:ascii="Times New Roman" w:hAnsi="Times New Roman" w:cs="Times New Roman"/>
                <w:color w:val="auto"/>
                <w:sz w:val="21"/>
                <w:szCs w:val="21"/>
              </w:rPr>
              <w:t>接管标准</w:t>
            </w:r>
          </w:p>
        </w:tc>
      </w:tr>
      <w:tr w14:paraId="548CED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1463" w:type="dxa"/>
            <w:vAlign w:val="center"/>
          </w:tcPr>
          <w:p w14:paraId="6FE36E68">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w:t>
            </w:r>
          </w:p>
        </w:tc>
        <w:tc>
          <w:tcPr>
            <w:tcW w:w="1485" w:type="dxa"/>
            <w:gridSpan w:val="2"/>
            <w:vAlign w:val="center"/>
          </w:tcPr>
          <w:p w14:paraId="308A3D6A">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营运期噪声</w:t>
            </w:r>
          </w:p>
        </w:tc>
        <w:tc>
          <w:tcPr>
            <w:tcW w:w="1140" w:type="dxa"/>
            <w:gridSpan w:val="2"/>
            <w:vAlign w:val="center"/>
          </w:tcPr>
          <w:p w14:paraId="11BE7945">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设备噪声</w:t>
            </w:r>
          </w:p>
        </w:tc>
        <w:tc>
          <w:tcPr>
            <w:tcW w:w="2205" w:type="dxa"/>
            <w:vAlign w:val="center"/>
          </w:tcPr>
          <w:p w14:paraId="66AB0A22">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隔声、减振</w:t>
            </w:r>
          </w:p>
        </w:tc>
        <w:tc>
          <w:tcPr>
            <w:tcW w:w="2543" w:type="dxa"/>
            <w:vAlign w:val="center"/>
          </w:tcPr>
          <w:p w14:paraId="24AD4EF3">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类标准</w:t>
            </w:r>
          </w:p>
        </w:tc>
      </w:tr>
      <w:tr w14:paraId="678574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63" w:type="dxa"/>
            <w:vAlign w:val="center"/>
          </w:tcPr>
          <w:p w14:paraId="62E9C591">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电磁辐射</w:t>
            </w:r>
          </w:p>
        </w:tc>
        <w:tc>
          <w:tcPr>
            <w:tcW w:w="1485" w:type="dxa"/>
            <w:gridSpan w:val="2"/>
            <w:vAlign w:val="center"/>
          </w:tcPr>
          <w:p w14:paraId="76176525">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40" w:type="dxa"/>
            <w:gridSpan w:val="2"/>
            <w:vAlign w:val="center"/>
          </w:tcPr>
          <w:p w14:paraId="17F96E9E">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205" w:type="dxa"/>
            <w:vAlign w:val="center"/>
          </w:tcPr>
          <w:p w14:paraId="75B454CA">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543" w:type="dxa"/>
            <w:vAlign w:val="center"/>
          </w:tcPr>
          <w:p w14:paraId="6B6DC268">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2FFE84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1463" w:type="dxa"/>
            <w:vMerge w:val="restart"/>
            <w:vAlign w:val="center"/>
          </w:tcPr>
          <w:p w14:paraId="360B1E6E">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固体废物</w:t>
            </w:r>
          </w:p>
        </w:tc>
        <w:tc>
          <w:tcPr>
            <w:tcW w:w="759" w:type="dxa"/>
            <w:vAlign w:val="center"/>
          </w:tcPr>
          <w:p w14:paraId="08014D40">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一般固废</w:t>
            </w:r>
          </w:p>
        </w:tc>
        <w:tc>
          <w:tcPr>
            <w:tcW w:w="6614" w:type="dxa"/>
            <w:gridSpan w:val="5"/>
            <w:vAlign w:val="center"/>
          </w:tcPr>
          <w:p w14:paraId="2E0F5B61">
            <w:pPr>
              <w:adjustRightInd w:val="0"/>
              <w:snapToGrid w:val="0"/>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项目设有一个</w:t>
            </w:r>
            <w:r>
              <w:rPr>
                <w:rFonts w:hint="default" w:ascii="Times New Roman" w:hAnsi="Times New Roman" w:cs="Times New Roman"/>
                <w:color w:val="auto"/>
                <w:sz w:val="21"/>
                <w:szCs w:val="21"/>
                <w:lang w:val="en-US" w:eastAsia="zh-CN"/>
              </w:rPr>
              <w:t>15</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的固废暂存间，位于厂房</w:t>
            </w:r>
            <w:r>
              <w:rPr>
                <w:rFonts w:hint="default" w:ascii="Times New Roman" w:hAnsi="Times New Roman" w:cs="Times New Roman"/>
                <w:color w:val="auto"/>
                <w:sz w:val="21"/>
                <w:szCs w:val="21"/>
                <w:lang w:val="en-US" w:eastAsia="zh-CN"/>
              </w:rPr>
              <w:t>一楼西南侧</w:t>
            </w:r>
            <w:r>
              <w:rPr>
                <w:rFonts w:hint="default" w:ascii="Times New Roman" w:hAnsi="Times New Roman" w:cs="Times New Roman"/>
                <w:color w:val="auto"/>
                <w:sz w:val="21"/>
                <w:szCs w:val="21"/>
              </w:rPr>
              <w:t>，项目机加工产生的</w:t>
            </w:r>
            <w:r>
              <w:rPr>
                <w:rFonts w:hint="default" w:ascii="Times New Roman" w:hAnsi="Times New Roman" w:cs="Times New Roman"/>
                <w:color w:val="auto"/>
                <w:sz w:val="21"/>
                <w:szCs w:val="21"/>
                <w:lang w:val="en-US" w:eastAsia="zh-CN"/>
              </w:rPr>
              <w:t>废模具</w:t>
            </w:r>
            <w:r>
              <w:rPr>
                <w:rFonts w:hint="default" w:ascii="Times New Roman" w:hAnsi="Times New Roman" w:cs="Times New Roman"/>
                <w:color w:val="auto"/>
                <w:sz w:val="21"/>
                <w:szCs w:val="21"/>
              </w:rPr>
              <w:t>、质量检验过程产生的不合格品、生产过程废料</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包装产生的废包装材料收集后交由专业回收公司回收处理。</w:t>
            </w:r>
          </w:p>
        </w:tc>
      </w:tr>
      <w:tr w14:paraId="795717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63" w:type="dxa"/>
            <w:vMerge w:val="continue"/>
            <w:vAlign w:val="center"/>
          </w:tcPr>
          <w:p w14:paraId="20676C9A">
            <w:pPr>
              <w:adjustRightInd w:val="0"/>
              <w:snapToGrid w:val="0"/>
              <w:spacing w:line="240" w:lineRule="auto"/>
              <w:jc w:val="center"/>
              <w:rPr>
                <w:rFonts w:hint="default" w:ascii="Times New Roman" w:hAnsi="Times New Roman" w:cs="Times New Roman"/>
                <w:color w:val="auto"/>
                <w:sz w:val="21"/>
                <w:szCs w:val="21"/>
              </w:rPr>
            </w:pPr>
          </w:p>
        </w:tc>
        <w:tc>
          <w:tcPr>
            <w:tcW w:w="759" w:type="dxa"/>
            <w:vAlign w:val="center"/>
          </w:tcPr>
          <w:p w14:paraId="3794345B">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6614" w:type="dxa"/>
            <w:gridSpan w:val="5"/>
            <w:vAlign w:val="center"/>
          </w:tcPr>
          <w:p w14:paraId="69CF8009">
            <w:pPr>
              <w:adjustRightInd w:val="0"/>
              <w:snapToGrid w:val="0"/>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项目设有一个10m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的危废暂存间，位于厂房</w:t>
            </w:r>
            <w:r>
              <w:rPr>
                <w:rFonts w:hint="default" w:ascii="Times New Roman" w:hAnsi="Times New Roman" w:cs="Times New Roman"/>
                <w:color w:val="auto"/>
                <w:sz w:val="21"/>
                <w:szCs w:val="21"/>
                <w:lang w:val="en-US" w:eastAsia="zh-CN"/>
              </w:rPr>
              <w:t>一楼西南侧</w:t>
            </w:r>
            <w:r>
              <w:rPr>
                <w:rFonts w:hint="default" w:ascii="Times New Roman" w:hAnsi="Times New Roman" w:cs="Times New Roman"/>
                <w:color w:val="auto"/>
                <w:sz w:val="21"/>
                <w:szCs w:val="21"/>
              </w:rPr>
              <w:t>，生产过程产生的废原料桶、废抹布及废手套、设备维护产生的废矿物油、水帘柜产生的</w:t>
            </w:r>
            <w:r>
              <w:rPr>
                <w:rFonts w:hint="default" w:ascii="Times New Roman" w:hAnsi="Times New Roman" w:cs="Times New Roman"/>
                <w:color w:val="auto"/>
                <w:sz w:val="21"/>
                <w:szCs w:val="21"/>
                <w:lang w:eastAsia="zh-CN"/>
              </w:rPr>
              <w:t>漆渣</w:t>
            </w:r>
            <w:r>
              <w:rPr>
                <w:rFonts w:hint="default" w:ascii="Times New Roman" w:hAnsi="Times New Roman" w:cs="Times New Roman"/>
                <w:color w:val="auto"/>
                <w:sz w:val="21"/>
                <w:szCs w:val="21"/>
              </w:rPr>
              <w:t>、生产过程产生的</w:t>
            </w:r>
            <w:r>
              <w:rPr>
                <w:rFonts w:hint="default" w:ascii="Times New Roman" w:hAnsi="Times New Roman" w:cs="Times New Roman"/>
                <w:color w:val="auto"/>
                <w:sz w:val="21"/>
                <w:szCs w:val="21"/>
                <w:lang w:eastAsia="zh-CN"/>
              </w:rPr>
              <w:t>喷淋废水</w:t>
            </w:r>
            <w:r>
              <w:rPr>
                <w:rFonts w:hint="default" w:ascii="Times New Roman" w:hAnsi="Times New Roman" w:cs="Times New Roman"/>
                <w:color w:val="auto"/>
                <w:sz w:val="21"/>
                <w:szCs w:val="21"/>
              </w:rPr>
              <w:t>、CNC加工过程产生的含油金属屑和废切削液、</w:t>
            </w:r>
            <w:r>
              <w:rPr>
                <w:rFonts w:hint="default" w:ascii="Times New Roman" w:hAnsi="Times New Roman" w:cs="Times New Roman"/>
                <w:color w:val="auto"/>
                <w:sz w:val="21"/>
                <w:szCs w:val="21"/>
                <w:lang w:val="en-US" w:eastAsia="zh-CN"/>
              </w:rPr>
              <w:t>喷枪清洗废水、</w:t>
            </w:r>
            <w:r>
              <w:rPr>
                <w:rFonts w:hint="default" w:ascii="Times New Roman" w:hAnsi="Times New Roman" w:cs="Times New Roman"/>
                <w:color w:val="auto"/>
                <w:sz w:val="21"/>
                <w:szCs w:val="21"/>
              </w:rPr>
              <w:t>以及废气处理过程产生的废活性炭收集后交由有资质的单位处理。</w:t>
            </w:r>
          </w:p>
        </w:tc>
      </w:tr>
      <w:tr w14:paraId="45E134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Align w:val="center"/>
          </w:tcPr>
          <w:p w14:paraId="381954C9">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土壤及地下水</w:t>
            </w:r>
          </w:p>
          <w:p w14:paraId="40908311">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污染防治措施</w:t>
            </w:r>
          </w:p>
        </w:tc>
        <w:tc>
          <w:tcPr>
            <w:tcW w:w="7373" w:type="dxa"/>
            <w:gridSpan w:val="6"/>
            <w:vAlign w:val="center"/>
          </w:tcPr>
          <w:p w14:paraId="674A2FFB">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地面硬化，危废暂存间地面防腐防渗，废气达标排放</w:t>
            </w:r>
          </w:p>
        </w:tc>
      </w:tr>
      <w:tr w14:paraId="22DD05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63" w:type="dxa"/>
            <w:vAlign w:val="center"/>
          </w:tcPr>
          <w:p w14:paraId="59C9BE82">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生态保护措施</w:t>
            </w:r>
          </w:p>
        </w:tc>
        <w:tc>
          <w:tcPr>
            <w:tcW w:w="7373" w:type="dxa"/>
            <w:gridSpan w:val="6"/>
            <w:vAlign w:val="center"/>
          </w:tcPr>
          <w:p w14:paraId="70BA7A8A">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不涉及</w:t>
            </w:r>
          </w:p>
        </w:tc>
      </w:tr>
      <w:tr w14:paraId="5678B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1463" w:type="dxa"/>
            <w:vAlign w:val="center"/>
          </w:tcPr>
          <w:p w14:paraId="2EDF5654">
            <w:pPr>
              <w:adjustRightInd w:val="0"/>
              <w:snapToGrid w:val="0"/>
              <w:spacing w:line="240" w:lineRule="auto"/>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环境风险</w:t>
            </w:r>
          </w:p>
          <w:p w14:paraId="098043C6">
            <w:pPr>
              <w:adjustRightInd w:val="0"/>
              <w:snapToGrid w:val="0"/>
              <w:spacing w:line="240" w:lineRule="auto"/>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防范措施</w:t>
            </w:r>
          </w:p>
        </w:tc>
        <w:tc>
          <w:tcPr>
            <w:tcW w:w="7373" w:type="dxa"/>
            <w:gridSpan w:val="6"/>
            <w:vAlign w:val="center"/>
          </w:tcPr>
          <w:p w14:paraId="02D1F788">
            <w:pPr>
              <w:adjustRightInd w:val="0"/>
              <w:snapToGrid w:val="0"/>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针对原辅材料理化性质，做好事故应急处理措施。仓库和车间应设置相应的通风、防火、灭火等安全设施，危废暂存间做好防腐防渗措施，厂区建筑物做好消防措施，应定期检测防雷、防静电以及消防设施。全厂建立健全健康/安全/环境管理制度，并严格予以执行。</w:t>
            </w:r>
          </w:p>
        </w:tc>
      </w:tr>
      <w:tr w14:paraId="7B7290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463" w:type="dxa"/>
            <w:vAlign w:val="center"/>
          </w:tcPr>
          <w:p w14:paraId="4AEE0A09">
            <w:pPr>
              <w:adjustRightInd w:val="0"/>
              <w:snapToGrid w:val="0"/>
              <w:spacing w:line="240" w:lineRule="auto"/>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其他环境</w:t>
            </w:r>
          </w:p>
          <w:p w14:paraId="218BE8B4">
            <w:pPr>
              <w:adjustRightInd w:val="0"/>
              <w:snapToGrid w:val="0"/>
              <w:spacing w:line="240" w:lineRule="auto"/>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管理要求</w:t>
            </w:r>
          </w:p>
        </w:tc>
        <w:tc>
          <w:tcPr>
            <w:tcW w:w="7373" w:type="dxa"/>
            <w:gridSpan w:val="6"/>
            <w:vAlign w:val="center"/>
          </w:tcPr>
          <w:p w14:paraId="6EC4C66C">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无</w:t>
            </w:r>
          </w:p>
        </w:tc>
      </w:tr>
    </w:tbl>
    <w:p w14:paraId="74F50FB8">
      <w:pPr>
        <w:pStyle w:val="18"/>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cs="Times New Roman"/>
          <w:snapToGrid w:val="0"/>
          <w:color w:val="auto"/>
        </w:rPr>
        <w:br w:type="page"/>
      </w:r>
      <w:r>
        <w:rPr>
          <w:rFonts w:hint="default" w:ascii="Times New Roman" w:hAnsi="Times New Roman" w:eastAsia="黑体" w:cs="Times New Roman"/>
          <w:snapToGrid w:val="0"/>
          <w:color w:val="auto"/>
          <w:sz w:val="30"/>
          <w:szCs w:val="30"/>
        </w:rPr>
        <w:t>六、结论</w:t>
      </w:r>
    </w:p>
    <w:tbl>
      <w:tblPr>
        <w:tblStyle w:val="22"/>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14:paraId="5BE09E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14:paraId="646E80F1">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建设符合惠州市“三线一单”环境分区管控方案要求、国家产业政策及相关环保规划要求，项目按建设项目“三同时”制度要求，逐一落实污染治理措施，并在运营过程中加强环保设施管理，保证各项污染物达标排放，则项目建设对周围环境影响不明显。因此，从环境保护角度考虑，项目的建设是可行的。</w:t>
            </w:r>
          </w:p>
        </w:tc>
      </w:tr>
    </w:tbl>
    <w:p w14:paraId="1905C57B">
      <w:pPr>
        <w:rPr>
          <w:rFonts w:hint="default" w:ascii="Times New Roman" w:hAnsi="Times New Roman" w:cs="Times New Roman"/>
          <w:color w:val="auto"/>
        </w:rPr>
        <w:sectPr>
          <w:pgSz w:w="11906" w:h="16838"/>
          <w:pgMar w:top="1701" w:right="1531" w:bottom="1701" w:left="1531" w:header="851" w:footer="851" w:gutter="0"/>
          <w:cols w:space="720" w:num="1"/>
          <w:docGrid w:linePitch="312" w:charSpace="0"/>
        </w:sectPr>
      </w:pPr>
    </w:p>
    <w:p w14:paraId="4217989B">
      <w:pPr>
        <w:pStyle w:val="18"/>
        <w:adjustRightInd w:val="0"/>
        <w:snapToGrid w:val="0"/>
        <w:spacing w:before="0" w:beforeAutospacing="0" w:after="0" w:afterAutospacing="0"/>
        <w:outlineLvl w:val="0"/>
        <w:rPr>
          <w:rFonts w:hint="default" w:ascii="Times New Roman" w:hAnsi="Times New Roman" w:eastAsia="黑体" w:cs="Times New Roman"/>
          <w:snapToGrid w:val="0"/>
          <w:color w:val="auto"/>
          <w:sz w:val="32"/>
          <w:szCs w:val="32"/>
        </w:rPr>
      </w:pPr>
      <w:r>
        <w:rPr>
          <w:rFonts w:hint="default" w:ascii="Times New Roman" w:hAnsi="Times New Roman" w:eastAsia="黑体" w:cs="Times New Roman"/>
          <w:snapToGrid w:val="0"/>
          <w:color w:val="auto"/>
          <w:sz w:val="32"/>
          <w:szCs w:val="32"/>
        </w:rPr>
        <w:t>附表</w:t>
      </w:r>
    </w:p>
    <w:p w14:paraId="452FBB6B">
      <w:pPr>
        <w:pStyle w:val="18"/>
        <w:spacing w:before="0" w:beforeAutospacing="0" w:after="120" w:afterLines="50" w:afterAutospacing="0" w:line="240" w:lineRule="auto"/>
        <w:jc w:val="center"/>
        <w:outlineLvl w:val="0"/>
        <w:rPr>
          <w:rFonts w:hint="default" w:ascii="Times New Roman" w:hAnsi="Times New Roman" w:cs="Times New Roman"/>
          <w:snapToGrid w:val="0"/>
          <w:color w:val="auto"/>
          <w:sz w:val="38"/>
          <w:szCs w:val="38"/>
        </w:rPr>
      </w:pPr>
      <w:r>
        <w:rPr>
          <w:rFonts w:hint="default" w:ascii="Times New Roman" w:hAnsi="Times New Roman" w:eastAsia="方正小标宋_GBK" w:cs="Times New Roman"/>
          <w:snapToGrid w:val="0"/>
          <w:color w:val="auto"/>
          <w:sz w:val="38"/>
          <w:szCs w:val="38"/>
        </w:rPr>
        <w:t>建设项目污染物排放量汇总表</w:t>
      </w:r>
      <w:r>
        <w:rPr>
          <w:rStyle w:val="29"/>
          <w:rFonts w:hint="default" w:ascii="Times New Roman" w:hAnsi="Times New Roman" w:cs="Times New Roman"/>
          <w:color w:val="auto"/>
        </w:rPr>
        <w:t xml:space="preserve"> </w:t>
      </w:r>
      <w:r>
        <w:rPr>
          <w:rFonts w:hint="default" w:ascii="Times New Roman" w:hAnsi="Times New Roman" w:eastAsia="方正小标宋_GBK" w:cs="Times New Roman"/>
          <w:snapToGrid w:val="0"/>
          <w:color w:val="auto"/>
          <w:sz w:val="38"/>
          <w:szCs w:val="38"/>
        </w:rPr>
        <w:t xml:space="preserve"> 单位：t/a</w:t>
      </w:r>
    </w:p>
    <w:tbl>
      <w:tblPr>
        <w:tblStyle w:val="2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2149"/>
        <w:gridCol w:w="1407"/>
        <w:gridCol w:w="1276"/>
        <w:gridCol w:w="1701"/>
        <w:gridCol w:w="1559"/>
        <w:gridCol w:w="1651"/>
        <w:gridCol w:w="1620"/>
        <w:gridCol w:w="1275"/>
      </w:tblGrid>
      <w:tr w14:paraId="2DBEBE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tcBorders>
              <w:tl2br w:val="single" w:color="auto" w:sz="4" w:space="0"/>
            </w:tcBorders>
            <w:tcMar>
              <w:left w:w="28" w:type="dxa"/>
              <w:right w:w="28" w:type="dxa"/>
            </w:tcMar>
            <w:vAlign w:val="center"/>
          </w:tcPr>
          <w:p w14:paraId="3225FAAB">
            <w:pPr>
              <w:pStyle w:val="39"/>
              <w:adjustRightInd/>
              <w:snapToGrid/>
              <w:spacing w:beforeLines="0" w:afterLines="0" w:line="240" w:lineRule="auto"/>
              <w:ind w:firstLine="0"/>
              <w:jc w:val="right"/>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项目</w:t>
            </w:r>
          </w:p>
          <w:p w14:paraId="15183B57">
            <w:pPr>
              <w:pStyle w:val="39"/>
              <w:adjustRightInd/>
              <w:snapToGrid/>
              <w:spacing w:beforeLines="0" w:afterLines="0" w:line="240" w:lineRule="auto"/>
              <w:ind w:firstLine="0"/>
              <w:jc w:val="left"/>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分类</w:t>
            </w:r>
          </w:p>
        </w:tc>
        <w:tc>
          <w:tcPr>
            <w:tcW w:w="2149" w:type="dxa"/>
            <w:tcMar>
              <w:left w:w="28" w:type="dxa"/>
              <w:right w:w="28" w:type="dxa"/>
            </w:tcMar>
            <w:vAlign w:val="center"/>
          </w:tcPr>
          <w:p w14:paraId="3D689750">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污染物名称</w:t>
            </w:r>
          </w:p>
        </w:tc>
        <w:tc>
          <w:tcPr>
            <w:tcW w:w="1407" w:type="dxa"/>
            <w:tcMar>
              <w:left w:w="28" w:type="dxa"/>
              <w:right w:w="28" w:type="dxa"/>
            </w:tcMar>
            <w:vAlign w:val="center"/>
          </w:tcPr>
          <w:p w14:paraId="69EE47D8">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现有工程</w:t>
            </w:r>
          </w:p>
          <w:p w14:paraId="383650A4">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排放量（固体废物产生量）</w:t>
            </w:r>
            <w:r>
              <w:rPr>
                <w:rFonts w:hint="default" w:ascii="Times New Roman" w:hAnsi="Times New Roman" w:cs="Times New Roman" w:eastAsiaTheme="minorEastAsia"/>
                <w:b/>
                <w:bCs/>
                <w:snapToGrid w:val="0"/>
                <w:color w:val="auto"/>
                <w:spacing w:val="-6"/>
                <w:kern w:val="21"/>
                <w:sz w:val="21"/>
                <w:szCs w:val="21"/>
              </w:rPr>
              <w:fldChar w:fldCharType="begin"/>
            </w:r>
            <w:r>
              <w:rPr>
                <w:rFonts w:hint="default" w:ascii="Times New Roman" w:hAnsi="Times New Roman" w:cs="Times New Roman" w:eastAsiaTheme="minorEastAsia"/>
                <w:b/>
                <w:bCs/>
                <w:snapToGrid w:val="0"/>
                <w:color w:val="auto"/>
                <w:spacing w:val="-6"/>
                <w:kern w:val="21"/>
                <w:sz w:val="21"/>
                <w:szCs w:val="21"/>
              </w:rPr>
              <w:instrText xml:space="preserve"> = 1 \* GB3 \* MERGEFORMAT </w:instrText>
            </w:r>
            <w:r>
              <w:rPr>
                <w:rFonts w:hint="default" w:ascii="Times New Roman" w:hAnsi="Times New Roman" w:cs="Times New Roman" w:eastAsiaTheme="minorEastAsia"/>
                <w:b/>
                <w:bCs/>
                <w:snapToGrid w:val="0"/>
                <w:color w:val="auto"/>
                <w:spacing w:val="-6"/>
                <w:kern w:val="21"/>
                <w:sz w:val="21"/>
                <w:szCs w:val="21"/>
              </w:rPr>
              <w:fldChar w:fldCharType="separate"/>
            </w:r>
            <w:r>
              <w:rPr>
                <w:rFonts w:hint="default" w:ascii="Times New Roman" w:hAnsi="Times New Roman" w:cs="Times New Roman" w:eastAsiaTheme="minorEastAsia"/>
                <w:b/>
                <w:bCs/>
                <w:color w:val="auto"/>
                <w:kern w:val="2"/>
                <w:sz w:val="21"/>
                <w:szCs w:val="21"/>
              </w:rPr>
              <w:t>①</w:t>
            </w:r>
            <w:r>
              <w:rPr>
                <w:rFonts w:hint="default" w:ascii="Times New Roman" w:hAnsi="Times New Roman" w:cs="Times New Roman" w:eastAsiaTheme="minorEastAsia"/>
                <w:b/>
                <w:bCs/>
                <w:snapToGrid w:val="0"/>
                <w:color w:val="auto"/>
                <w:spacing w:val="-6"/>
                <w:kern w:val="21"/>
                <w:sz w:val="21"/>
                <w:szCs w:val="21"/>
              </w:rPr>
              <w:fldChar w:fldCharType="end"/>
            </w:r>
          </w:p>
        </w:tc>
        <w:tc>
          <w:tcPr>
            <w:tcW w:w="1276" w:type="dxa"/>
            <w:tcMar>
              <w:left w:w="28" w:type="dxa"/>
              <w:right w:w="28" w:type="dxa"/>
            </w:tcMar>
            <w:vAlign w:val="center"/>
          </w:tcPr>
          <w:p w14:paraId="36A155F5">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现有工程</w:t>
            </w:r>
          </w:p>
          <w:p w14:paraId="3305565B">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许可排放量</w:t>
            </w:r>
          </w:p>
          <w:p w14:paraId="04C00394">
            <w:pPr>
              <w:pStyle w:val="39"/>
              <w:adjustRightInd/>
              <w:snapToGrid/>
              <w:spacing w:beforeLines="0" w:afterLines="0"/>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fldChar w:fldCharType="begin"/>
            </w:r>
            <w:r>
              <w:rPr>
                <w:rFonts w:hint="default" w:ascii="Times New Roman" w:hAnsi="Times New Roman" w:cs="Times New Roman" w:eastAsiaTheme="minorEastAsia"/>
                <w:b/>
                <w:bCs/>
                <w:snapToGrid w:val="0"/>
                <w:color w:val="auto"/>
                <w:spacing w:val="-6"/>
                <w:kern w:val="21"/>
                <w:sz w:val="21"/>
                <w:szCs w:val="21"/>
              </w:rPr>
              <w:instrText xml:space="preserve"> = 2 \* GB3 \* MERGEFORMAT </w:instrText>
            </w:r>
            <w:r>
              <w:rPr>
                <w:rFonts w:hint="default" w:ascii="Times New Roman" w:hAnsi="Times New Roman" w:cs="Times New Roman" w:eastAsiaTheme="minorEastAsia"/>
                <w:b/>
                <w:bCs/>
                <w:snapToGrid w:val="0"/>
                <w:color w:val="auto"/>
                <w:spacing w:val="-6"/>
                <w:kern w:val="21"/>
                <w:sz w:val="21"/>
                <w:szCs w:val="21"/>
              </w:rPr>
              <w:fldChar w:fldCharType="separate"/>
            </w:r>
            <w:r>
              <w:rPr>
                <w:rFonts w:hint="default" w:ascii="Times New Roman" w:hAnsi="Times New Roman" w:cs="Times New Roman" w:eastAsiaTheme="minorEastAsia"/>
                <w:b/>
                <w:bCs/>
                <w:snapToGrid w:val="0"/>
                <w:color w:val="auto"/>
                <w:spacing w:val="-6"/>
                <w:kern w:val="21"/>
                <w:sz w:val="21"/>
                <w:szCs w:val="21"/>
              </w:rPr>
              <w:t>②</w:t>
            </w:r>
            <w:r>
              <w:rPr>
                <w:rFonts w:hint="default" w:ascii="Times New Roman" w:hAnsi="Times New Roman" w:cs="Times New Roman" w:eastAsiaTheme="minorEastAsia"/>
                <w:b/>
                <w:bCs/>
                <w:snapToGrid w:val="0"/>
                <w:color w:val="auto"/>
                <w:spacing w:val="-6"/>
                <w:kern w:val="21"/>
                <w:sz w:val="21"/>
                <w:szCs w:val="21"/>
              </w:rPr>
              <w:fldChar w:fldCharType="end"/>
            </w:r>
          </w:p>
        </w:tc>
        <w:tc>
          <w:tcPr>
            <w:tcW w:w="1701" w:type="dxa"/>
            <w:tcMar>
              <w:left w:w="28" w:type="dxa"/>
              <w:right w:w="28" w:type="dxa"/>
            </w:tcMar>
            <w:vAlign w:val="center"/>
          </w:tcPr>
          <w:p w14:paraId="31E6544E">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在建工程</w:t>
            </w:r>
          </w:p>
          <w:p w14:paraId="73257D87">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排放量（固体废物产生量）</w:t>
            </w:r>
            <w:r>
              <w:rPr>
                <w:rFonts w:hint="default" w:ascii="Times New Roman" w:hAnsi="Times New Roman" w:cs="Times New Roman" w:eastAsiaTheme="minorEastAsia"/>
                <w:b/>
                <w:bCs/>
                <w:snapToGrid w:val="0"/>
                <w:color w:val="auto"/>
                <w:spacing w:val="-6"/>
                <w:kern w:val="21"/>
                <w:sz w:val="21"/>
                <w:szCs w:val="21"/>
              </w:rPr>
              <w:fldChar w:fldCharType="begin"/>
            </w:r>
            <w:r>
              <w:rPr>
                <w:rFonts w:hint="default" w:ascii="Times New Roman" w:hAnsi="Times New Roman" w:cs="Times New Roman" w:eastAsiaTheme="minorEastAsia"/>
                <w:b/>
                <w:bCs/>
                <w:snapToGrid w:val="0"/>
                <w:color w:val="auto"/>
                <w:spacing w:val="-6"/>
                <w:kern w:val="21"/>
                <w:sz w:val="21"/>
                <w:szCs w:val="21"/>
              </w:rPr>
              <w:instrText xml:space="preserve"> = 3 \* GB3 \* MERGEFORMAT </w:instrText>
            </w:r>
            <w:r>
              <w:rPr>
                <w:rFonts w:hint="default" w:ascii="Times New Roman" w:hAnsi="Times New Roman" w:cs="Times New Roman" w:eastAsiaTheme="minorEastAsia"/>
                <w:b/>
                <w:bCs/>
                <w:snapToGrid w:val="0"/>
                <w:color w:val="auto"/>
                <w:spacing w:val="-6"/>
                <w:kern w:val="21"/>
                <w:sz w:val="21"/>
                <w:szCs w:val="21"/>
              </w:rPr>
              <w:fldChar w:fldCharType="separate"/>
            </w:r>
            <w:r>
              <w:rPr>
                <w:rFonts w:hint="default" w:ascii="Times New Roman" w:hAnsi="Times New Roman" w:cs="Times New Roman" w:eastAsiaTheme="minorEastAsia"/>
                <w:b/>
                <w:bCs/>
                <w:color w:val="auto"/>
                <w:kern w:val="2"/>
                <w:sz w:val="21"/>
                <w:szCs w:val="21"/>
              </w:rPr>
              <w:t>③</w:t>
            </w:r>
            <w:r>
              <w:rPr>
                <w:rFonts w:hint="default" w:ascii="Times New Roman" w:hAnsi="Times New Roman" w:cs="Times New Roman" w:eastAsiaTheme="minorEastAsia"/>
                <w:b/>
                <w:bCs/>
                <w:snapToGrid w:val="0"/>
                <w:color w:val="auto"/>
                <w:spacing w:val="-6"/>
                <w:kern w:val="21"/>
                <w:sz w:val="21"/>
                <w:szCs w:val="21"/>
              </w:rPr>
              <w:fldChar w:fldCharType="end"/>
            </w:r>
          </w:p>
        </w:tc>
        <w:tc>
          <w:tcPr>
            <w:tcW w:w="1559" w:type="dxa"/>
            <w:tcMar>
              <w:left w:w="28" w:type="dxa"/>
              <w:right w:w="28" w:type="dxa"/>
            </w:tcMar>
            <w:vAlign w:val="center"/>
          </w:tcPr>
          <w:p w14:paraId="27A66910">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本项目</w:t>
            </w:r>
          </w:p>
          <w:p w14:paraId="0ED0D262">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排放量（固体废物产生量）</w:t>
            </w:r>
            <w:r>
              <w:rPr>
                <w:rFonts w:hint="default" w:ascii="Times New Roman" w:hAnsi="Times New Roman" w:cs="Times New Roman" w:eastAsiaTheme="minorEastAsia"/>
                <w:b/>
                <w:bCs/>
                <w:snapToGrid w:val="0"/>
                <w:color w:val="auto"/>
                <w:spacing w:val="-6"/>
                <w:kern w:val="21"/>
                <w:sz w:val="21"/>
                <w:szCs w:val="21"/>
              </w:rPr>
              <w:fldChar w:fldCharType="begin"/>
            </w:r>
            <w:r>
              <w:rPr>
                <w:rFonts w:hint="default" w:ascii="Times New Roman" w:hAnsi="Times New Roman" w:cs="Times New Roman" w:eastAsiaTheme="minorEastAsia"/>
                <w:b/>
                <w:bCs/>
                <w:snapToGrid w:val="0"/>
                <w:color w:val="auto"/>
                <w:spacing w:val="-6"/>
                <w:kern w:val="21"/>
                <w:sz w:val="21"/>
                <w:szCs w:val="21"/>
              </w:rPr>
              <w:instrText xml:space="preserve"> = 4 \* GB3 \* MERGEFORMAT </w:instrText>
            </w:r>
            <w:r>
              <w:rPr>
                <w:rFonts w:hint="default" w:ascii="Times New Roman" w:hAnsi="Times New Roman" w:cs="Times New Roman" w:eastAsiaTheme="minorEastAsia"/>
                <w:b/>
                <w:bCs/>
                <w:snapToGrid w:val="0"/>
                <w:color w:val="auto"/>
                <w:spacing w:val="-6"/>
                <w:kern w:val="21"/>
                <w:sz w:val="21"/>
                <w:szCs w:val="21"/>
              </w:rPr>
              <w:fldChar w:fldCharType="separate"/>
            </w:r>
            <w:r>
              <w:rPr>
                <w:rFonts w:hint="default" w:ascii="Times New Roman" w:hAnsi="Times New Roman" w:cs="Times New Roman" w:eastAsiaTheme="minorEastAsia"/>
                <w:b/>
                <w:bCs/>
                <w:color w:val="auto"/>
                <w:kern w:val="2"/>
                <w:sz w:val="21"/>
                <w:szCs w:val="21"/>
              </w:rPr>
              <w:t>④</w:t>
            </w:r>
            <w:r>
              <w:rPr>
                <w:rFonts w:hint="default" w:ascii="Times New Roman" w:hAnsi="Times New Roman" w:cs="Times New Roman" w:eastAsiaTheme="minorEastAsia"/>
                <w:b/>
                <w:bCs/>
                <w:snapToGrid w:val="0"/>
                <w:color w:val="auto"/>
                <w:spacing w:val="-6"/>
                <w:kern w:val="21"/>
                <w:sz w:val="21"/>
                <w:szCs w:val="21"/>
              </w:rPr>
              <w:fldChar w:fldCharType="end"/>
            </w:r>
          </w:p>
        </w:tc>
        <w:tc>
          <w:tcPr>
            <w:tcW w:w="1651" w:type="dxa"/>
            <w:tcMar>
              <w:left w:w="28" w:type="dxa"/>
              <w:right w:w="28" w:type="dxa"/>
            </w:tcMar>
            <w:vAlign w:val="center"/>
          </w:tcPr>
          <w:p w14:paraId="546646D5">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16"/>
                <w:kern w:val="21"/>
                <w:sz w:val="21"/>
                <w:szCs w:val="21"/>
              </w:rPr>
            </w:pPr>
            <w:r>
              <w:rPr>
                <w:rFonts w:hint="default" w:ascii="Times New Roman" w:hAnsi="Times New Roman" w:cs="Times New Roman" w:eastAsiaTheme="minorEastAsia"/>
                <w:b/>
                <w:bCs/>
                <w:snapToGrid w:val="0"/>
                <w:color w:val="auto"/>
                <w:spacing w:val="-16"/>
                <w:kern w:val="21"/>
                <w:sz w:val="21"/>
                <w:szCs w:val="21"/>
              </w:rPr>
              <w:t>以新带老削减量</w:t>
            </w:r>
          </w:p>
          <w:p w14:paraId="592A38A5">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16"/>
                <w:kern w:val="21"/>
                <w:sz w:val="21"/>
                <w:szCs w:val="21"/>
              </w:rPr>
            </w:pPr>
            <w:r>
              <w:rPr>
                <w:rFonts w:hint="default" w:ascii="Times New Roman" w:hAnsi="Times New Roman" w:cs="Times New Roman" w:eastAsiaTheme="minorEastAsia"/>
                <w:b/>
                <w:bCs/>
                <w:snapToGrid w:val="0"/>
                <w:color w:val="auto"/>
                <w:spacing w:val="-16"/>
                <w:kern w:val="21"/>
                <w:sz w:val="21"/>
                <w:szCs w:val="21"/>
              </w:rPr>
              <w:t>（新建项目不填）</w:t>
            </w:r>
            <w:r>
              <w:rPr>
                <w:rFonts w:hint="default" w:ascii="Times New Roman" w:hAnsi="Times New Roman" w:cs="Times New Roman" w:eastAsiaTheme="minorEastAsia"/>
                <w:b/>
                <w:bCs/>
                <w:snapToGrid w:val="0"/>
                <w:color w:val="auto"/>
                <w:spacing w:val="-16"/>
                <w:kern w:val="21"/>
                <w:sz w:val="21"/>
                <w:szCs w:val="21"/>
              </w:rPr>
              <w:fldChar w:fldCharType="begin"/>
            </w:r>
            <w:r>
              <w:rPr>
                <w:rFonts w:hint="default" w:ascii="Times New Roman" w:hAnsi="Times New Roman" w:cs="Times New Roman" w:eastAsiaTheme="minorEastAsia"/>
                <w:b/>
                <w:bCs/>
                <w:snapToGrid w:val="0"/>
                <w:color w:val="auto"/>
                <w:spacing w:val="-16"/>
                <w:kern w:val="21"/>
                <w:sz w:val="21"/>
                <w:szCs w:val="21"/>
              </w:rPr>
              <w:instrText xml:space="preserve"> = 5 \* GB3 \* MERGEFORMAT </w:instrText>
            </w:r>
            <w:r>
              <w:rPr>
                <w:rFonts w:hint="default" w:ascii="Times New Roman" w:hAnsi="Times New Roman" w:cs="Times New Roman" w:eastAsiaTheme="minorEastAsia"/>
                <w:b/>
                <w:bCs/>
                <w:snapToGrid w:val="0"/>
                <w:color w:val="auto"/>
                <w:spacing w:val="-16"/>
                <w:kern w:val="21"/>
                <w:sz w:val="21"/>
                <w:szCs w:val="21"/>
              </w:rPr>
              <w:fldChar w:fldCharType="separate"/>
            </w:r>
            <w:r>
              <w:rPr>
                <w:rFonts w:hint="default" w:ascii="Times New Roman" w:hAnsi="Times New Roman" w:cs="Times New Roman" w:eastAsiaTheme="minorEastAsia"/>
                <w:b/>
                <w:bCs/>
                <w:color w:val="auto"/>
                <w:kern w:val="2"/>
                <w:sz w:val="21"/>
                <w:szCs w:val="21"/>
              </w:rPr>
              <w:t>⑤</w:t>
            </w:r>
            <w:r>
              <w:rPr>
                <w:rFonts w:hint="default" w:ascii="Times New Roman" w:hAnsi="Times New Roman" w:cs="Times New Roman" w:eastAsiaTheme="minorEastAsia"/>
                <w:b/>
                <w:bCs/>
                <w:snapToGrid w:val="0"/>
                <w:color w:val="auto"/>
                <w:spacing w:val="-16"/>
                <w:kern w:val="21"/>
                <w:sz w:val="21"/>
                <w:szCs w:val="21"/>
              </w:rPr>
              <w:fldChar w:fldCharType="end"/>
            </w:r>
          </w:p>
        </w:tc>
        <w:tc>
          <w:tcPr>
            <w:tcW w:w="1620" w:type="dxa"/>
            <w:tcMar>
              <w:left w:w="28" w:type="dxa"/>
              <w:right w:w="28" w:type="dxa"/>
            </w:tcMar>
            <w:vAlign w:val="center"/>
          </w:tcPr>
          <w:p w14:paraId="6293F43F">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16"/>
                <w:kern w:val="21"/>
                <w:sz w:val="21"/>
                <w:szCs w:val="21"/>
              </w:rPr>
            </w:pPr>
            <w:r>
              <w:rPr>
                <w:rFonts w:hint="default" w:ascii="Times New Roman" w:hAnsi="Times New Roman" w:cs="Times New Roman" w:eastAsiaTheme="minorEastAsia"/>
                <w:b/>
                <w:bCs/>
                <w:snapToGrid w:val="0"/>
                <w:color w:val="auto"/>
                <w:spacing w:val="-16"/>
                <w:kern w:val="21"/>
                <w:sz w:val="21"/>
                <w:szCs w:val="21"/>
              </w:rPr>
              <w:t>本项目建成后</w:t>
            </w:r>
          </w:p>
          <w:p w14:paraId="5A81763A">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16"/>
                <w:kern w:val="21"/>
                <w:sz w:val="21"/>
                <w:szCs w:val="21"/>
              </w:rPr>
            </w:pPr>
            <w:r>
              <w:rPr>
                <w:rFonts w:hint="default" w:ascii="Times New Roman" w:hAnsi="Times New Roman" w:cs="Times New Roman" w:eastAsiaTheme="minorEastAsia"/>
                <w:b/>
                <w:bCs/>
                <w:snapToGrid w:val="0"/>
                <w:color w:val="auto"/>
                <w:spacing w:val="-16"/>
                <w:kern w:val="21"/>
                <w:sz w:val="21"/>
                <w:szCs w:val="21"/>
              </w:rPr>
              <w:t>全厂排放量（固体废物产生量）</w:t>
            </w:r>
            <w:r>
              <w:rPr>
                <w:rFonts w:hint="default" w:ascii="Times New Roman" w:hAnsi="Times New Roman" w:cs="Times New Roman" w:eastAsiaTheme="minorEastAsia"/>
                <w:b/>
                <w:bCs/>
                <w:snapToGrid w:val="0"/>
                <w:color w:val="auto"/>
                <w:spacing w:val="-16"/>
                <w:kern w:val="21"/>
                <w:sz w:val="21"/>
                <w:szCs w:val="21"/>
              </w:rPr>
              <w:fldChar w:fldCharType="begin"/>
            </w:r>
            <w:r>
              <w:rPr>
                <w:rFonts w:hint="default" w:ascii="Times New Roman" w:hAnsi="Times New Roman" w:cs="Times New Roman" w:eastAsiaTheme="minorEastAsia"/>
                <w:b/>
                <w:bCs/>
                <w:snapToGrid w:val="0"/>
                <w:color w:val="auto"/>
                <w:spacing w:val="-16"/>
                <w:kern w:val="21"/>
                <w:sz w:val="21"/>
                <w:szCs w:val="21"/>
              </w:rPr>
              <w:instrText xml:space="preserve"> = 6 \* GB3 \* MERGEFORMAT </w:instrText>
            </w:r>
            <w:r>
              <w:rPr>
                <w:rFonts w:hint="default" w:ascii="Times New Roman" w:hAnsi="Times New Roman" w:cs="Times New Roman" w:eastAsiaTheme="minorEastAsia"/>
                <w:b/>
                <w:bCs/>
                <w:snapToGrid w:val="0"/>
                <w:color w:val="auto"/>
                <w:spacing w:val="-16"/>
                <w:kern w:val="21"/>
                <w:sz w:val="21"/>
                <w:szCs w:val="21"/>
              </w:rPr>
              <w:fldChar w:fldCharType="separate"/>
            </w:r>
            <w:r>
              <w:rPr>
                <w:rFonts w:hint="default" w:ascii="Times New Roman" w:hAnsi="Times New Roman" w:cs="Times New Roman" w:eastAsiaTheme="minorEastAsia"/>
                <w:b/>
                <w:bCs/>
                <w:color w:val="auto"/>
                <w:kern w:val="2"/>
                <w:sz w:val="21"/>
                <w:szCs w:val="21"/>
              </w:rPr>
              <w:t>⑥</w:t>
            </w:r>
            <w:r>
              <w:rPr>
                <w:rFonts w:hint="default" w:ascii="Times New Roman" w:hAnsi="Times New Roman" w:cs="Times New Roman" w:eastAsiaTheme="minorEastAsia"/>
                <w:b/>
                <w:bCs/>
                <w:snapToGrid w:val="0"/>
                <w:color w:val="auto"/>
                <w:spacing w:val="-16"/>
                <w:kern w:val="21"/>
                <w:sz w:val="21"/>
                <w:szCs w:val="21"/>
              </w:rPr>
              <w:fldChar w:fldCharType="end"/>
            </w:r>
          </w:p>
        </w:tc>
        <w:tc>
          <w:tcPr>
            <w:tcW w:w="1275" w:type="dxa"/>
            <w:tcMar>
              <w:left w:w="28" w:type="dxa"/>
              <w:right w:w="28" w:type="dxa"/>
            </w:tcMar>
            <w:vAlign w:val="center"/>
          </w:tcPr>
          <w:p w14:paraId="17F28361">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变化量</w:t>
            </w:r>
          </w:p>
          <w:p w14:paraId="2561AB44">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fldChar w:fldCharType="begin"/>
            </w:r>
            <w:r>
              <w:rPr>
                <w:rFonts w:hint="default" w:ascii="Times New Roman" w:hAnsi="Times New Roman" w:cs="Times New Roman" w:eastAsiaTheme="minorEastAsia"/>
                <w:b/>
                <w:bCs/>
                <w:snapToGrid w:val="0"/>
                <w:color w:val="auto"/>
                <w:spacing w:val="-6"/>
                <w:kern w:val="21"/>
                <w:sz w:val="21"/>
                <w:szCs w:val="21"/>
              </w:rPr>
              <w:instrText xml:space="preserve"> = 7 \* GB3 \* MERGEFORMAT </w:instrText>
            </w:r>
            <w:r>
              <w:rPr>
                <w:rFonts w:hint="default" w:ascii="Times New Roman" w:hAnsi="Times New Roman" w:cs="Times New Roman" w:eastAsiaTheme="minorEastAsia"/>
                <w:b/>
                <w:bCs/>
                <w:snapToGrid w:val="0"/>
                <w:color w:val="auto"/>
                <w:spacing w:val="-6"/>
                <w:kern w:val="21"/>
                <w:sz w:val="21"/>
                <w:szCs w:val="21"/>
              </w:rPr>
              <w:fldChar w:fldCharType="separate"/>
            </w:r>
            <w:r>
              <w:rPr>
                <w:rFonts w:hint="default" w:ascii="Times New Roman" w:hAnsi="Times New Roman" w:cs="Times New Roman" w:eastAsiaTheme="minorEastAsia"/>
                <w:b/>
                <w:bCs/>
                <w:color w:val="auto"/>
                <w:kern w:val="2"/>
                <w:sz w:val="21"/>
                <w:szCs w:val="21"/>
              </w:rPr>
              <w:t>⑦</w:t>
            </w:r>
            <w:r>
              <w:rPr>
                <w:rFonts w:hint="default" w:ascii="Times New Roman" w:hAnsi="Times New Roman" w:cs="Times New Roman" w:eastAsiaTheme="minorEastAsia"/>
                <w:b/>
                <w:bCs/>
                <w:snapToGrid w:val="0"/>
                <w:color w:val="auto"/>
                <w:spacing w:val="-6"/>
                <w:kern w:val="21"/>
                <w:sz w:val="21"/>
                <w:szCs w:val="21"/>
              </w:rPr>
              <w:fldChar w:fldCharType="end"/>
            </w:r>
          </w:p>
        </w:tc>
      </w:tr>
      <w:tr w14:paraId="527A3A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restart"/>
            <w:vAlign w:val="center"/>
          </w:tcPr>
          <w:p w14:paraId="713B2542">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废气</w:t>
            </w:r>
          </w:p>
        </w:tc>
        <w:tc>
          <w:tcPr>
            <w:tcW w:w="2149" w:type="dxa"/>
            <w:vAlign w:val="center"/>
          </w:tcPr>
          <w:p w14:paraId="0C1F876B">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color w:val="auto"/>
                <w:sz w:val="21"/>
                <w:szCs w:val="21"/>
              </w:rPr>
              <w:t>颗粒物</w:t>
            </w:r>
          </w:p>
        </w:tc>
        <w:tc>
          <w:tcPr>
            <w:tcW w:w="1407" w:type="dxa"/>
            <w:vAlign w:val="center"/>
          </w:tcPr>
          <w:p w14:paraId="4C5137D9">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0EB2FF44">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6390F7A1">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1F597029">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0.302</w:t>
            </w:r>
          </w:p>
        </w:tc>
        <w:tc>
          <w:tcPr>
            <w:tcW w:w="1651" w:type="dxa"/>
            <w:vAlign w:val="center"/>
          </w:tcPr>
          <w:p w14:paraId="301A968D">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1458DB25">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0.302</w:t>
            </w:r>
          </w:p>
        </w:tc>
        <w:tc>
          <w:tcPr>
            <w:tcW w:w="1275" w:type="dxa"/>
            <w:vAlign w:val="center"/>
          </w:tcPr>
          <w:p w14:paraId="4B5DAAEC">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+0.302</w:t>
            </w:r>
          </w:p>
        </w:tc>
      </w:tr>
      <w:tr w14:paraId="449753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41264899">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6162F49F">
            <w:pPr>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挥发性有机物</w:t>
            </w:r>
          </w:p>
        </w:tc>
        <w:tc>
          <w:tcPr>
            <w:tcW w:w="1407" w:type="dxa"/>
            <w:vAlign w:val="center"/>
          </w:tcPr>
          <w:p w14:paraId="26C86BC6">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518CB01D">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26046B59">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49529718">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1.0618</w:t>
            </w:r>
          </w:p>
        </w:tc>
        <w:tc>
          <w:tcPr>
            <w:tcW w:w="1651" w:type="dxa"/>
            <w:vAlign w:val="center"/>
          </w:tcPr>
          <w:p w14:paraId="4477C380">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201C3054">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1.0618</w:t>
            </w:r>
          </w:p>
        </w:tc>
        <w:tc>
          <w:tcPr>
            <w:tcW w:w="1275" w:type="dxa"/>
            <w:vAlign w:val="center"/>
          </w:tcPr>
          <w:p w14:paraId="7F93A667">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+1.0618</w:t>
            </w:r>
          </w:p>
        </w:tc>
      </w:tr>
      <w:tr w14:paraId="0841E4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restart"/>
            <w:vAlign w:val="center"/>
          </w:tcPr>
          <w:p w14:paraId="741B1E13">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废水</w:t>
            </w:r>
          </w:p>
        </w:tc>
        <w:tc>
          <w:tcPr>
            <w:tcW w:w="2149" w:type="dxa"/>
            <w:vAlign w:val="center"/>
          </w:tcPr>
          <w:p w14:paraId="6240F9C3">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废水量</w:t>
            </w:r>
          </w:p>
        </w:tc>
        <w:tc>
          <w:tcPr>
            <w:tcW w:w="1407" w:type="dxa"/>
            <w:vAlign w:val="center"/>
          </w:tcPr>
          <w:p w14:paraId="1A4A627C">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59E794A3">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6D93F15B">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38D23129">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450</w:t>
            </w:r>
          </w:p>
        </w:tc>
        <w:tc>
          <w:tcPr>
            <w:tcW w:w="1651" w:type="dxa"/>
            <w:vAlign w:val="center"/>
          </w:tcPr>
          <w:p w14:paraId="28AB2404">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E114CB7">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450</w:t>
            </w:r>
          </w:p>
        </w:tc>
        <w:tc>
          <w:tcPr>
            <w:tcW w:w="1275" w:type="dxa"/>
            <w:vAlign w:val="center"/>
          </w:tcPr>
          <w:p w14:paraId="62BAD0F6">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+450</w:t>
            </w:r>
          </w:p>
        </w:tc>
      </w:tr>
      <w:tr w14:paraId="3DDF57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150" w:type="dxa"/>
            <w:vMerge w:val="continue"/>
            <w:vAlign w:val="center"/>
          </w:tcPr>
          <w:p w14:paraId="42C0C556">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3682A1A0">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CODcr</w:t>
            </w:r>
          </w:p>
        </w:tc>
        <w:tc>
          <w:tcPr>
            <w:tcW w:w="1407" w:type="dxa"/>
            <w:vAlign w:val="center"/>
          </w:tcPr>
          <w:p w14:paraId="2115AFDB">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75BD74C9">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54F69F1E">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2F4858C3">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0.018</w:t>
            </w:r>
          </w:p>
        </w:tc>
        <w:tc>
          <w:tcPr>
            <w:tcW w:w="1651" w:type="dxa"/>
            <w:vAlign w:val="center"/>
          </w:tcPr>
          <w:p w14:paraId="08B4B47A">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24D7947">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bCs/>
                <w:color w:val="auto"/>
                <w:kern w:val="21"/>
                <w:sz w:val="21"/>
                <w:szCs w:val="21"/>
                <w:lang w:val="en-US" w:eastAsia="zh-CN"/>
              </w:rPr>
              <w:t>0.018</w:t>
            </w:r>
          </w:p>
        </w:tc>
        <w:tc>
          <w:tcPr>
            <w:tcW w:w="1275" w:type="dxa"/>
            <w:vAlign w:val="center"/>
          </w:tcPr>
          <w:p w14:paraId="20E9CA40">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lang w:val="en-US" w:eastAsia="zh-CN"/>
              </w:rPr>
              <w:t>+</w:t>
            </w:r>
            <w:r>
              <w:rPr>
                <w:rFonts w:hint="default" w:ascii="Times New Roman" w:hAnsi="Times New Roman" w:cs="Times New Roman"/>
                <w:bCs/>
                <w:color w:val="auto"/>
                <w:kern w:val="21"/>
                <w:sz w:val="21"/>
                <w:szCs w:val="21"/>
                <w:lang w:val="en-US" w:eastAsia="zh-CN"/>
              </w:rPr>
              <w:t>0.018</w:t>
            </w:r>
          </w:p>
        </w:tc>
      </w:tr>
      <w:tr w14:paraId="5BD74F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3174A088">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2D6CD645">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NH</w:t>
            </w:r>
            <w:r>
              <w:rPr>
                <w:rFonts w:hint="default" w:ascii="Times New Roman" w:hAnsi="Times New Roman" w:cs="Times New Roman" w:eastAsiaTheme="minorEastAsia"/>
                <w:snapToGrid w:val="0"/>
                <w:color w:val="auto"/>
                <w:kern w:val="21"/>
                <w:sz w:val="21"/>
                <w:szCs w:val="21"/>
                <w:vertAlign w:val="subscript"/>
              </w:rPr>
              <w:t>3</w:t>
            </w:r>
            <w:r>
              <w:rPr>
                <w:rFonts w:hint="default" w:ascii="Times New Roman" w:hAnsi="Times New Roman" w:cs="Times New Roman" w:eastAsiaTheme="minorEastAsia"/>
                <w:snapToGrid w:val="0"/>
                <w:color w:val="auto"/>
                <w:kern w:val="21"/>
                <w:sz w:val="21"/>
                <w:szCs w:val="21"/>
              </w:rPr>
              <w:t>-N</w:t>
            </w:r>
          </w:p>
        </w:tc>
        <w:tc>
          <w:tcPr>
            <w:tcW w:w="1407" w:type="dxa"/>
            <w:vAlign w:val="center"/>
          </w:tcPr>
          <w:p w14:paraId="16C08DE7">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41E43D49">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53BB83CB">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34C2BCD0">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0.005</w:t>
            </w:r>
          </w:p>
        </w:tc>
        <w:tc>
          <w:tcPr>
            <w:tcW w:w="1651" w:type="dxa"/>
            <w:vAlign w:val="center"/>
          </w:tcPr>
          <w:p w14:paraId="30142500">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2196049">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lang w:val="en-US" w:eastAsia="zh-CN"/>
              </w:rPr>
              <w:t>0.005</w:t>
            </w:r>
          </w:p>
        </w:tc>
        <w:tc>
          <w:tcPr>
            <w:tcW w:w="1275" w:type="dxa"/>
            <w:vAlign w:val="center"/>
          </w:tcPr>
          <w:p w14:paraId="4BDB7B1A">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lang w:val="en-US" w:eastAsia="zh-CN"/>
              </w:rPr>
              <w:t>+0.005</w:t>
            </w:r>
          </w:p>
        </w:tc>
      </w:tr>
      <w:tr w14:paraId="142ADC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restart"/>
            <w:vAlign w:val="center"/>
          </w:tcPr>
          <w:p w14:paraId="3616D396">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一般工业固体废物</w:t>
            </w:r>
          </w:p>
        </w:tc>
        <w:tc>
          <w:tcPr>
            <w:tcW w:w="2149" w:type="dxa"/>
            <w:vAlign w:val="center"/>
          </w:tcPr>
          <w:p w14:paraId="53FF9D92">
            <w:pPr>
              <w:wordWrap/>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废模具</w:t>
            </w:r>
          </w:p>
        </w:tc>
        <w:tc>
          <w:tcPr>
            <w:tcW w:w="1407" w:type="dxa"/>
            <w:vAlign w:val="center"/>
          </w:tcPr>
          <w:p w14:paraId="1A118AA7">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646EE910">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704CEB7C">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3B1A8FC1">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c>
          <w:tcPr>
            <w:tcW w:w="1651" w:type="dxa"/>
            <w:vAlign w:val="center"/>
          </w:tcPr>
          <w:p w14:paraId="5D8B6A3C">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0A5B2ECF">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0.1</w:t>
            </w:r>
          </w:p>
        </w:tc>
        <w:tc>
          <w:tcPr>
            <w:tcW w:w="1275" w:type="dxa"/>
            <w:vAlign w:val="center"/>
          </w:tcPr>
          <w:p w14:paraId="0750DBAA">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+0.1</w:t>
            </w:r>
          </w:p>
        </w:tc>
      </w:tr>
      <w:tr w14:paraId="284031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72C317A6">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15E3A9CE">
            <w:pPr>
              <w:wordWrap/>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rPr>
              <w:t>不合格品</w:t>
            </w:r>
          </w:p>
        </w:tc>
        <w:tc>
          <w:tcPr>
            <w:tcW w:w="1407" w:type="dxa"/>
            <w:vAlign w:val="center"/>
          </w:tcPr>
          <w:p w14:paraId="640F6C27">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64058A71">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1061DE70">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7A3F6207">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w:t>
            </w:r>
          </w:p>
        </w:tc>
        <w:tc>
          <w:tcPr>
            <w:tcW w:w="1651" w:type="dxa"/>
            <w:vAlign w:val="center"/>
          </w:tcPr>
          <w:p w14:paraId="4A47763F">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058E97C">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1</w:t>
            </w:r>
          </w:p>
        </w:tc>
        <w:tc>
          <w:tcPr>
            <w:tcW w:w="1275" w:type="dxa"/>
            <w:vAlign w:val="center"/>
          </w:tcPr>
          <w:p w14:paraId="78DF47F6">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+1</w:t>
            </w:r>
          </w:p>
        </w:tc>
      </w:tr>
      <w:tr w14:paraId="2EB19F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19C279EC">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333C905D">
            <w:pPr>
              <w:wordWrap/>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rPr>
              <w:t>废料</w:t>
            </w:r>
          </w:p>
        </w:tc>
        <w:tc>
          <w:tcPr>
            <w:tcW w:w="1407" w:type="dxa"/>
            <w:vAlign w:val="center"/>
          </w:tcPr>
          <w:p w14:paraId="0A64F09E">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2A7B236F">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6666D0DE">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45A6DE1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4</w:t>
            </w:r>
          </w:p>
        </w:tc>
        <w:tc>
          <w:tcPr>
            <w:tcW w:w="1651" w:type="dxa"/>
            <w:vAlign w:val="center"/>
          </w:tcPr>
          <w:p w14:paraId="65AC4F47">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FFDAD90">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4</w:t>
            </w:r>
          </w:p>
        </w:tc>
        <w:tc>
          <w:tcPr>
            <w:tcW w:w="1275" w:type="dxa"/>
            <w:vAlign w:val="center"/>
          </w:tcPr>
          <w:p w14:paraId="1580D212">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+4</w:t>
            </w:r>
          </w:p>
        </w:tc>
      </w:tr>
      <w:tr w14:paraId="09B12E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2ED39409">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lang w:val="en-US" w:eastAsia="zh-CN"/>
              </w:rPr>
            </w:pPr>
          </w:p>
        </w:tc>
        <w:tc>
          <w:tcPr>
            <w:tcW w:w="2149" w:type="dxa"/>
            <w:vAlign w:val="center"/>
          </w:tcPr>
          <w:p w14:paraId="1C778690">
            <w:pPr>
              <w:wordWrap/>
              <w:spacing w:line="240" w:lineRule="auto"/>
              <w:jc w:val="center"/>
              <w:rPr>
                <w:rFonts w:hint="default" w:ascii="Times New Roman" w:hAnsi="Times New Roman" w:cs="Times New Roman" w:eastAsiaTheme="minorEastAsia"/>
                <w:color w:val="auto"/>
                <w:sz w:val="21"/>
                <w:szCs w:val="21"/>
                <w:lang w:val="en-US"/>
              </w:rPr>
            </w:pPr>
            <w:r>
              <w:rPr>
                <w:rFonts w:hint="default" w:ascii="Times New Roman" w:hAnsi="Times New Roman" w:cs="Times New Roman"/>
                <w:color w:val="auto"/>
                <w:sz w:val="21"/>
                <w:szCs w:val="21"/>
                <w:lang w:val="en-US" w:eastAsia="zh-CN"/>
              </w:rPr>
              <w:t>废包装材料</w:t>
            </w:r>
          </w:p>
        </w:tc>
        <w:tc>
          <w:tcPr>
            <w:tcW w:w="1407" w:type="dxa"/>
            <w:vAlign w:val="center"/>
          </w:tcPr>
          <w:p w14:paraId="10BD4A9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377F03D1">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2BA1D62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0EAB7C17">
            <w:pPr>
              <w:autoSpaceDE w:val="0"/>
              <w:autoSpaceDN w:val="0"/>
              <w:spacing w:line="240" w:lineRule="auto"/>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0.1</w:t>
            </w:r>
          </w:p>
        </w:tc>
        <w:tc>
          <w:tcPr>
            <w:tcW w:w="1651" w:type="dxa"/>
            <w:vAlign w:val="center"/>
          </w:tcPr>
          <w:p w14:paraId="0B6C3E39">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34395552">
            <w:pPr>
              <w:autoSpaceDE w:val="0"/>
              <w:autoSpaceDN w:val="0"/>
              <w:spacing w:line="240" w:lineRule="auto"/>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0.1</w:t>
            </w:r>
          </w:p>
        </w:tc>
        <w:tc>
          <w:tcPr>
            <w:tcW w:w="1275" w:type="dxa"/>
            <w:vAlign w:val="center"/>
          </w:tcPr>
          <w:p w14:paraId="5F87AE54">
            <w:pPr>
              <w:autoSpaceDE w:val="0"/>
              <w:autoSpaceDN w:val="0"/>
              <w:spacing w:line="240" w:lineRule="auto"/>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+0.1</w:t>
            </w:r>
          </w:p>
        </w:tc>
      </w:tr>
      <w:tr w14:paraId="0EEB4D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restart"/>
            <w:vAlign w:val="center"/>
          </w:tcPr>
          <w:p w14:paraId="2120B06C">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危险废物</w:t>
            </w:r>
          </w:p>
        </w:tc>
        <w:tc>
          <w:tcPr>
            <w:tcW w:w="2149" w:type="dxa"/>
            <w:vAlign w:val="center"/>
          </w:tcPr>
          <w:p w14:paraId="3962E96D">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w:t>
            </w:r>
            <w:r>
              <w:rPr>
                <w:rFonts w:hint="default" w:ascii="Times New Roman" w:hAnsi="Times New Roman" w:cs="Times New Roman"/>
                <w:color w:val="auto"/>
                <w:sz w:val="21"/>
                <w:szCs w:val="21"/>
              </w:rPr>
              <w:t>油</w:t>
            </w:r>
          </w:p>
        </w:tc>
        <w:tc>
          <w:tcPr>
            <w:tcW w:w="1407" w:type="dxa"/>
            <w:vAlign w:val="center"/>
          </w:tcPr>
          <w:p w14:paraId="31000214">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230AB06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2603AF1D">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357B0F2B">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0.05</w:t>
            </w:r>
          </w:p>
        </w:tc>
        <w:tc>
          <w:tcPr>
            <w:tcW w:w="1651" w:type="dxa"/>
            <w:vAlign w:val="center"/>
          </w:tcPr>
          <w:p w14:paraId="78CD9B20">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2EFF02DB">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eastAsia="宋体" w:cs="Times New Roman"/>
                <w:color w:val="auto"/>
                <w:sz w:val="21"/>
                <w:szCs w:val="21"/>
                <w:lang w:val="en-US" w:eastAsia="zh-CN"/>
              </w:rPr>
              <w:t>0.05</w:t>
            </w:r>
          </w:p>
        </w:tc>
        <w:tc>
          <w:tcPr>
            <w:tcW w:w="1275" w:type="dxa"/>
            <w:vAlign w:val="center"/>
          </w:tcPr>
          <w:p w14:paraId="2DB2AC27">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eastAsia="宋体" w:cs="Times New Roman"/>
                <w:color w:val="auto"/>
                <w:sz w:val="21"/>
                <w:szCs w:val="21"/>
                <w:lang w:val="en-US" w:eastAsia="zh-CN"/>
              </w:rPr>
              <w:t>+0.05</w:t>
            </w:r>
          </w:p>
        </w:tc>
      </w:tr>
      <w:tr w14:paraId="6D6C0D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6A67F1BD">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1FAD1E92">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废原料桶</w:t>
            </w:r>
          </w:p>
        </w:tc>
        <w:tc>
          <w:tcPr>
            <w:tcW w:w="1407" w:type="dxa"/>
            <w:vAlign w:val="center"/>
          </w:tcPr>
          <w:p w14:paraId="4FEBA072">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03CFFC65">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32E2EA1F">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127C8AC3">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0.05</w:t>
            </w:r>
          </w:p>
        </w:tc>
        <w:tc>
          <w:tcPr>
            <w:tcW w:w="1651" w:type="dxa"/>
            <w:vAlign w:val="center"/>
          </w:tcPr>
          <w:p w14:paraId="38FCBAC1">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645F5C8C">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eastAsia="宋体" w:cs="Times New Roman"/>
                <w:color w:val="auto"/>
                <w:sz w:val="21"/>
                <w:szCs w:val="21"/>
                <w:lang w:val="en-US" w:eastAsia="zh-CN"/>
              </w:rPr>
              <w:t>0.05</w:t>
            </w:r>
          </w:p>
        </w:tc>
        <w:tc>
          <w:tcPr>
            <w:tcW w:w="1275" w:type="dxa"/>
            <w:vAlign w:val="center"/>
          </w:tcPr>
          <w:p w14:paraId="021D2092">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eastAsia="宋体" w:cs="Times New Roman"/>
                <w:color w:val="auto"/>
                <w:sz w:val="21"/>
                <w:szCs w:val="21"/>
                <w:lang w:val="en-US" w:eastAsia="zh-CN"/>
              </w:rPr>
              <w:t>+0.05</w:t>
            </w:r>
          </w:p>
        </w:tc>
      </w:tr>
      <w:tr w14:paraId="7A499F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6A4D4A39">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3CF363C3">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废抹布及废手套</w:t>
            </w:r>
          </w:p>
        </w:tc>
        <w:tc>
          <w:tcPr>
            <w:tcW w:w="1407" w:type="dxa"/>
            <w:vAlign w:val="center"/>
          </w:tcPr>
          <w:p w14:paraId="238F8E1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565A9EAE">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2E85A3D6">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5108B860">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1</w:t>
            </w:r>
          </w:p>
        </w:tc>
        <w:tc>
          <w:tcPr>
            <w:tcW w:w="1651" w:type="dxa"/>
            <w:vAlign w:val="center"/>
          </w:tcPr>
          <w:p w14:paraId="45F64623">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752229E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1</w:t>
            </w:r>
          </w:p>
        </w:tc>
        <w:tc>
          <w:tcPr>
            <w:tcW w:w="1275" w:type="dxa"/>
            <w:vAlign w:val="center"/>
          </w:tcPr>
          <w:p w14:paraId="796ECA7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1</w:t>
            </w:r>
          </w:p>
        </w:tc>
      </w:tr>
      <w:tr w14:paraId="0AF26F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3562074C">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681BF377">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漆渣</w:t>
            </w:r>
          </w:p>
        </w:tc>
        <w:tc>
          <w:tcPr>
            <w:tcW w:w="1407" w:type="dxa"/>
            <w:vAlign w:val="center"/>
          </w:tcPr>
          <w:p w14:paraId="62A3CD99">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5E66969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183B69D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209942D5">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0.348</w:t>
            </w:r>
          </w:p>
        </w:tc>
        <w:tc>
          <w:tcPr>
            <w:tcW w:w="1651" w:type="dxa"/>
            <w:vAlign w:val="center"/>
          </w:tcPr>
          <w:p w14:paraId="556E67EE">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2FB75120">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0.348</w:t>
            </w:r>
          </w:p>
        </w:tc>
        <w:tc>
          <w:tcPr>
            <w:tcW w:w="1275" w:type="dxa"/>
            <w:vAlign w:val="center"/>
          </w:tcPr>
          <w:p w14:paraId="7762BC5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+0.348</w:t>
            </w:r>
          </w:p>
        </w:tc>
      </w:tr>
      <w:tr w14:paraId="364CEF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200938D5">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1A11791E">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喷淋废水</w:t>
            </w:r>
          </w:p>
        </w:tc>
        <w:tc>
          <w:tcPr>
            <w:tcW w:w="1407" w:type="dxa"/>
            <w:vAlign w:val="center"/>
          </w:tcPr>
          <w:p w14:paraId="10751192">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6C76351C">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327AB5A5">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64FCA9B7">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34</w:t>
            </w:r>
          </w:p>
        </w:tc>
        <w:tc>
          <w:tcPr>
            <w:tcW w:w="1651" w:type="dxa"/>
            <w:vAlign w:val="center"/>
          </w:tcPr>
          <w:p w14:paraId="1A003BBC">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BB26C9C">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color w:val="auto"/>
                <w:sz w:val="21"/>
                <w:szCs w:val="21"/>
                <w:lang w:val="en-US" w:eastAsia="zh-CN"/>
              </w:rPr>
              <w:t>34</w:t>
            </w:r>
          </w:p>
        </w:tc>
        <w:tc>
          <w:tcPr>
            <w:tcW w:w="1275" w:type="dxa"/>
            <w:vAlign w:val="center"/>
          </w:tcPr>
          <w:p w14:paraId="525DD091">
            <w:pPr>
              <w:autoSpaceDE w:val="0"/>
              <w:autoSpaceDN w:val="0"/>
              <w:spacing w:line="240" w:lineRule="auto"/>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cs="Times New Roman"/>
                <w:color w:val="auto"/>
                <w:sz w:val="21"/>
                <w:szCs w:val="21"/>
                <w:lang w:val="en-US" w:eastAsia="zh-CN"/>
              </w:rPr>
              <w:t>+34</w:t>
            </w:r>
          </w:p>
        </w:tc>
      </w:tr>
      <w:tr w14:paraId="0FB15D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42D4BA02">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78670CD9">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含油金属屑</w:t>
            </w:r>
          </w:p>
        </w:tc>
        <w:tc>
          <w:tcPr>
            <w:tcW w:w="1407" w:type="dxa"/>
            <w:vAlign w:val="center"/>
          </w:tcPr>
          <w:p w14:paraId="22ABA295">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591A149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17835AC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2E77E01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0.06</w:t>
            </w:r>
          </w:p>
        </w:tc>
        <w:tc>
          <w:tcPr>
            <w:tcW w:w="1651" w:type="dxa"/>
            <w:vAlign w:val="center"/>
          </w:tcPr>
          <w:p w14:paraId="0EA1D23C">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72CE9ADD">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0.06</w:t>
            </w:r>
          </w:p>
        </w:tc>
        <w:tc>
          <w:tcPr>
            <w:tcW w:w="1275" w:type="dxa"/>
            <w:vAlign w:val="center"/>
          </w:tcPr>
          <w:p w14:paraId="3056D361">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+0.06</w:t>
            </w:r>
          </w:p>
        </w:tc>
      </w:tr>
      <w:tr w14:paraId="11687C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tcPr>
          <w:p w14:paraId="34142ED0">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7960D473">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废切削液</w:t>
            </w:r>
          </w:p>
        </w:tc>
        <w:tc>
          <w:tcPr>
            <w:tcW w:w="1407" w:type="dxa"/>
            <w:vAlign w:val="center"/>
          </w:tcPr>
          <w:p w14:paraId="572F10D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176FF7C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2B09824B">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283682C3">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0.05</w:t>
            </w:r>
          </w:p>
        </w:tc>
        <w:tc>
          <w:tcPr>
            <w:tcW w:w="0" w:type="auto"/>
          </w:tcPr>
          <w:p w14:paraId="622CA2AB">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294C51BD">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0.05</w:t>
            </w:r>
          </w:p>
        </w:tc>
        <w:tc>
          <w:tcPr>
            <w:tcW w:w="1275" w:type="dxa"/>
            <w:vAlign w:val="center"/>
          </w:tcPr>
          <w:p w14:paraId="62948988">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+0.05</w:t>
            </w:r>
          </w:p>
        </w:tc>
      </w:tr>
      <w:tr w14:paraId="77C7BB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tcPr>
          <w:p w14:paraId="715617B4">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22EBBE40">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废活性炭</w:t>
            </w:r>
          </w:p>
        </w:tc>
        <w:tc>
          <w:tcPr>
            <w:tcW w:w="1407" w:type="dxa"/>
            <w:vAlign w:val="center"/>
          </w:tcPr>
          <w:p w14:paraId="4D4D72AA">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33CFB257">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0244D7A0">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58043867">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15.03</w:t>
            </w:r>
          </w:p>
        </w:tc>
        <w:tc>
          <w:tcPr>
            <w:tcW w:w="0" w:type="auto"/>
          </w:tcPr>
          <w:p w14:paraId="3AFF156D">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7C6BAD42">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15.03</w:t>
            </w:r>
          </w:p>
        </w:tc>
        <w:tc>
          <w:tcPr>
            <w:tcW w:w="1275" w:type="dxa"/>
            <w:vAlign w:val="center"/>
          </w:tcPr>
          <w:p w14:paraId="567CD4E2">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+15.03</w:t>
            </w:r>
          </w:p>
        </w:tc>
      </w:tr>
      <w:tr w14:paraId="6C9EA9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tcPr>
          <w:p w14:paraId="0390342D">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11524622">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喷枪清洗废水</w:t>
            </w:r>
          </w:p>
        </w:tc>
        <w:tc>
          <w:tcPr>
            <w:tcW w:w="1407" w:type="dxa"/>
            <w:vAlign w:val="center"/>
          </w:tcPr>
          <w:p w14:paraId="4BD65B93">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276" w:type="dxa"/>
            <w:vAlign w:val="center"/>
          </w:tcPr>
          <w:p w14:paraId="7994FD41">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701" w:type="dxa"/>
            <w:vAlign w:val="center"/>
          </w:tcPr>
          <w:p w14:paraId="5D3823B6">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559" w:type="dxa"/>
            <w:vAlign w:val="center"/>
          </w:tcPr>
          <w:p w14:paraId="3032E591">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0.194</w:t>
            </w:r>
          </w:p>
        </w:tc>
        <w:tc>
          <w:tcPr>
            <w:tcW w:w="0" w:type="auto"/>
          </w:tcPr>
          <w:p w14:paraId="79577E58">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620" w:type="dxa"/>
            <w:vAlign w:val="center"/>
          </w:tcPr>
          <w:p w14:paraId="2632F4F7">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0.194</w:t>
            </w:r>
          </w:p>
        </w:tc>
        <w:tc>
          <w:tcPr>
            <w:tcW w:w="1275" w:type="dxa"/>
            <w:vAlign w:val="center"/>
          </w:tcPr>
          <w:p w14:paraId="39858B82">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+0.194</w:t>
            </w:r>
          </w:p>
        </w:tc>
      </w:tr>
      <w:tr w14:paraId="754D40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tcPr>
          <w:p w14:paraId="427E4424">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167B12FE">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废网版</w:t>
            </w:r>
          </w:p>
        </w:tc>
        <w:tc>
          <w:tcPr>
            <w:tcW w:w="1407" w:type="dxa"/>
            <w:vAlign w:val="center"/>
          </w:tcPr>
          <w:p w14:paraId="08C59C87">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2C928D69">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5BEBCA1B">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4C06C09D">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c>
          <w:tcPr>
            <w:tcW w:w="0" w:type="auto"/>
          </w:tcPr>
          <w:p w14:paraId="570B30D4">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620" w:type="dxa"/>
            <w:vAlign w:val="center"/>
          </w:tcPr>
          <w:p w14:paraId="4A96C68D">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c>
          <w:tcPr>
            <w:tcW w:w="1275" w:type="dxa"/>
            <w:vAlign w:val="center"/>
          </w:tcPr>
          <w:p w14:paraId="68C87F57">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+0.1</w:t>
            </w:r>
          </w:p>
        </w:tc>
      </w:tr>
      <w:tr w14:paraId="56F1FC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99" w:type="dxa"/>
            <w:gridSpan w:val="2"/>
          </w:tcPr>
          <w:p w14:paraId="1E8405FF">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生活垃圾</w:t>
            </w:r>
          </w:p>
        </w:tc>
        <w:tc>
          <w:tcPr>
            <w:tcW w:w="1407" w:type="dxa"/>
            <w:vAlign w:val="center"/>
          </w:tcPr>
          <w:p w14:paraId="476AE2C2">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276" w:type="dxa"/>
            <w:vAlign w:val="center"/>
          </w:tcPr>
          <w:p w14:paraId="235194CC">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701" w:type="dxa"/>
            <w:vAlign w:val="center"/>
          </w:tcPr>
          <w:p w14:paraId="73CD2C21">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559" w:type="dxa"/>
            <w:vAlign w:val="center"/>
          </w:tcPr>
          <w:p w14:paraId="2DC77586">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7.5</w:t>
            </w:r>
          </w:p>
        </w:tc>
        <w:tc>
          <w:tcPr>
            <w:tcW w:w="0" w:type="auto"/>
          </w:tcPr>
          <w:p w14:paraId="28547B33">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620" w:type="dxa"/>
            <w:vAlign w:val="center"/>
          </w:tcPr>
          <w:p w14:paraId="0A04AA9F">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7.5</w:t>
            </w:r>
          </w:p>
        </w:tc>
        <w:tc>
          <w:tcPr>
            <w:tcW w:w="1275" w:type="dxa"/>
            <w:vAlign w:val="center"/>
          </w:tcPr>
          <w:p w14:paraId="7A7065EF">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+7.5</w:t>
            </w:r>
          </w:p>
        </w:tc>
      </w:tr>
    </w:tbl>
    <w:p w14:paraId="2950DA97">
      <w:pPr>
        <w:pStyle w:val="39"/>
        <w:spacing w:before="192" w:beforeLines="80" w:after="24"/>
        <w:jc w:val="left"/>
        <w:rPr>
          <w:rFonts w:hint="default" w:ascii="Times New Roman" w:hAnsi="Times New Roman" w:cs="Times New Roman" w:eastAsiaTheme="minorEastAsia"/>
          <w:snapToGrid w:val="0"/>
          <w:color w:val="auto"/>
          <w:spacing w:val="-6"/>
          <w:kern w:val="21"/>
          <w:sz w:val="21"/>
          <w:szCs w:val="21"/>
        </w:rPr>
      </w:pPr>
      <w:r>
        <w:rPr>
          <w:rFonts w:hint="default" w:ascii="Times New Roman" w:hAnsi="Times New Roman" w:cs="Times New Roman" w:eastAsiaTheme="minorEastAsia"/>
          <w:snapToGrid w:val="0"/>
          <w:color w:val="auto"/>
          <w:kern w:val="21"/>
          <w:sz w:val="21"/>
          <w:szCs w:val="21"/>
        </w:rPr>
        <w:t>注：</w:t>
      </w:r>
      <w:r>
        <w:rPr>
          <w:rFonts w:hint="default" w:ascii="Times New Roman" w:hAnsi="Times New Roman" w:cs="Times New Roman" w:eastAsiaTheme="minorEastAsia"/>
          <w:snapToGrid w:val="0"/>
          <w:color w:val="auto"/>
          <w:spacing w:val="-16"/>
          <w:kern w:val="21"/>
          <w:sz w:val="21"/>
          <w:szCs w:val="21"/>
        </w:rPr>
        <w:fldChar w:fldCharType="begin"/>
      </w:r>
      <w:r>
        <w:rPr>
          <w:rFonts w:hint="default" w:ascii="Times New Roman" w:hAnsi="Times New Roman" w:cs="Times New Roman" w:eastAsiaTheme="minorEastAsia"/>
          <w:snapToGrid w:val="0"/>
          <w:color w:val="auto"/>
          <w:spacing w:val="-16"/>
          <w:kern w:val="21"/>
          <w:sz w:val="21"/>
          <w:szCs w:val="21"/>
        </w:rPr>
        <w:instrText xml:space="preserve"> = 6 \* GB3 \* MERGEFORMAT </w:instrText>
      </w:r>
      <w:r>
        <w:rPr>
          <w:rFonts w:hint="default" w:ascii="Times New Roman" w:hAnsi="Times New Roman" w:cs="Times New Roman" w:eastAsiaTheme="minorEastAsia"/>
          <w:snapToGrid w:val="0"/>
          <w:color w:val="auto"/>
          <w:spacing w:val="-16"/>
          <w:kern w:val="21"/>
          <w:sz w:val="21"/>
          <w:szCs w:val="21"/>
        </w:rPr>
        <w:fldChar w:fldCharType="separate"/>
      </w:r>
      <w:r>
        <w:rPr>
          <w:rFonts w:hint="default" w:ascii="Times New Roman" w:hAnsi="Times New Roman" w:cs="Times New Roman" w:eastAsiaTheme="minorEastAsia"/>
          <w:color w:val="auto"/>
          <w:sz w:val="21"/>
          <w:szCs w:val="21"/>
        </w:rPr>
        <w:t>⑥</w:t>
      </w:r>
      <w:r>
        <w:rPr>
          <w:rFonts w:hint="default" w:ascii="Times New Roman" w:hAnsi="Times New Roman" w:cs="Times New Roman" w:eastAsiaTheme="minorEastAsia"/>
          <w:snapToGrid w:val="0"/>
          <w:color w:val="auto"/>
          <w:spacing w:val="-16"/>
          <w:kern w:val="21"/>
          <w:sz w:val="21"/>
          <w:szCs w:val="21"/>
        </w:rPr>
        <w:fldChar w:fldCharType="end"/>
      </w:r>
      <w:r>
        <w:rPr>
          <w:rFonts w:hint="default" w:ascii="Times New Roman" w:hAnsi="Times New Roman" w:cs="Times New Roman" w:eastAsiaTheme="minorEastAsia"/>
          <w:snapToGrid w:val="0"/>
          <w:color w:val="auto"/>
          <w:spacing w:val="-16"/>
          <w:kern w:val="21"/>
          <w:sz w:val="21"/>
          <w:szCs w:val="21"/>
        </w:rPr>
        <w:t>=</w:t>
      </w:r>
      <w:r>
        <w:rPr>
          <w:rFonts w:hint="default" w:ascii="Times New Roman" w:hAnsi="Times New Roman" w:cs="Times New Roman" w:eastAsiaTheme="minorEastAsia"/>
          <w:snapToGrid w:val="0"/>
          <w:color w:val="auto"/>
          <w:spacing w:val="-6"/>
          <w:kern w:val="21"/>
          <w:sz w:val="21"/>
          <w:szCs w:val="21"/>
        </w:rPr>
        <w:fldChar w:fldCharType="begin"/>
      </w:r>
      <w:r>
        <w:rPr>
          <w:rFonts w:hint="default" w:ascii="Times New Roman" w:hAnsi="Times New Roman" w:cs="Times New Roman" w:eastAsiaTheme="minorEastAsia"/>
          <w:snapToGrid w:val="0"/>
          <w:color w:val="auto"/>
          <w:spacing w:val="-6"/>
          <w:kern w:val="21"/>
          <w:sz w:val="21"/>
          <w:szCs w:val="21"/>
        </w:rPr>
        <w:instrText xml:space="preserve"> = 1 \* GB3 \* MERGEFORMAT </w:instrText>
      </w:r>
      <w:r>
        <w:rPr>
          <w:rFonts w:hint="default" w:ascii="Times New Roman" w:hAnsi="Times New Roman" w:cs="Times New Roman" w:eastAsiaTheme="minorEastAsia"/>
          <w:snapToGrid w:val="0"/>
          <w:color w:val="auto"/>
          <w:spacing w:val="-6"/>
          <w:kern w:val="21"/>
          <w:sz w:val="21"/>
          <w:szCs w:val="21"/>
        </w:rPr>
        <w:fldChar w:fldCharType="separate"/>
      </w:r>
      <w:r>
        <w:rPr>
          <w:rFonts w:hint="default" w:ascii="Times New Roman" w:hAnsi="Times New Roman" w:cs="Times New Roman" w:eastAsiaTheme="minorEastAsia"/>
          <w:color w:val="auto"/>
          <w:sz w:val="21"/>
          <w:szCs w:val="21"/>
        </w:rPr>
        <w:t>①</w:t>
      </w:r>
      <w:r>
        <w:rPr>
          <w:rFonts w:hint="default" w:ascii="Times New Roman" w:hAnsi="Times New Roman" w:cs="Times New Roman" w:eastAsiaTheme="minorEastAsia"/>
          <w:snapToGrid w:val="0"/>
          <w:color w:val="auto"/>
          <w:spacing w:val="-6"/>
          <w:kern w:val="21"/>
          <w:sz w:val="21"/>
          <w:szCs w:val="21"/>
        </w:rPr>
        <w:fldChar w:fldCharType="end"/>
      </w:r>
      <w:r>
        <w:rPr>
          <w:rFonts w:hint="default" w:ascii="Times New Roman" w:hAnsi="Times New Roman" w:cs="Times New Roman" w:eastAsiaTheme="minorEastAsia"/>
          <w:snapToGrid w:val="0"/>
          <w:color w:val="auto"/>
          <w:spacing w:val="-6"/>
          <w:kern w:val="21"/>
          <w:sz w:val="21"/>
          <w:szCs w:val="21"/>
        </w:rPr>
        <w:t>+</w:t>
      </w:r>
      <w:r>
        <w:rPr>
          <w:rFonts w:hint="default" w:ascii="Times New Roman" w:hAnsi="Times New Roman" w:cs="Times New Roman" w:eastAsiaTheme="minorEastAsia"/>
          <w:snapToGrid w:val="0"/>
          <w:color w:val="auto"/>
          <w:spacing w:val="-6"/>
          <w:kern w:val="21"/>
          <w:sz w:val="21"/>
          <w:szCs w:val="21"/>
        </w:rPr>
        <w:fldChar w:fldCharType="begin"/>
      </w:r>
      <w:r>
        <w:rPr>
          <w:rFonts w:hint="default" w:ascii="Times New Roman" w:hAnsi="Times New Roman" w:cs="Times New Roman" w:eastAsiaTheme="minorEastAsia"/>
          <w:snapToGrid w:val="0"/>
          <w:color w:val="auto"/>
          <w:spacing w:val="-6"/>
          <w:kern w:val="21"/>
          <w:sz w:val="21"/>
          <w:szCs w:val="21"/>
        </w:rPr>
        <w:instrText xml:space="preserve"> = 3 \* GB3 \* MERGEFORMAT </w:instrText>
      </w:r>
      <w:r>
        <w:rPr>
          <w:rFonts w:hint="default" w:ascii="Times New Roman" w:hAnsi="Times New Roman" w:cs="Times New Roman" w:eastAsiaTheme="minorEastAsia"/>
          <w:snapToGrid w:val="0"/>
          <w:color w:val="auto"/>
          <w:spacing w:val="-6"/>
          <w:kern w:val="21"/>
          <w:sz w:val="21"/>
          <w:szCs w:val="21"/>
        </w:rPr>
        <w:fldChar w:fldCharType="separate"/>
      </w:r>
      <w:r>
        <w:rPr>
          <w:rFonts w:hint="default" w:ascii="Times New Roman" w:hAnsi="Times New Roman" w:cs="Times New Roman" w:eastAsiaTheme="minorEastAsia"/>
          <w:color w:val="auto"/>
          <w:sz w:val="21"/>
          <w:szCs w:val="21"/>
        </w:rPr>
        <w:t>③</w:t>
      </w:r>
      <w:r>
        <w:rPr>
          <w:rFonts w:hint="default" w:ascii="Times New Roman" w:hAnsi="Times New Roman" w:cs="Times New Roman" w:eastAsiaTheme="minorEastAsia"/>
          <w:snapToGrid w:val="0"/>
          <w:color w:val="auto"/>
          <w:spacing w:val="-6"/>
          <w:kern w:val="21"/>
          <w:sz w:val="21"/>
          <w:szCs w:val="21"/>
        </w:rPr>
        <w:fldChar w:fldCharType="end"/>
      </w:r>
      <w:r>
        <w:rPr>
          <w:rFonts w:hint="default" w:ascii="Times New Roman" w:hAnsi="Times New Roman" w:cs="Times New Roman" w:eastAsiaTheme="minorEastAsia"/>
          <w:snapToGrid w:val="0"/>
          <w:color w:val="auto"/>
          <w:spacing w:val="-6"/>
          <w:kern w:val="21"/>
          <w:sz w:val="21"/>
          <w:szCs w:val="21"/>
        </w:rPr>
        <w:t>+</w:t>
      </w:r>
      <w:r>
        <w:rPr>
          <w:rFonts w:hint="default" w:ascii="Times New Roman" w:hAnsi="Times New Roman" w:cs="Times New Roman" w:eastAsiaTheme="minorEastAsia"/>
          <w:snapToGrid w:val="0"/>
          <w:color w:val="auto"/>
          <w:spacing w:val="-6"/>
          <w:kern w:val="21"/>
          <w:sz w:val="21"/>
          <w:szCs w:val="21"/>
        </w:rPr>
        <w:fldChar w:fldCharType="begin"/>
      </w:r>
      <w:r>
        <w:rPr>
          <w:rFonts w:hint="default" w:ascii="Times New Roman" w:hAnsi="Times New Roman" w:cs="Times New Roman" w:eastAsiaTheme="minorEastAsia"/>
          <w:snapToGrid w:val="0"/>
          <w:color w:val="auto"/>
          <w:spacing w:val="-6"/>
          <w:kern w:val="21"/>
          <w:sz w:val="21"/>
          <w:szCs w:val="21"/>
        </w:rPr>
        <w:instrText xml:space="preserve"> = 4 \* GB3 \* MERGEFORMAT </w:instrText>
      </w:r>
      <w:r>
        <w:rPr>
          <w:rFonts w:hint="default" w:ascii="Times New Roman" w:hAnsi="Times New Roman" w:cs="Times New Roman" w:eastAsiaTheme="minorEastAsia"/>
          <w:snapToGrid w:val="0"/>
          <w:color w:val="auto"/>
          <w:spacing w:val="-6"/>
          <w:kern w:val="21"/>
          <w:sz w:val="21"/>
          <w:szCs w:val="21"/>
        </w:rPr>
        <w:fldChar w:fldCharType="separate"/>
      </w:r>
      <w:r>
        <w:rPr>
          <w:rFonts w:hint="default" w:ascii="Times New Roman" w:hAnsi="Times New Roman" w:cs="Times New Roman" w:eastAsiaTheme="minorEastAsia"/>
          <w:color w:val="auto"/>
          <w:sz w:val="21"/>
          <w:szCs w:val="21"/>
        </w:rPr>
        <w:t>④</w:t>
      </w:r>
      <w:r>
        <w:rPr>
          <w:rFonts w:hint="default" w:ascii="Times New Roman" w:hAnsi="Times New Roman" w:cs="Times New Roman" w:eastAsiaTheme="minorEastAsia"/>
          <w:snapToGrid w:val="0"/>
          <w:color w:val="auto"/>
          <w:spacing w:val="-6"/>
          <w:kern w:val="21"/>
          <w:sz w:val="21"/>
          <w:szCs w:val="21"/>
        </w:rPr>
        <w:fldChar w:fldCharType="end"/>
      </w:r>
      <w:r>
        <w:rPr>
          <w:rFonts w:hint="default" w:ascii="Times New Roman" w:hAnsi="Times New Roman" w:cs="Times New Roman" w:eastAsiaTheme="minorEastAsia"/>
          <w:snapToGrid w:val="0"/>
          <w:color w:val="auto"/>
          <w:spacing w:val="-6"/>
          <w:kern w:val="21"/>
          <w:sz w:val="21"/>
          <w:szCs w:val="21"/>
        </w:rPr>
        <w:t>-</w:t>
      </w:r>
      <w:r>
        <w:rPr>
          <w:rFonts w:hint="default" w:ascii="Times New Roman" w:hAnsi="Times New Roman" w:cs="Times New Roman" w:eastAsiaTheme="minorEastAsia"/>
          <w:snapToGrid w:val="0"/>
          <w:color w:val="auto"/>
          <w:spacing w:val="-16"/>
          <w:kern w:val="21"/>
          <w:sz w:val="21"/>
          <w:szCs w:val="21"/>
        </w:rPr>
        <w:fldChar w:fldCharType="begin"/>
      </w:r>
      <w:r>
        <w:rPr>
          <w:rFonts w:hint="default" w:ascii="Times New Roman" w:hAnsi="Times New Roman" w:cs="Times New Roman" w:eastAsiaTheme="minorEastAsia"/>
          <w:snapToGrid w:val="0"/>
          <w:color w:val="auto"/>
          <w:spacing w:val="-16"/>
          <w:kern w:val="21"/>
          <w:sz w:val="21"/>
          <w:szCs w:val="21"/>
        </w:rPr>
        <w:instrText xml:space="preserve"> = 5 \* GB3 \* MERGEFORMAT </w:instrText>
      </w:r>
      <w:r>
        <w:rPr>
          <w:rFonts w:hint="default" w:ascii="Times New Roman" w:hAnsi="Times New Roman" w:cs="Times New Roman" w:eastAsiaTheme="minorEastAsia"/>
          <w:snapToGrid w:val="0"/>
          <w:color w:val="auto"/>
          <w:spacing w:val="-16"/>
          <w:kern w:val="21"/>
          <w:sz w:val="21"/>
          <w:szCs w:val="21"/>
        </w:rPr>
        <w:fldChar w:fldCharType="separate"/>
      </w:r>
      <w:r>
        <w:rPr>
          <w:rFonts w:hint="default" w:ascii="Times New Roman" w:hAnsi="Times New Roman" w:cs="Times New Roman" w:eastAsiaTheme="minorEastAsia"/>
          <w:color w:val="auto"/>
          <w:sz w:val="21"/>
          <w:szCs w:val="21"/>
        </w:rPr>
        <w:t>⑤</w:t>
      </w:r>
      <w:r>
        <w:rPr>
          <w:rFonts w:hint="default" w:ascii="Times New Roman" w:hAnsi="Times New Roman" w:cs="Times New Roman" w:eastAsiaTheme="minorEastAsia"/>
          <w:snapToGrid w:val="0"/>
          <w:color w:val="auto"/>
          <w:spacing w:val="-16"/>
          <w:kern w:val="21"/>
          <w:sz w:val="21"/>
          <w:szCs w:val="21"/>
        </w:rPr>
        <w:fldChar w:fldCharType="end"/>
      </w:r>
      <w:r>
        <w:rPr>
          <w:rFonts w:hint="default" w:ascii="Times New Roman" w:hAnsi="Times New Roman" w:cs="Times New Roman" w:eastAsiaTheme="minorEastAsia"/>
          <w:snapToGrid w:val="0"/>
          <w:color w:val="auto"/>
          <w:spacing w:val="-16"/>
          <w:kern w:val="21"/>
          <w:sz w:val="21"/>
          <w:szCs w:val="21"/>
        </w:rPr>
        <w:t>；</w:t>
      </w:r>
      <w:r>
        <w:rPr>
          <w:rFonts w:hint="default" w:ascii="Times New Roman" w:hAnsi="Times New Roman" w:cs="Times New Roman" w:eastAsiaTheme="minorEastAsia"/>
          <w:snapToGrid w:val="0"/>
          <w:color w:val="auto"/>
          <w:spacing w:val="-6"/>
          <w:kern w:val="21"/>
          <w:sz w:val="21"/>
          <w:szCs w:val="21"/>
        </w:rPr>
        <w:fldChar w:fldCharType="begin"/>
      </w:r>
      <w:r>
        <w:rPr>
          <w:rFonts w:hint="default" w:ascii="Times New Roman" w:hAnsi="Times New Roman" w:cs="Times New Roman" w:eastAsiaTheme="minorEastAsia"/>
          <w:snapToGrid w:val="0"/>
          <w:color w:val="auto"/>
          <w:spacing w:val="-6"/>
          <w:kern w:val="21"/>
          <w:sz w:val="21"/>
          <w:szCs w:val="21"/>
        </w:rPr>
        <w:instrText xml:space="preserve"> = 7 \* GB3 \* MERGEFORMAT </w:instrText>
      </w:r>
      <w:r>
        <w:rPr>
          <w:rFonts w:hint="default" w:ascii="Times New Roman" w:hAnsi="Times New Roman" w:cs="Times New Roman" w:eastAsiaTheme="minorEastAsia"/>
          <w:snapToGrid w:val="0"/>
          <w:color w:val="auto"/>
          <w:spacing w:val="-6"/>
          <w:kern w:val="21"/>
          <w:sz w:val="21"/>
          <w:szCs w:val="21"/>
        </w:rPr>
        <w:fldChar w:fldCharType="separate"/>
      </w:r>
      <w:r>
        <w:rPr>
          <w:rFonts w:hint="default" w:ascii="Times New Roman" w:hAnsi="Times New Roman" w:cs="Times New Roman" w:eastAsiaTheme="minorEastAsia"/>
          <w:color w:val="auto"/>
          <w:sz w:val="21"/>
          <w:szCs w:val="21"/>
        </w:rPr>
        <w:t>⑦</w:t>
      </w:r>
      <w:r>
        <w:rPr>
          <w:rFonts w:hint="default" w:ascii="Times New Roman" w:hAnsi="Times New Roman" w:cs="Times New Roman" w:eastAsiaTheme="minorEastAsia"/>
          <w:snapToGrid w:val="0"/>
          <w:color w:val="auto"/>
          <w:spacing w:val="-6"/>
          <w:kern w:val="21"/>
          <w:sz w:val="21"/>
          <w:szCs w:val="21"/>
        </w:rPr>
        <w:fldChar w:fldCharType="end"/>
      </w:r>
      <w:r>
        <w:rPr>
          <w:rFonts w:hint="default" w:ascii="Times New Roman" w:hAnsi="Times New Roman" w:cs="Times New Roman" w:eastAsiaTheme="minorEastAsia"/>
          <w:snapToGrid w:val="0"/>
          <w:color w:val="auto"/>
          <w:spacing w:val="-6"/>
          <w:kern w:val="21"/>
          <w:sz w:val="21"/>
          <w:szCs w:val="21"/>
        </w:rPr>
        <w:t>=</w:t>
      </w:r>
      <w:r>
        <w:rPr>
          <w:rFonts w:hint="default" w:ascii="Times New Roman" w:hAnsi="Times New Roman" w:cs="Times New Roman" w:eastAsiaTheme="minorEastAsia"/>
          <w:snapToGrid w:val="0"/>
          <w:color w:val="auto"/>
          <w:spacing w:val="-16"/>
          <w:kern w:val="21"/>
          <w:sz w:val="21"/>
          <w:szCs w:val="21"/>
        </w:rPr>
        <w:fldChar w:fldCharType="begin"/>
      </w:r>
      <w:r>
        <w:rPr>
          <w:rFonts w:hint="default" w:ascii="Times New Roman" w:hAnsi="Times New Roman" w:cs="Times New Roman" w:eastAsiaTheme="minorEastAsia"/>
          <w:snapToGrid w:val="0"/>
          <w:color w:val="auto"/>
          <w:spacing w:val="-16"/>
          <w:kern w:val="21"/>
          <w:sz w:val="21"/>
          <w:szCs w:val="21"/>
        </w:rPr>
        <w:instrText xml:space="preserve"> = 6 \* GB3 \* MERGEFORMAT </w:instrText>
      </w:r>
      <w:r>
        <w:rPr>
          <w:rFonts w:hint="default" w:ascii="Times New Roman" w:hAnsi="Times New Roman" w:cs="Times New Roman" w:eastAsiaTheme="minorEastAsia"/>
          <w:snapToGrid w:val="0"/>
          <w:color w:val="auto"/>
          <w:spacing w:val="-16"/>
          <w:kern w:val="21"/>
          <w:sz w:val="21"/>
          <w:szCs w:val="21"/>
        </w:rPr>
        <w:fldChar w:fldCharType="separate"/>
      </w:r>
      <w:r>
        <w:rPr>
          <w:rFonts w:hint="default" w:ascii="Times New Roman" w:hAnsi="Times New Roman" w:cs="Times New Roman" w:eastAsiaTheme="minorEastAsia"/>
          <w:color w:val="auto"/>
          <w:sz w:val="21"/>
          <w:szCs w:val="21"/>
        </w:rPr>
        <w:t>⑥</w:t>
      </w:r>
      <w:r>
        <w:rPr>
          <w:rFonts w:hint="default" w:ascii="Times New Roman" w:hAnsi="Times New Roman" w:cs="Times New Roman" w:eastAsiaTheme="minorEastAsia"/>
          <w:snapToGrid w:val="0"/>
          <w:color w:val="auto"/>
          <w:spacing w:val="-16"/>
          <w:kern w:val="21"/>
          <w:sz w:val="21"/>
          <w:szCs w:val="21"/>
        </w:rPr>
        <w:fldChar w:fldCharType="end"/>
      </w:r>
      <w:r>
        <w:rPr>
          <w:rFonts w:hint="default" w:ascii="Times New Roman" w:hAnsi="Times New Roman" w:cs="Times New Roman" w:eastAsiaTheme="minorEastAsia"/>
          <w:snapToGrid w:val="0"/>
          <w:color w:val="auto"/>
          <w:spacing w:val="-16"/>
          <w:kern w:val="21"/>
          <w:sz w:val="21"/>
          <w:szCs w:val="21"/>
        </w:rPr>
        <w:t>-</w:t>
      </w:r>
      <w:r>
        <w:rPr>
          <w:rFonts w:hint="default" w:ascii="Times New Roman" w:hAnsi="Times New Roman" w:cs="Times New Roman" w:eastAsiaTheme="minorEastAsia"/>
          <w:snapToGrid w:val="0"/>
          <w:color w:val="auto"/>
          <w:spacing w:val="-6"/>
          <w:kern w:val="21"/>
          <w:sz w:val="21"/>
          <w:szCs w:val="21"/>
        </w:rPr>
        <w:fldChar w:fldCharType="begin"/>
      </w:r>
      <w:r>
        <w:rPr>
          <w:rFonts w:hint="default" w:ascii="Times New Roman" w:hAnsi="Times New Roman" w:cs="Times New Roman" w:eastAsiaTheme="minorEastAsia"/>
          <w:snapToGrid w:val="0"/>
          <w:color w:val="auto"/>
          <w:spacing w:val="-6"/>
          <w:kern w:val="21"/>
          <w:sz w:val="21"/>
          <w:szCs w:val="21"/>
        </w:rPr>
        <w:instrText xml:space="preserve"> = 1 \* GB3 \* MERGEFORMAT </w:instrText>
      </w:r>
      <w:r>
        <w:rPr>
          <w:rFonts w:hint="default" w:ascii="Times New Roman" w:hAnsi="Times New Roman" w:cs="Times New Roman" w:eastAsiaTheme="minorEastAsia"/>
          <w:snapToGrid w:val="0"/>
          <w:color w:val="auto"/>
          <w:spacing w:val="-6"/>
          <w:kern w:val="21"/>
          <w:sz w:val="21"/>
          <w:szCs w:val="21"/>
        </w:rPr>
        <w:fldChar w:fldCharType="separate"/>
      </w:r>
      <w:r>
        <w:rPr>
          <w:rFonts w:hint="default" w:ascii="Times New Roman" w:hAnsi="Times New Roman" w:cs="Times New Roman" w:eastAsiaTheme="minorEastAsia"/>
          <w:color w:val="auto"/>
          <w:sz w:val="21"/>
          <w:szCs w:val="21"/>
        </w:rPr>
        <w:t>①</w:t>
      </w:r>
      <w:r>
        <w:rPr>
          <w:rFonts w:hint="default" w:ascii="Times New Roman" w:hAnsi="Times New Roman" w:cs="Times New Roman" w:eastAsiaTheme="minorEastAsia"/>
          <w:snapToGrid w:val="0"/>
          <w:color w:val="auto"/>
          <w:spacing w:val="-6"/>
          <w:kern w:val="21"/>
          <w:sz w:val="21"/>
          <w:szCs w:val="21"/>
        </w:rPr>
        <w:fldChar w:fldCharType="end"/>
      </w:r>
    </w:p>
    <w:p w14:paraId="3C0C402C">
      <w:pPr>
        <w:rPr>
          <w:rFonts w:hint="default" w:ascii="Times New Roman" w:hAnsi="Times New Roman" w:cs="Times New Roman"/>
          <w:color w:val="auto"/>
        </w:rPr>
        <w:sectPr>
          <w:pgSz w:w="16838" w:h="11906" w:orient="landscape"/>
          <w:pgMar w:top="1701" w:right="1531" w:bottom="1701" w:left="1531" w:header="851" w:footer="851" w:gutter="0"/>
          <w:cols w:space="720" w:num="1"/>
          <w:docGrid w:linePitch="312" w:charSpace="0"/>
        </w:sectPr>
      </w:pPr>
    </w:p>
    <w:p w14:paraId="53330271">
      <w:pPr>
        <w:jc w:val="center"/>
        <w:rPr>
          <w:rFonts w:hint="default" w:ascii="Times New Roman" w:hAnsi="Times New Roman" w:cs="Times New Roman"/>
          <w:color w:val="auto"/>
        </w:rPr>
      </w:pPr>
      <w:r>
        <w:rPr>
          <w:rFonts w:hint="default" w:ascii="Times New Roman" w:hAnsi="Times New Roman" w:cs="Times New Roman"/>
          <w:b/>
          <w:bCs/>
          <w:color w:val="auto"/>
          <w:sz w:val="32"/>
          <w:szCs w:val="32"/>
        </w:rPr>
        <w:t>附图附件目录</w:t>
      </w:r>
    </w:p>
    <w:p w14:paraId="32190FFB">
      <w:pPr>
        <w:rPr>
          <w:rFonts w:hint="default" w:ascii="Times New Roman" w:hAnsi="Times New Roman" w:cs="Times New Roman"/>
          <w:color w:val="auto"/>
          <w:sz w:val="28"/>
          <w:szCs w:val="28"/>
        </w:rPr>
      </w:pPr>
      <w:r>
        <w:rPr>
          <w:rFonts w:hint="default" w:ascii="Times New Roman" w:hAnsi="Times New Roman" w:cs="Times New Roman"/>
          <w:b/>
          <w:bCs/>
          <w:color w:val="auto"/>
          <w:sz w:val="28"/>
          <w:szCs w:val="28"/>
        </w:rPr>
        <w:t>附图：</w:t>
      </w:r>
    </w:p>
    <w:p w14:paraId="4EED59C3">
      <w:pPr>
        <w:rPr>
          <w:rFonts w:hint="default" w:ascii="Times New Roman" w:hAnsi="Times New Roman" w:cs="Times New Roman"/>
          <w:color w:val="auto"/>
        </w:rPr>
      </w:pPr>
      <w:r>
        <w:rPr>
          <w:rFonts w:hint="default" w:ascii="Times New Roman" w:hAnsi="Times New Roman" w:cs="Times New Roman"/>
          <w:color w:val="auto"/>
        </w:rPr>
        <w:t>附图1 项目地理位置图</w:t>
      </w:r>
    </w:p>
    <w:p w14:paraId="47484E80">
      <w:pPr>
        <w:rPr>
          <w:rFonts w:hint="default" w:ascii="Times New Roman" w:hAnsi="Times New Roman" w:cs="Times New Roman"/>
          <w:color w:val="auto"/>
        </w:rPr>
      </w:pPr>
      <w:r>
        <w:rPr>
          <w:rFonts w:hint="default" w:ascii="Times New Roman" w:hAnsi="Times New Roman" w:cs="Times New Roman"/>
          <w:color w:val="auto"/>
        </w:rPr>
        <w:t>附图2 项目四至卫星图</w:t>
      </w:r>
    </w:p>
    <w:p w14:paraId="082F5CA1">
      <w:pPr>
        <w:rPr>
          <w:rFonts w:hint="default" w:ascii="Times New Roman" w:hAnsi="Times New Roman" w:cs="Times New Roman"/>
          <w:color w:val="auto"/>
        </w:rPr>
      </w:pPr>
      <w:r>
        <w:rPr>
          <w:rFonts w:hint="default" w:ascii="Times New Roman" w:hAnsi="Times New Roman" w:cs="Times New Roman"/>
          <w:color w:val="auto"/>
        </w:rPr>
        <w:t>附图3 项目四至现状图</w:t>
      </w:r>
    </w:p>
    <w:p w14:paraId="30FD5AE8">
      <w:pPr>
        <w:rPr>
          <w:rFonts w:hint="default" w:ascii="Times New Roman" w:hAnsi="Times New Roman" w:cs="Times New Roman"/>
          <w:color w:val="auto"/>
        </w:rPr>
      </w:pPr>
      <w:r>
        <w:rPr>
          <w:rFonts w:hint="default" w:ascii="Times New Roman" w:hAnsi="Times New Roman" w:cs="Times New Roman"/>
          <w:color w:val="auto"/>
        </w:rPr>
        <w:t>附图4 项目环境保护目标分布图</w:t>
      </w:r>
    </w:p>
    <w:p w14:paraId="1B878C14">
      <w:pPr>
        <w:rPr>
          <w:rFonts w:hint="default" w:ascii="Times New Roman" w:hAnsi="Times New Roman" w:cs="Times New Roman"/>
          <w:color w:val="auto"/>
        </w:rPr>
      </w:pPr>
      <w:r>
        <w:rPr>
          <w:rFonts w:hint="default" w:ascii="Times New Roman" w:hAnsi="Times New Roman" w:cs="Times New Roman"/>
          <w:color w:val="auto"/>
        </w:rPr>
        <w:t>附图5 项目平面布置图</w:t>
      </w:r>
    </w:p>
    <w:p w14:paraId="3F66AB32">
      <w:pPr>
        <w:rPr>
          <w:rFonts w:hint="default" w:ascii="Times New Roman" w:hAnsi="Times New Roman" w:cs="Times New Roman"/>
          <w:color w:val="auto"/>
        </w:rPr>
      </w:pPr>
      <w:r>
        <w:rPr>
          <w:rFonts w:hint="default" w:ascii="Times New Roman" w:hAnsi="Times New Roman" w:cs="Times New Roman"/>
          <w:color w:val="auto"/>
        </w:rPr>
        <w:t>附图6 项目所在地水系图</w:t>
      </w:r>
    </w:p>
    <w:p w14:paraId="08A8B9C0">
      <w:pPr>
        <w:rPr>
          <w:rFonts w:hint="default" w:ascii="Times New Roman" w:hAnsi="Times New Roman" w:cs="Times New Roman"/>
          <w:color w:val="auto"/>
        </w:rPr>
      </w:pPr>
      <w:r>
        <w:rPr>
          <w:rFonts w:hint="default" w:ascii="Times New Roman" w:hAnsi="Times New Roman" w:cs="Times New Roman"/>
          <w:color w:val="auto"/>
        </w:rPr>
        <w:t>附图7 项目所在地大气环境功能区划图</w:t>
      </w:r>
    </w:p>
    <w:p w14:paraId="35A247B4">
      <w:pPr>
        <w:rPr>
          <w:rFonts w:hint="default" w:ascii="Times New Roman" w:hAnsi="Times New Roman" w:cs="Times New Roman"/>
          <w:color w:val="auto"/>
        </w:rPr>
      </w:pPr>
      <w:r>
        <w:rPr>
          <w:rFonts w:hint="default" w:ascii="Times New Roman" w:hAnsi="Times New Roman" w:cs="Times New Roman"/>
          <w:color w:val="auto"/>
        </w:rPr>
        <w:t>附图8 惠州市环境管控单元图</w:t>
      </w:r>
    </w:p>
    <w:p w14:paraId="595D251C">
      <w:pPr>
        <w:rPr>
          <w:rFonts w:hint="default" w:ascii="Times New Roman" w:hAnsi="Times New Roman" w:cs="Times New Roman"/>
          <w:b w:val="0"/>
          <w:bCs w:val="0"/>
          <w:color w:val="auto"/>
        </w:rPr>
      </w:pPr>
      <w:r>
        <w:rPr>
          <w:rFonts w:hint="default" w:ascii="Times New Roman" w:hAnsi="Times New Roman" w:cs="Times New Roman"/>
          <w:color w:val="auto"/>
        </w:rPr>
        <w:t>附图</w:t>
      </w:r>
      <w:r>
        <w:rPr>
          <w:rFonts w:hint="default" w:ascii="Times New Roman" w:hAnsi="Times New Roman" w:cs="Times New Roman"/>
          <w:b w:val="0"/>
          <w:bCs w:val="0"/>
          <w:color w:val="auto"/>
        </w:rPr>
        <w:t>9 博罗县环境管控单元图</w:t>
      </w:r>
    </w:p>
    <w:p w14:paraId="6049DDBA">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附图10 博罗县生态空间最终划定情况图</w:t>
      </w:r>
    </w:p>
    <w:p w14:paraId="17885F05">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附图11 </w:t>
      </w:r>
      <w:r>
        <w:rPr>
          <w:rFonts w:hint="default" w:ascii="Times New Roman" w:hAnsi="Times New Roman" w:cs="Times New Roman"/>
          <w:b w:val="0"/>
          <w:bCs w:val="0"/>
          <w:color w:val="auto"/>
          <w:kern w:val="44"/>
        </w:rPr>
        <w:t>博罗县大气环境质量底线管控分区划定情况</w:t>
      </w:r>
    </w:p>
    <w:p w14:paraId="2729FCE5">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lang w:val="en-US" w:eastAsia="zh-CN"/>
        </w:rPr>
        <w:t>2</w:t>
      </w:r>
      <w:r>
        <w:rPr>
          <w:rFonts w:hint="default" w:ascii="Times New Roman" w:hAnsi="Times New Roman" w:eastAsia="宋体" w:cs="Times New Roman"/>
          <w:b w:val="0"/>
          <w:bCs w:val="0"/>
          <w:color w:val="auto"/>
        </w:rPr>
        <w:t xml:space="preserve"> </w:t>
      </w:r>
      <w:r>
        <w:rPr>
          <w:rFonts w:hint="default" w:ascii="Times New Roman" w:hAnsi="Times New Roman" w:cs="Times New Roman"/>
          <w:b w:val="0"/>
          <w:bCs w:val="0"/>
          <w:color w:val="auto"/>
          <w:kern w:val="44"/>
        </w:rPr>
        <w:t>博罗县水环境质量底线管控分区划定情况</w:t>
      </w:r>
    </w:p>
    <w:p w14:paraId="685EE42C">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lang w:val="en-US" w:eastAsia="zh-CN"/>
        </w:rPr>
        <w:t>3</w:t>
      </w:r>
      <w:r>
        <w:rPr>
          <w:rFonts w:hint="default" w:ascii="Times New Roman" w:hAnsi="Times New Roman" w:eastAsia="宋体" w:cs="Times New Roman"/>
          <w:b w:val="0"/>
          <w:bCs w:val="0"/>
          <w:color w:val="auto"/>
        </w:rPr>
        <w:t xml:space="preserve"> </w:t>
      </w:r>
      <w:r>
        <w:rPr>
          <w:rFonts w:hint="default" w:ascii="Times New Roman" w:hAnsi="Times New Roman" w:cs="Times New Roman"/>
          <w:b w:val="0"/>
          <w:bCs w:val="0"/>
          <w:color w:val="auto"/>
          <w:kern w:val="44"/>
        </w:rPr>
        <w:t>博罗县建设用地土壤管控分区划定情况</w:t>
      </w:r>
    </w:p>
    <w:p w14:paraId="4D972FEF">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kern w:val="44"/>
          <w:lang w:val="en-US" w:eastAsia="zh-CN"/>
        </w:rPr>
        <w:t>4</w:t>
      </w:r>
      <w:r>
        <w:rPr>
          <w:rFonts w:hint="default" w:ascii="Times New Roman" w:hAnsi="Times New Roman" w:cs="Times New Roman"/>
          <w:b w:val="0"/>
          <w:bCs w:val="0"/>
          <w:color w:val="auto"/>
          <w:kern w:val="44"/>
        </w:rPr>
        <w:t xml:space="preserve"> 博罗县土地资源优先保护区划定情况</w:t>
      </w:r>
    </w:p>
    <w:p w14:paraId="08D06208">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kern w:val="44"/>
          <w:lang w:val="en-US" w:eastAsia="zh-CN"/>
        </w:rPr>
        <w:t>5</w:t>
      </w:r>
      <w:r>
        <w:rPr>
          <w:rFonts w:hint="default" w:ascii="Times New Roman" w:hAnsi="Times New Roman" w:cs="Times New Roman"/>
          <w:b w:val="0"/>
          <w:bCs w:val="0"/>
          <w:color w:val="auto"/>
          <w:kern w:val="44"/>
        </w:rPr>
        <w:t xml:space="preserve"> 博罗县高污染燃料禁燃区划</w:t>
      </w:r>
    </w:p>
    <w:p w14:paraId="637FE56F">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kern w:val="44"/>
          <w:lang w:val="en-US" w:eastAsia="zh-CN"/>
        </w:rPr>
        <w:t>6</w:t>
      </w:r>
      <w:r>
        <w:rPr>
          <w:rFonts w:hint="default" w:ascii="Times New Roman" w:hAnsi="Times New Roman" w:cs="Times New Roman"/>
          <w:b w:val="0"/>
          <w:bCs w:val="0"/>
          <w:color w:val="auto"/>
          <w:kern w:val="44"/>
        </w:rPr>
        <w:t xml:space="preserve"> 博罗县矿产资源开发敏感区划定情况</w:t>
      </w:r>
    </w:p>
    <w:p w14:paraId="171815C6">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kern w:val="44"/>
        </w:rPr>
        <w:t>7 项目与广东省三线一单平台的叠加图</w:t>
      </w:r>
    </w:p>
    <w:p w14:paraId="096C3AE2">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kern w:val="44"/>
          <w:lang w:val="en-US" w:eastAsia="zh-CN"/>
        </w:rPr>
        <w:t>8</w:t>
      </w:r>
      <w:r>
        <w:rPr>
          <w:rFonts w:hint="default" w:ascii="Times New Roman" w:hAnsi="Times New Roman" w:cs="Times New Roman"/>
          <w:b w:val="0"/>
          <w:bCs w:val="0"/>
          <w:color w:val="auto"/>
          <w:kern w:val="44"/>
        </w:rPr>
        <w:t xml:space="preserve"> 纳污管网图</w:t>
      </w:r>
    </w:p>
    <w:p w14:paraId="1BC835E1">
      <w:pPr>
        <w:rPr>
          <w:rFonts w:hint="default" w:ascii="Times New Roman" w:hAnsi="Times New Roman" w:cs="Times New Roman"/>
          <w:b w:val="0"/>
          <w:bCs w:val="0"/>
          <w:color w:val="auto"/>
          <w:kern w:val="44"/>
          <w:lang w:val="en-US" w:eastAsia="zh-CN"/>
        </w:rPr>
      </w:pPr>
      <w:r>
        <w:rPr>
          <w:rFonts w:hint="default" w:ascii="Times New Roman" w:hAnsi="Times New Roman" w:cs="Times New Roman"/>
          <w:b w:val="0"/>
          <w:bCs w:val="0"/>
          <w:color w:val="auto"/>
          <w:kern w:val="44"/>
        </w:rPr>
        <w:t>附图</w:t>
      </w:r>
      <w:r>
        <w:rPr>
          <w:rFonts w:hint="default" w:ascii="Times New Roman" w:hAnsi="Times New Roman" w:cs="Times New Roman"/>
          <w:b w:val="0"/>
          <w:bCs w:val="0"/>
          <w:color w:val="auto"/>
          <w:kern w:val="44"/>
          <w:lang w:val="en-US" w:eastAsia="zh-CN"/>
        </w:rPr>
        <w:t>19 博罗智能装备产业园园洲片区（起步区）控制性详细规划</w:t>
      </w:r>
    </w:p>
    <w:p w14:paraId="26379892">
      <w:pPr>
        <w:rPr>
          <w:rFonts w:hint="default" w:ascii="Times New Roman" w:hAnsi="Times New Roman" w:cs="Times New Roman"/>
          <w:b w:val="0"/>
          <w:bCs w:val="0"/>
          <w:color w:val="auto"/>
          <w:kern w:val="44"/>
          <w:lang w:val="en-US" w:eastAsia="zh-CN"/>
        </w:rPr>
      </w:pPr>
      <w:r>
        <w:rPr>
          <w:rFonts w:hint="default" w:ascii="Times New Roman" w:hAnsi="Times New Roman" w:cs="Times New Roman"/>
          <w:b w:val="0"/>
          <w:bCs w:val="0"/>
          <w:color w:val="auto"/>
          <w:kern w:val="44"/>
          <w:lang w:val="en-US" w:eastAsia="zh-CN"/>
        </w:rPr>
        <w:t>附图20 博罗县国土空间总体规划（2021-2035年）县城国土空间用地用海规划分区图</w:t>
      </w:r>
    </w:p>
    <w:p w14:paraId="25570C1D">
      <w:pPr>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附件：</w:t>
      </w:r>
    </w:p>
    <w:p w14:paraId="55CB119F">
      <w:pPr>
        <w:rPr>
          <w:rFonts w:hint="default" w:ascii="Times New Roman" w:hAnsi="Times New Roman" w:cs="Times New Roman"/>
          <w:b w:val="0"/>
          <w:bCs w:val="0"/>
          <w:color w:val="auto"/>
        </w:rPr>
      </w:pPr>
      <w:r>
        <w:rPr>
          <w:rFonts w:hint="default" w:ascii="Times New Roman" w:hAnsi="Times New Roman" w:cs="Times New Roman"/>
          <w:b w:val="0"/>
          <w:bCs w:val="0"/>
          <w:color w:val="auto"/>
        </w:rPr>
        <w:t>附件1 建设单位营业执照</w:t>
      </w:r>
    </w:p>
    <w:p w14:paraId="0CC744CF">
      <w:pPr>
        <w:rPr>
          <w:rFonts w:hint="default" w:ascii="Times New Roman" w:hAnsi="Times New Roman" w:cs="Times New Roman"/>
          <w:b w:val="0"/>
          <w:bCs w:val="0"/>
          <w:color w:val="auto"/>
        </w:rPr>
      </w:pPr>
      <w:r>
        <w:rPr>
          <w:rFonts w:hint="default" w:ascii="Times New Roman" w:hAnsi="Times New Roman" w:cs="Times New Roman"/>
          <w:b w:val="0"/>
          <w:bCs w:val="0"/>
          <w:color w:val="auto"/>
        </w:rPr>
        <w:t>附件2 法人身份证</w:t>
      </w:r>
    </w:p>
    <w:p w14:paraId="22BB0B14">
      <w:pPr>
        <w:rPr>
          <w:rFonts w:hint="default" w:ascii="Times New Roman" w:hAnsi="Times New Roman" w:eastAsia="宋体" w:cs="Times New Roman"/>
          <w:b w:val="0"/>
          <w:bCs w:val="0"/>
          <w:color w:val="auto"/>
          <w:lang w:eastAsia="zh-CN"/>
        </w:rPr>
      </w:pPr>
      <w:r>
        <w:rPr>
          <w:rFonts w:hint="default" w:ascii="Times New Roman" w:hAnsi="Times New Roman" w:cs="Times New Roman"/>
          <w:b w:val="0"/>
          <w:bCs w:val="0"/>
          <w:color w:val="auto"/>
        </w:rPr>
        <w:t xml:space="preserve">附件3 </w:t>
      </w:r>
      <w:r>
        <w:rPr>
          <w:rFonts w:hint="default" w:ascii="Times New Roman" w:hAnsi="Times New Roman" w:cs="Times New Roman"/>
          <w:b w:val="0"/>
          <w:bCs w:val="0"/>
          <w:color w:val="auto"/>
          <w:lang w:val="en-US" w:eastAsia="zh-CN"/>
        </w:rPr>
        <w:t>用地证明</w:t>
      </w:r>
    </w:p>
    <w:p w14:paraId="2965B573">
      <w:pPr>
        <w:rPr>
          <w:rFonts w:hint="default" w:ascii="Times New Roman" w:hAnsi="Times New Roman" w:cs="Times New Roman"/>
          <w:b w:val="0"/>
          <w:bCs w:val="0"/>
          <w:color w:val="auto"/>
        </w:rPr>
      </w:pPr>
      <w:r>
        <w:rPr>
          <w:rFonts w:hint="default" w:ascii="Times New Roman" w:hAnsi="Times New Roman" w:cs="Times New Roman"/>
          <w:b w:val="0"/>
          <w:bCs w:val="0"/>
          <w:color w:val="auto"/>
        </w:rPr>
        <w:t>附件4 项目投资代码</w:t>
      </w:r>
    </w:p>
    <w:p w14:paraId="4D83BED6">
      <w:pPr>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附件5 水性漆</w:t>
      </w:r>
      <w:r>
        <w:rPr>
          <w:rFonts w:hint="default" w:ascii="Times New Roman" w:hAnsi="Times New Roman" w:cs="Times New Roman"/>
          <w:b w:val="0"/>
          <w:bCs w:val="0"/>
          <w:color w:val="auto"/>
        </w:rPr>
        <w:t>MSDS</w:t>
      </w:r>
      <w:r>
        <w:rPr>
          <w:rFonts w:hint="default" w:ascii="Times New Roman" w:hAnsi="Times New Roman" w:cs="Times New Roman"/>
          <w:b w:val="0"/>
          <w:bCs w:val="0"/>
          <w:color w:val="auto"/>
          <w:lang w:val="en-US" w:eastAsia="zh-CN"/>
        </w:rPr>
        <w:t>及VOC检测报告</w:t>
      </w:r>
    </w:p>
    <w:p w14:paraId="09FDD2D3">
      <w:pPr>
        <w:rPr>
          <w:rFonts w:hint="default" w:ascii="Times New Roman" w:hAnsi="Times New Roman" w:cs="Times New Roman"/>
          <w:b w:val="0"/>
          <w:bCs w:val="0"/>
          <w:color w:val="auto"/>
        </w:rPr>
      </w:pPr>
      <w:r>
        <w:rPr>
          <w:rFonts w:hint="default" w:ascii="Times New Roman" w:hAnsi="Times New Roman" w:cs="Times New Roman"/>
          <w:b w:val="0"/>
          <w:bCs w:val="0"/>
          <w:color w:val="auto"/>
        </w:rPr>
        <w:t>附件</w:t>
      </w:r>
      <w:r>
        <w:rPr>
          <w:rFonts w:hint="default" w:ascii="Times New Roman" w:hAnsi="Times New Roman" w:cs="Times New Roman"/>
          <w:b w:val="0"/>
          <w:bCs w:val="0"/>
          <w:color w:val="auto"/>
          <w:lang w:val="en-US" w:eastAsia="zh-CN"/>
        </w:rPr>
        <w:t>6</w:t>
      </w:r>
      <w:r>
        <w:rPr>
          <w:rFonts w:hint="default" w:ascii="Times New Roman" w:hAnsi="Times New Roman" w:cs="Times New Roman"/>
          <w:b w:val="0"/>
          <w:bCs w:val="0"/>
          <w:color w:val="auto"/>
        </w:rPr>
        <w:t xml:space="preserve"> </w:t>
      </w:r>
      <w:r>
        <w:rPr>
          <w:rFonts w:hint="default" w:ascii="Times New Roman" w:hAnsi="Times New Roman" w:cs="Times New Roman"/>
          <w:b w:val="0"/>
          <w:bCs w:val="0"/>
          <w:color w:val="auto"/>
          <w:lang w:val="en-US" w:eastAsia="zh-CN"/>
        </w:rPr>
        <w:t>水性油墨</w:t>
      </w:r>
      <w:r>
        <w:rPr>
          <w:rFonts w:hint="default" w:ascii="Times New Roman" w:hAnsi="Times New Roman" w:cs="Times New Roman"/>
          <w:b w:val="0"/>
          <w:bCs w:val="0"/>
          <w:color w:val="auto"/>
        </w:rPr>
        <w:t>MSDS</w:t>
      </w:r>
    </w:p>
    <w:p w14:paraId="0E27B5B2">
      <w:pPr>
        <w:rPr>
          <w:rFonts w:hint="default" w:ascii="Times New Roman" w:hAnsi="Times New Roman" w:cs="Times New Roman"/>
          <w:b w:val="0"/>
          <w:bCs w:val="0"/>
          <w:color w:val="auto"/>
        </w:rPr>
      </w:pPr>
      <w:r>
        <w:rPr>
          <w:rFonts w:hint="default" w:ascii="Times New Roman" w:hAnsi="Times New Roman" w:cs="Times New Roman"/>
          <w:b w:val="0"/>
          <w:bCs w:val="0"/>
          <w:color w:val="auto"/>
        </w:rPr>
        <w:t>附件</w:t>
      </w:r>
      <w:r>
        <w:rPr>
          <w:rFonts w:hint="default" w:ascii="Times New Roman" w:hAnsi="Times New Roman" w:cs="Times New Roman"/>
          <w:b w:val="0"/>
          <w:bCs w:val="0"/>
          <w:color w:val="auto"/>
          <w:lang w:val="en-US" w:eastAsia="zh-CN"/>
        </w:rPr>
        <w:t>7</w:t>
      </w:r>
      <w:r>
        <w:rPr>
          <w:rFonts w:hint="default" w:ascii="Times New Roman" w:hAnsi="Times New Roman" w:cs="Times New Roman"/>
          <w:b w:val="0"/>
          <w:bCs w:val="0"/>
          <w:color w:val="auto"/>
        </w:rPr>
        <w:t xml:space="preserve"> </w:t>
      </w:r>
      <w:r>
        <w:rPr>
          <w:rFonts w:hint="default" w:ascii="Times New Roman" w:hAnsi="Times New Roman" w:cs="Times New Roman"/>
          <w:b w:val="0"/>
          <w:bCs w:val="0"/>
          <w:color w:val="auto"/>
          <w:lang w:val="en-US" w:eastAsia="zh-CN"/>
        </w:rPr>
        <w:t>硫化剂</w:t>
      </w:r>
      <w:r>
        <w:rPr>
          <w:rFonts w:hint="default" w:ascii="Times New Roman" w:hAnsi="Times New Roman" w:cs="Times New Roman"/>
          <w:b w:val="0"/>
          <w:bCs w:val="0"/>
          <w:color w:val="auto"/>
        </w:rPr>
        <w:t>MSDS</w:t>
      </w:r>
    </w:p>
    <w:p w14:paraId="25AAB2D4">
      <w:pPr>
        <w:rPr>
          <w:rFonts w:hint="default" w:ascii="Times New Roman" w:hAnsi="Times New Roman" w:cs="Times New Roman"/>
          <w:color w:val="auto"/>
        </w:rPr>
      </w:pPr>
    </w:p>
    <w:p w14:paraId="3EAB3AFD">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附件8 硅橡胶MSDS</w:t>
      </w:r>
    </w:p>
    <w:p w14:paraId="6E6E02EA">
      <w:pPr>
        <w:rPr>
          <w:rFonts w:hint="default" w:ascii="Times New Roman" w:hAnsi="Times New Roman" w:cs="Times New Roman"/>
          <w:b/>
          <w:bCs/>
          <w:color w:val="auto"/>
          <w:lang w:val="en-US" w:eastAsia="zh-CN"/>
        </w:rPr>
      </w:pPr>
      <w:r>
        <w:rPr>
          <w:rFonts w:hint="default" w:ascii="Times New Roman" w:hAnsi="Times New Roman" w:cs="Times New Roman"/>
          <w:color w:val="auto"/>
          <w:lang w:val="en-US" w:eastAsia="zh-CN"/>
        </w:rPr>
        <w:t>附件9 液态胶MSDS</w:t>
      </w:r>
      <w:r>
        <w:rPr>
          <w:rFonts w:hint="default" w:ascii="Times New Roman" w:hAnsi="Times New Roman" w:cs="Times New Roman"/>
          <w:color w:val="auto"/>
          <w:lang w:val="en-US" w:eastAsia="zh-CN"/>
        </w:rPr>
        <w:br w:type="textWrapping"/>
      </w:r>
      <w:r>
        <w:rPr>
          <w:rFonts w:hint="eastAsia" w:cs="Times New Roman"/>
          <w:color w:val="auto"/>
          <w:lang w:val="en-US" w:eastAsia="zh-CN"/>
        </w:rPr>
        <w:t>附件10 引用检测报</w:t>
      </w:r>
    </w:p>
    <w:sectPr>
      <w:headerReference r:id="rId9" w:type="default"/>
      <w:footerReference r:id="rId10" w:type="default"/>
      <w:pgSz w:w="11906" w:h="16838"/>
      <w:pgMar w:top="1701" w:right="1531" w:bottom="1701" w:left="1531" w:header="851" w:footer="964"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 w:name="Impact">
    <w:panose1 w:val="020B0806030902050204"/>
    <w:charset w:val="00"/>
    <w:family w:val="swiss"/>
    <w:pitch w:val="default"/>
    <w:sig w:usb0="00000287" w:usb1="00000000" w:usb2="00000000" w:usb3="00000000" w:csb0="2000009F" w:csb1="DFD70000"/>
  </w:font>
  <w:font w:name="仿宋体">
    <w:altName w:val="宋体"/>
    <w:panose1 w:val="02010600030101010101"/>
    <w:charset w:val="86"/>
    <w:family w:val="roman"/>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82016" w:usb3="00000000" w:csb0="00040001" w:csb1="00000000"/>
  </w:font>
  <w:font w:name="楷体_GB2312">
    <w:altName w:val="楷体"/>
    <w:panose1 w:val="00000000000000000000"/>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705931">
    <w:pPr>
      <w:pStyle w:val="1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5C7BD">
    <w:pPr>
      <w:pStyle w:val="13"/>
      <w:framePr w:wrap="around" w:vAnchor="text" w:hAnchor="margin" w:xAlign="center" w:y="1"/>
      <w:rPr>
        <w:rStyle w:val="26"/>
      </w:rPr>
    </w:pPr>
    <w:r>
      <w:fldChar w:fldCharType="begin"/>
    </w:r>
    <w:r>
      <w:rPr>
        <w:rStyle w:val="26"/>
      </w:rPr>
      <w:instrText xml:space="preserve">PAGE  </w:instrText>
    </w:r>
    <w:r>
      <w:fldChar w:fldCharType="separate"/>
    </w:r>
    <w:r>
      <w:rPr>
        <w:rStyle w:val="26"/>
      </w:rPr>
      <w:t>5</w:t>
    </w:r>
    <w:r>
      <w:fldChar w:fldCharType="end"/>
    </w:r>
  </w:p>
  <w:p w14:paraId="551491D3">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2134D">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8322EE">
                          <w:pPr>
                            <w:snapToGrid w:val="0"/>
                            <w:jc w:val="left"/>
                            <w:rPr>
                              <w:rStyle w:val="26"/>
                              <w:rFonts w:ascii="宋体" w:hAnsi="宋体"/>
                              <w:kern w:val="0"/>
                              <w:sz w:val="28"/>
                              <w:szCs w:val="28"/>
                            </w:rPr>
                          </w:pPr>
                          <w:r>
                            <w:rPr>
                              <w:rStyle w:val="26"/>
                              <w:rFonts w:hint="eastAsia" w:ascii="宋体" w:hAnsi="宋体"/>
                              <w:kern w:val="0"/>
                              <w:sz w:val="28"/>
                              <w:szCs w:val="28"/>
                            </w:rPr>
                            <w:t>—</w:t>
                          </w:r>
                          <w:r>
                            <w:rPr>
                              <w:rStyle w:val="26"/>
                              <w:rFonts w:hint="eastAsia" w:ascii="宋体" w:hAnsi="宋体"/>
                              <w:kern w:val="0"/>
                              <w:sz w:val="20"/>
                              <w:szCs w:val="20"/>
                            </w:rPr>
                            <w:t xml:space="preserve">  </w:t>
                          </w:r>
                          <w:r>
                            <w:rPr>
                              <w:rFonts w:ascii="宋体" w:hAnsi="宋体"/>
                              <w:kern w:val="0"/>
                              <w:sz w:val="26"/>
                              <w:szCs w:val="26"/>
                            </w:rPr>
                            <w:fldChar w:fldCharType="begin"/>
                          </w:r>
                          <w:r>
                            <w:rPr>
                              <w:rStyle w:val="26"/>
                              <w:rFonts w:ascii="宋体" w:hAnsi="宋体"/>
                              <w:kern w:val="0"/>
                              <w:sz w:val="26"/>
                              <w:szCs w:val="26"/>
                            </w:rPr>
                            <w:instrText xml:space="preserve">PAGE  </w:instrText>
                          </w:r>
                          <w:r>
                            <w:rPr>
                              <w:rFonts w:ascii="宋体" w:hAnsi="宋体"/>
                              <w:kern w:val="0"/>
                              <w:sz w:val="26"/>
                              <w:szCs w:val="26"/>
                            </w:rPr>
                            <w:fldChar w:fldCharType="separate"/>
                          </w:r>
                          <w:r>
                            <w:rPr>
                              <w:rStyle w:val="26"/>
                              <w:rFonts w:ascii="宋体" w:hAnsi="宋体"/>
                              <w:kern w:val="0"/>
                              <w:sz w:val="26"/>
                              <w:szCs w:val="26"/>
                            </w:rPr>
                            <w:t>74</w:t>
                          </w:r>
                          <w:r>
                            <w:rPr>
                              <w:rFonts w:ascii="宋体" w:hAnsi="宋体"/>
                              <w:kern w:val="0"/>
                              <w:sz w:val="26"/>
                              <w:szCs w:val="26"/>
                            </w:rPr>
                            <w:fldChar w:fldCharType="end"/>
                          </w:r>
                          <w:r>
                            <w:rPr>
                              <w:rStyle w:val="26"/>
                              <w:rFonts w:hint="eastAsia" w:ascii="宋体" w:hAnsi="宋体"/>
                              <w:kern w:val="0"/>
                              <w:sz w:val="20"/>
                              <w:szCs w:val="20"/>
                            </w:rPr>
                            <w:t xml:space="preserve">  </w:t>
                          </w:r>
                          <w:r>
                            <w:rPr>
                              <w:rStyle w:val="26"/>
                              <w:rFonts w:hint="eastAsia" w:ascii="宋体" w:hAnsi="宋体"/>
                              <w:kern w:val="0"/>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Hm/Zs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Z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Hm/ZszAgAAZQQAAA4AAAAAAAAAAQAgAAAAHwEAAGRycy9lMm9Eb2MueG1sUEsF&#10;BgAAAAAGAAYAWQEAAMQFAAAAAA==&#10;">
              <v:fill on="f" focussize="0,0"/>
              <v:stroke on="f" weight="0.5pt"/>
              <v:imagedata o:title=""/>
              <o:lock v:ext="edit" aspectratio="f"/>
              <v:textbox inset="0mm,0mm,0mm,0mm" style="mso-fit-shape-to-text:t;">
                <w:txbxContent>
                  <w:p w14:paraId="248322EE">
                    <w:pPr>
                      <w:snapToGrid w:val="0"/>
                      <w:jc w:val="left"/>
                      <w:rPr>
                        <w:rStyle w:val="26"/>
                        <w:rFonts w:ascii="宋体" w:hAnsi="宋体"/>
                        <w:kern w:val="0"/>
                        <w:sz w:val="28"/>
                        <w:szCs w:val="28"/>
                      </w:rPr>
                    </w:pPr>
                    <w:r>
                      <w:rPr>
                        <w:rStyle w:val="26"/>
                        <w:rFonts w:hint="eastAsia" w:ascii="宋体" w:hAnsi="宋体"/>
                        <w:kern w:val="0"/>
                        <w:sz w:val="28"/>
                        <w:szCs w:val="28"/>
                      </w:rPr>
                      <w:t>—</w:t>
                    </w:r>
                    <w:r>
                      <w:rPr>
                        <w:rStyle w:val="26"/>
                        <w:rFonts w:hint="eastAsia" w:ascii="宋体" w:hAnsi="宋体"/>
                        <w:kern w:val="0"/>
                        <w:sz w:val="20"/>
                        <w:szCs w:val="20"/>
                      </w:rPr>
                      <w:t xml:space="preserve">  </w:t>
                    </w:r>
                    <w:r>
                      <w:rPr>
                        <w:rFonts w:ascii="宋体" w:hAnsi="宋体"/>
                        <w:kern w:val="0"/>
                        <w:sz w:val="26"/>
                        <w:szCs w:val="26"/>
                      </w:rPr>
                      <w:fldChar w:fldCharType="begin"/>
                    </w:r>
                    <w:r>
                      <w:rPr>
                        <w:rStyle w:val="26"/>
                        <w:rFonts w:ascii="宋体" w:hAnsi="宋体"/>
                        <w:kern w:val="0"/>
                        <w:sz w:val="26"/>
                        <w:szCs w:val="26"/>
                      </w:rPr>
                      <w:instrText xml:space="preserve">PAGE  </w:instrText>
                    </w:r>
                    <w:r>
                      <w:rPr>
                        <w:rFonts w:ascii="宋体" w:hAnsi="宋体"/>
                        <w:kern w:val="0"/>
                        <w:sz w:val="26"/>
                        <w:szCs w:val="26"/>
                      </w:rPr>
                      <w:fldChar w:fldCharType="separate"/>
                    </w:r>
                    <w:r>
                      <w:rPr>
                        <w:rStyle w:val="26"/>
                        <w:rFonts w:ascii="宋体" w:hAnsi="宋体"/>
                        <w:kern w:val="0"/>
                        <w:sz w:val="26"/>
                        <w:szCs w:val="26"/>
                      </w:rPr>
                      <w:t>74</w:t>
                    </w:r>
                    <w:r>
                      <w:rPr>
                        <w:rFonts w:ascii="宋体" w:hAnsi="宋体"/>
                        <w:kern w:val="0"/>
                        <w:sz w:val="26"/>
                        <w:szCs w:val="26"/>
                      </w:rPr>
                      <w:fldChar w:fldCharType="end"/>
                    </w:r>
                    <w:r>
                      <w:rPr>
                        <w:rStyle w:val="26"/>
                        <w:rFonts w:hint="eastAsia" w:ascii="宋体" w:hAnsi="宋体"/>
                        <w:kern w:val="0"/>
                        <w:sz w:val="20"/>
                        <w:szCs w:val="20"/>
                      </w:rPr>
                      <w:t xml:space="preserve">  </w:t>
                    </w:r>
                    <w:r>
                      <w:rPr>
                        <w:rStyle w:val="26"/>
                        <w:rFonts w:hint="eastAsia" w:ascii="宋体" w:hAnsi="宋体"/>
                        <w:kern w:val="0"/>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8917B">
    <w:pPr>
      <w:pStyle w:val="13"/>
      <w:ind w:right="360" w:firstLine="360"/>
      <w:jc w:val="center"/>
    </w:pPr>
    <w:r>
      <mc:AlternateContent>
        <mc:Choice Requires="wps">
          <w:drawing>
            <wp:inline distT="0" distB="0" distL="114300" distR="114300">
              <wp:extent cx="1828800" cy="1828800"/>
              <wp:effectExtent l="0" t="0" r="0" b="0"/>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775C67">
                          <w:pPr>
                            <w:pStyle w:val="13"/>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1</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inline>
          </w:drawing>
        </mc:Choice>
        <mc:Fallback>
          <w:pict>
            <v:shape id="_x0000_s1026" o:spid="_x0000_s1026" o:spt="202" type="#_x0000_t202" style="height:144pt;width:144pt;mso-wrap-style:non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aAL0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p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QaAL0tAgAAVwQAAA4AAAAAAAAAAQAgAAAAHwEAAGRycy9lMm9Eb2MueG1sUEsFBgAAAAAG&#10;AAYAWQEAAL4FAAAAAA==&#10;">
              <v:fill on="f" focussize="0,0"/>
              <v:stroke on="f" weight="0.5pt"/>
              <v:imagedata o:title=""/>
              <o:lock v:ext="edit" aspectratio="f"/>
              <v:textbox inset="0mm,0mm,0mm,0mm" style="mso-fit-shape-to-text:t;">
                <w:txbxContent>
                  <w:p w14:paraId="61775C67">
                    <w:pPr>
                      <w:pStyle w:val="13"/>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1</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v:textbox>
              <w10:wrap type="none"/>
              <w10:anchorlock/>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440DB">
    <w:pPr>
      <w:pStyle w:val="13"/>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781050" cy="25781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7810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659B8B">
                          <w:pPr>
                            <w:pStyle w:val="13"/>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104</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20.3pt;width:61.5pt;mso-position-horizontal:center;mso-position-horizontal-relative:margin;z-index:251660288;mso-width-relative:page;mso-height-relative:page;" filled="f" stroked="f" coordsize="21600,21600" o:gfxdata="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6eFsR0wAAAAQBAAAPAAAAAAAAAAEAIAAAACIAAABkcnMvZG93bnJldi54bWxQSwECFAAU&#10;AAAACACHTuJAB6C/ri8CAABXBAAADgAAAAAAAAABACAAAAAiAQAAZHJzL2Uyb0RvYy54bWxQSwUG&#10;AAAAAAYABgBZAQAAwwUAAAAA&#10;">
              <v:fill on="f" focussize="0,0"/>
              <v:stroke on="f" weight="0.5pt"/>
              <v:imagedata o:title=""/>
              <o:lock v:ext="edit" aspectratio="f"/>
              <v:textbox inset="0mm,0mm,0mm,0mm">
                <w:txbxContent>
                  <w:p w14:paraId="18659B8B">
                    <w:pPr>
                      <w:pStyle w:val="13"/>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104</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438E1">
    <w:pPr>
      <w:snapToGrid w:val="0"/>
      <w:ind w:firstLine="360" w:firstLineChars="200"/>
      <w:jc w:val="center"/>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CB02BD"/>
    <w:multiLevelType w:val="singleLevel"/>
    <w:tmpl w:val="25CB02BD"/>
    <w:lvl w:ilvl="0" w:tentative="0">
      <w:start w:val="1"/>
      <w:numFmt w:val="decimal"/>
      <w:pStyle w:val="82"/>
      <w:suff w:val="nothing"/>
      <w:lvlText w:val="表2-%1 "/>
      <w:lvlJc w:val="left"/>
      <w:pPr>
        <w:tabs>
          <w:tab w:val="left" w:pos="0"/>
        </w:tabs>
        <w:ind w:left="0"/>
      </w:pPr>
      <w:rPr>
        <w:rFonts w:hint="default" w:ascii="Times New Roman" w:hAnsi="Times New Roman" w:eastAsia="宋体" w:cs="Times New Roman"/>
        <w:sz w:val="24"/>
        <w:szCs w:val="24"/>
      </w:rPr>
    </w:lvl>
  </w:abstractNum>
  <w:abstractNum w:abstractNumId="1">
    <w:nsid w:val="5FE35C3A"/>
    <w:multiLevelType w:val="singleLevel"/>
    <w:tmpl w:val="5FE35C3A"/>
    <w:lvl w:ilvl="0" w:tentative="0">
      <w:start w:val="1"/>
      <w:numFmt w:val="decimal"/>
      <w:suff w:val="nothing"/>
      <w:lvlText w:val="%1、"/>
      <w:lvlJc w:val="left"/>
      <w:rPr>
        <w:b/>
      </w:rPr>
    </w:lvl>
  </w:abstractNum>
  <w:abstractNum w:abstractNumId="2">
    <w:nsid w:val="6981996A"/>
    <w:multiLevelType w:val="singleLevel"/>
    <w:tmpl w:val="6981996A"/>
    <w:lvl w:ilvl="0" w:tentative="0">
      <w:start w:val="3"/>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HorizontalSpacing w:val="120"/>
  <w:drawingGridVerticalSpacing w:val="163"/>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UyMWMzMmMxMTgxNWM3N2YwNWQ2ZjNjY2Y5NzgxNzcifQ=="/>
  </w:docVars>
  <w:rsids>
    <w:rsidRoot w:val="00A14947"/>
    <w:rsid w:val="000060B3"/>
    <w:rsid w:val="000142AD"/>
    <w:rsid w:val="00020085"/>
    <w:rsid w:val="00040571"/>
    <w:rsid w:val="0004364B"/>
    <w:rsid w:val="00061B1F"/>
    <w:rsid w:val="000733C4"/>
    <w:rsid w:val="00074783"/>
    <w:rsid w:val="0008070B"/>
    <w:rsid w:val="000810AC"/>
    <w:rsid w:val="00081A02"/>
    <w:rsid w:val="00082231"/>
    <w:rsid w:val="00092D38"/>
    <w:rsid w:val="000930DB"/>
    <w:rsid w:val="0009316C"/>
    <w:rsid w:val="0009377B"/>
    <w:rsid w:val="000A20C9"/>
    <w:rsid w:val="000B0052"/>
    <w:rsid w:val="000B058F"/>
    <w:rsid w:val="000B4467"/>
    <w:rsid w:val="000B4DB9"/>
    <w:rsid w:val="000B6767"/>
    <w:rsid w:val="000C09AC"/>
    <w:rsid w:val="000C767F"/>
    <w:rsid w:val="000D5A44"/>
    <w:rsid w:val="000E3ED2"/>
    <w:rsid w:val="000F7056"/>
    <w:rsid w:val="00114565"/>
    <w:rsid w:val="001173CB"/>
    <w:rsid w:val="00131F42"/>
    <w:rsid w:val="001357F1"/>
    <w:rsid w:val="00140FA8"/>
    <w:rsid w:val="00142FEB"/>
    <w:rsid w:val="00143A2D"/>
    <w:rsid w:val="00145A41"/>
    <w:rsid w:val="00151675"/>
    <w:rsid w:val="00157435"/>
    <w:rsid w:val="0016355E"/>
    <w:rsid w:val="0017504D"/>
    <w:rsid w:val="0017671A"/>
    <w:rsid w:val="00177422"/>
    <w:rsid w:val="00183404"/>
    <w:rsid w:val="00184590"/>
    <w:rsid w:val="001870D1"/>
    <w:rsid w:val="0018781E"/>
    <w:rsid w:val="0019262D"/>
    <w:rsid w:val="001A1B35"/>
    <w:rsid w:val="001A48A2"/>
    <w:rsid w:val="001A6F61"/>
    <w:rsid w:val="001B72B8"/>
    <w:rsid w:val="001C69B3"/>
    <w:rsid w:val="001C7EE1"/>
    <w:rsid w:val="001D5595"/>
    <w:rsid w:val="001D7874"/>
    <w:rsid w:val="001D7F22"/>
    <w:rsid w:val="001F0F17"/>
    <w:rsid w:val="001F3347"/>
    <w:rsid w:val="001F69E4"/>
    <w:rsid w:val="001F74AE"/>
    <w:rsid w:val="002125B4"/>
    <w:rsid w:val="002155B8"/>
    <w:rsid w:val="00224839"/>
    <w:rsid w:val="002249B2"/>
    <w:rsid w:val="00226574"/>
    <w:rsid w:val="002278EC"/>
    <w:rsid w:val="0023280E"/>
    <w:rsid w:val="002377D1"/>
    <w:rsid w:val="0024175B"/>
    <w:rsid w:val="002506BC"/>
    <w:rsid w:val="00254345"/>
    <w:rsid w:val="00264557"/>
    <w:rsid w:val="00275E47"/>
    <w:rsid w:val="002805AB"/>
    <w:rsid w:val="00284204"/>
    <w:rsid w:val="00291773"/>
    <w:rsid w:val="00295B93"/>
    <w:rsid w:val="002A168C"/>
    <w:rsid w:val="002A3DC7"/>
    <w:rsid w:val="002B49E2"/>
    <w:rsid w:val="002B7B00"/>
    <w:rsid w:val="002B7C44"/>
    <w:rsid w:val="002C2B17"/>
    <w:rsid w:val="002D3DD0"/>
    <w:rsid w:val="002E1F3A"/>
    <w:rsid w:val="002E298A"/>
    <w:rsid w:val="00301978"/>
    <w:rsid w:val="0030332C"/>
    <w:rsid w:val="003051C2"/>
    <w:rsid w:val="00311273"/>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9669B"/>
    <w:rsid w:val="003A4BF3"/>
    <w:rsid w:val="003B420D"/>
    <w:rsid w:val="003B4506"/>
    <w:rsid w:val="003B6144"/>
    <w:rsid w:val="003C6C16"/>
    <w:rsid w:val="003D27EC"/>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4545B"/>
    <w:rsid w:val="00452738"/>
    <w:rsid w:val="00456091"/>
    <w:rsid w:val="00466321"/>
    <w:rsid w:val="004702E8"/>
    <w:rsid w:val="00484B9B"/>
    <w:rsid w:val="004855F6"/>
    <w:rsid w:val="0048661E"/>
    <w:rsid w:val="00494670"/>
    <w:rsid w:val="004A3823"/>
    <w:rsid w:val="004A42D1"/>
    <w:rsid w:val="004E6946"/>
    <w:rsid w:val="004F1AD8"/>
    <w:rsid w:val="005039CB"/>
    <w:rsid w:val="0050558F"/>
    <w:rsid w:val="00506286"/>
    <w:rsid w:val="00510813"/>
    <w:rsid w:val="005116D1"/>
    <w:rsid w:val="00511990"/>
    <w:rsid w:val="00511DE0"/>
    <w:rsid w:val="00514870"/>
    <w:rsid w:val="00514B9B"/>
    <w:rsid w:val="00517F02"/>
    <w:rsid w:val="00524303"/>
    <w:rsid w:val="005258A2"/>
    <w:rsid w:val="00525CC0"/>
    <w:rsid w:val="00534AC2"/>
    <w:rsid w:val="005401AE"/>
    <w:rsid w:val="00542E07"/>
    <w:rsid w:val="00545424"/>
    <w:rsid w:val="00554A7B"/>
    <w:rsid w:val="0055572C"/>
    <w:rsid w:val="00556F5A"/>
    <w:rsid w:val="0056106A"/>
    <w:rsid w:val="005720AE"/>
    <w:rsid w:val="00591495"/>
    <w:rsid w:val="00594D77"/>
    <w:rsid w:val="005969E4"/>
    <w:rsid w:val="005A06B7"/>
    <w:rsid w:val="005A1759"/>
    <w:rsid w:val="005A68A7"/>
    <w:rsid w:val="005C1488"/>
    <w:rsid w:val="005C766C"/>
    <w:rsid w:val="005D1A99"/>
    <w:rsid w:val="005D36AB"/>
    <w:rsid w:val="005E4FE4"/>
    <w:rsid w:val="005F5425"/>
    <w:rsid w:val="006024EF"/>
    <w:rsid w:val="00603EE0"/>
    <w:rsid w:val="00617CC3"/>
    <w:rsid w:val="006377A6"/>
    <w:rsid w:val="00637A3D"/>
    <w:rsid w:val="006411EF"/>
    <w:rsid w:val="0064667A"/>
    <w:rsid w:val="006748B8"/>
    <w:rsid w:val="006775C3"/>
    <w:rsid w:val="0069290A"/>
    <w:rsid w:val="0069775A"/>
    <w:rsid w:val="00697813"/>
    <w:rsid w:val="006A3EE8"/>
    <w:rsid w:val="006A72BF"/>
    <w:rsid w:val="006A7997"/>
    <w:rsid w:val="006B03F2"/>
    <w:rsid w:val="006B0764"/>
    <w:rsid w:val="006B1F96"/>
    <w:rsid w:val="006B37DC"/>
    <w:rsid w:val="006B4F68"/>
    <w:rsid w:val="006C0592"/>
    <w:rsid w:val="006C272E"/>
    <w:rsid w:val="006C4DE0"/>
    <w:rsid w:val="006C5479"/>
    <w:rsid w:val="006D13B5"/>
    <w:rsid w:val="006E12FF"/>
    <w:rsid w:val="006E607E"/>
    <w:rsid w:val="006F693F"/>
    <w:rsid w:val="00706C5D"/>
    <w:rsid w:val="00721EB3"/>
    <w:rsid w:val="00723E56"/>
    <w:rsid w:val="00732922"/>
    <w:rsid w:val="0073773C"/>
    <w:rsid w:val="0075162E"/>
    <w:rsid w:val="00754034"/>
    <w:rsid w:val="00756556"/>
    <w:rsid w:val="007618C4"/>
    <w:rsid w:val="00767980"/>
    <w:rsid w:val="00770B19"/>
    <w:rsid w:val="00770CF8"/>
    <w:rsid w:val="0077463F"/>
    <w:rsid w:val="007836EA"/>
    <w:rsid w:val="00784CDA"/>
    <w:rsid w:val="007906C4"/>
    <w:rsid w:val="007940EA"/>
    <w:rsid w:val="007967E8"/>
    <w:rsid w:val="007A03FC"/>
    <w:rsid w:val="007A2170"/>
    <w:rsid w:val="007A22BF"/>
    <w:rsid w:val="007A3323"/>
    <w:rsid w:val="007B499F"/>
    <w:rsid w:val="007B72B8"/>
    <w:rsid w:val="007B7A58"/>
    <w:rsid w:val="007C21B5"/>
    <w:rsid w:val="007C558D"/>
    <w:rsid w:val="007E4BD2"/>
    <w:rsid w:val="007E6A93"/>
    <w:rsid w:val="007F14A0"/>
    <w:rsid w:val="00801393"/>
    <w:rsid w:val="00802F88"/>
    <w:rsid w:val="0081293E"/>
    <w:rsid w:val="00815465"/>
    <w:rsid w:val="00817E9A"/>
    <w:rsid w:val="008306BD"/>
    <w:rsid w:val="00831A80"/>
    <w:rsid w:val="00833743"/>
    <w:rsid w:val="008340A4"/>
    <w:rsid w:val="00856760"/>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03883"/>
    <w:rsid w:val="0091736D"/>
    <w:rsid w:val="00922B68"/>
    <w:rsid w:val="0093037A"/>
    <w:rsid w:val="0093107D"/>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A4731"/>
    <w:rsid w:val="009B0897"/>
    <w:rsid w:val="009B7BD9"/>
    <w:rsid w:val="009C1C68"/>
    <w:rsid w:val="009C7DD5"/>
    <w:rsid w:val="009E227D"/>
    <w:rsid w:val="009E5019"/>
    <w:rsid w:val="00A0318D"/>
    <w:rsid w:val="00A04F1B"/>
    <w:rsid w:val="00A0501B"/>
    <w:rsid w:val="00A106D2"/>
    <w:rsid w:val="00A14947"/>
    <w:rsid w:val="00A32A83"/>
    <w:rsid w:val="00A368DB"/>
    <w:rsid w:val="00A3751A"/>
    <w:rsid w:val="00A423AA"/>
    <w:rsid w:val="00A464C2"/>
    <w:rsid w:val="00A53EC6"/>
    <w:rsid w:val="00A54E2D"/>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1013"/>
    <w:rsid w:val="00B22C5C"/>
    <w:rsid w:val="00B24F30"/>
    <w:rsid w:val="00B31ABF"/>
    <w:rsid w:val="00B31EF3"/>
    <w:rsid w:val="00B33BE3"/>
    <w:rsid w:val="00B40E82"/>
    <w:rsid w:val="00B53B5D"/>
    <w:rsid w:val="00B6055E"/>
    <w:rsid w:val="00B6317D"/>
    <w:rsid w:val="00B7629B"/>
    <w:rsid w:val="00B7723F"/>
    <w:rsid w:val="00B80534"/>
    <w:rsid w:val="00B8433C"/>
    <w:rsid w:val="00B87491"/>
    <w:rsid w:val="00BA29E9"/>
    <w:rsid w:val="00BA41BC"/>
    <w:rsid w:val="00BA7142"/>
    <w:rsid w:val="00BB237C"/>
    <w:rsid w:val="00BB41A3"/>
    <w:rsid w:val="00BC32DC"/>
    <w:rsid w:val="00BC35B6"/>
    <w:rsid w:val="00BC757B"/>
    <w:rsid w:val="00BD1B51"/>
    <w:rsid w:val="00BD4596"/>
    <w:rsid w:val="00BE1405"/>
    <w:rsid w:val="00BE312D"/>
    <w:rsid w:val="00BE61AD"/>
    <w:rsid w:val="00BF1C20"/>
    <w:rsid w:val="00C06752"/>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77148"/>
    <w:rsid w:val="00C80057"/>
    <w:rsid w:val="00C82232"/>
    <w:rsid w:val="00C82913"/>
    <w:rsid w:val="00C972B1"/>
    <w:rsid w:val="00C97C98"/>
    <w:rsid w:val="00CA2CCE"/>
    <w:rsid w:val="00CA43FD"/>
    <w:rsid w:val="00CA7EF8"/>
    <w:rsid w:val="00CC0E0D"/>
    <w:rsid w:val="00CC489B"/>
    <w:rsid w:val="00CD2BCD"/>
    <w:rsid w:val="00CD3A4C"/>
    <w:rsid w:val="00CE10E9"/>
    <w:rsid w:val="00CE2910"/>
    <w:rsid w:val="00CE5393"/>
    <w:rsid w:val="00CF36BE"/>
    <w:rsid w:val="00CF6000"/>
    <w:rsid w:val="00D003F3"/>
    <w:rsid w:val="00D01DD8"/>
    <w:rsid w:val="00D0364F"/>
    <w:rsid w:val="00D06834"/>
    <w:rsid w:val="00D308ED"/>
    <w:rsid w:val="00D36D86"/>
    <w:rsid w:val="00D428AA"/>
    <w:rsid w:val="00D50A34"/>
    <w:rsid w:val="00D52EFF"/>
    <w:rsid w:val="00D53EFA"/>
    <w:rsid w:val="00D70E5D"/>
    <w:rsid w:val="00D80151"/>
    <w:rsid w:val="00D94A7C"/>
    <w:rsid w:val="00D95896"/>
    <w:rsid w:val="00DB2983"/>
    <w:rsid w:val="00DB4A99"/>
    <w:rsid w:val="00DC1257"/>
    <w:rsid w:val="00DC3DC0"/>
    <w:rsid w:val="00DC5B2B"/>
    <w:rsid w:val="00DD2EEE"/>
    <w:rsid w:val="00DD318D"/>
    <w:rsid w:val="00DF248E"/>
    <w:rsid w:val="00DF2E12"/>
    <w:rsid w:val="00DF514A"/>
    <w:rsid w:val="00DF6167"/>
    <w:rsid w:val="00DF6690"/>
    <w:rsid w:val="00DF6804"/>
    <w:rsid w:val="00E0358D"/>
    <w:rsid w:val="00E04323"/>
    <w:rsid w:val="00E06B5C"/>
    <w:rsid w:val="00E070A2"/>
    <w:rsid w:val="00E13545"/>
    <w:rsid w:val="00E21445"/>
    <w:rsid w:val="00E2656A"/>
    <w:rsid w:val="00E27026"/>
    <w:rsid w:val="00E412D0"/>
    <w:rsid w:val="00E51A65"/>
    <w:rsid w:val="00E56322"/>
    <w:rsid w:val="00E60982"/>
    <w:rsid w:val="00E62C62"/>
    <w:rsid w:val="00E654C1"/>
    <w:rsid w:val="00E65D97"/>
    <w:rsid w:val="00E72A5A"/>
    <w:rsid w:val="00E73354"/>
    <w:rsid w:val="00E9242D"/>
    <w:rsid w:val="00E96778"/>
    <w:rsid w:val="00EA7BC2"/>
    <w:rsid w:val="00EB5255"/>
    <w:rsid w:val="00EB5C47"/>
    <w:rsid w:val="00ED0639"/>
    <w:rsid w:val="00EF4755"/>
    <w:rsid w:val="00EF7135"/>
    <w:rsid w:val="00F027DB"/>
    <w:rsid w:val="00F1210E"/>
    <w:rsid w:val="00F14A7A"/>
    <w:rsid w:val="00F214FD"/>
    <w:rsid w:val="00F22985"/>
    <w:rsid w:val="00F3383E"/>
    <w:rsid w:val="00F34977"/>
    <w:rsid w:val="00F465A7"/>
    <w:rsid w:val="00F50B7C"/>
    <w:rsid w:val="00F51CA3"/>
    <w:rsid w:val="00F550E6"/>
    <w:rsid w:val="00F74345"/>
    <w:rsid w:val="00F80A0A"/>
    <w:rsid w:val="00F82B19"/>
    <w:rsid w:val="00F841DB"/>
    <w:rsid w:val="00F9212D"/>
    <w:rsid w:val="00F9528B"/>
    <w:rsid w:val="00F965DA"/>
    <w:rsid w:val="00FA406A"/>
    <w:rsid w:val="00FB503A"/>
    <w:rsid w:val="00FB516C"/>
    <w:rsid w:val="00FD0236"/>
    <w:rsid w:val="00FD18F4"/>
    <w:rsid w:val="00FD54DB"/>
    <w:rsid w:val="00FD619F"/>
    <w:rsid w:val="00FE2B38"/>
    <w:rsid w:val="0119296B"/>
    <w:rsid w:val="01290F7E"/>
    <w:rsid w:val="015D1E09"/>
    <w:rsid w:val="01A9163A"/>
    <w:rsid w:val="01FC1626"/>
    <w:rsid w:val="02276676"/>
    <w:rsid w:val="024B2854"/>
    <w:rsid w:val="02697903"/>
    <w:rsid w:val="02F96569"/>
    <w:rsid w:val="033736DF"/>
    <w:rsid w:val="033755DF"/>
    <w:rsid w:val="03653EFA"/>
    <w:rsid w:val="03841967"/>
    <w:rsid w:val="03A37C43"/>
    <w:rsid w:val="03BD0D5F"/>
    <w:rsid w:val="03CC5D27"/>
    <w:rsid w:val="03EA7B21"/>
    <w:rsid w:val="040E159B"/>
    <w:rsid w:val="04105366"/>
    <w:rsid w:val="042970AD"/>
    <w:rsid w:val="049847DA"/>
    <w:rsid w:val="04C823CF"/>
    <w:rsid w:val="04CB1786"/>
    <w:rsid w:val="04CB5188"/>
    <w:rsid w:val="050E5684"/>
    <w:rsid w:val="055E6E53"/>
    <w:rsid w:val="05F83EAE"/>
    <w:rsid w:val="0635783C"/>
    <w:rsid w:val="063E7D85"/>
    <w:rsid w:val="06840B3B"/>
    <w:rsid w:val="068A3C77"/>
    <w:rsid w:val="068C5B90"/>
    <w:rsid w:val="068D4F01"/>
    <w:rsid w:val="06C56416"/>
    <w:rsid w:val="06FA704F"/>
    <w:rsid w:val="070A5E89"/>
    <w:rsid w:val="07293586"/>
    <w:rsid w:val="07295285"/>
    <w:rsid w:val="07636392"/>
    <w:rsid w:val="07770C56"/>
    <w:rsid w:val="07877CC2"/>
    <w:rsid w:val="07BD2948"/>
    <w:rsid w:val="07F4584C"/>
    <w:rsid w:val="080850DD"/>
    <w:rsid w:val="08950960"/>
    <w:rsid w:val="089C683F"/>
    <w:rsid w:val="089F1C5C"/>
    <w:rsid w:val="08B52703"/>
    <w:rsid w:val="090F1D48"/>
    <w:rsid w:val="09164338"/>
    <w:rsid w:val="092217DD"/>
    <w:rsid w:val="09285930"/>
    <w:rsid w:val="09324CD7"/>
    <w:rsid w:val="093A7294"/>
    <w:rsid w:val="097D01A7"/>
    <w:rsid w:val="098F42D8"/>
    <w:rsid w:val="099217C1"/>
    <w:rsid w:val="09A06502"/>
    <w:rsid w:val="09A92667"/>
    <w:rsid w:val="09E827C7"/>
    <w:rsid w:val="0A025CA5"/>
    <w:rsid w:val="0A0A7265"/>
    <w:rsid w:val="0A196829"/>
    <w:rsid w:val="0A263993"/>
    <w:rsid w:val="0A287561"/>
    <w:rsid w:val="0A2D3AC2"/>
    <w:rsid w:val="0A36647A"/>
    <w:rsid w:val="0AA755DF"/>
    <w:rsid w:val="0AAA5EF5"/>
    <w:rsid w:val="0AC72C7D"/>
    <w:rsid w:val="0B120D44"/>
    <w:rsid w:val="0B136931"/>
    <w:rsid w:val="0B6E4E47"/>
    <w:rsid w:val="0B8D2240"/>
    <w:rsid w:val="0BD27BF6"/>
    <w:rsid w:val="0BED7DCE"/>
    <w:rsid w:val="0BF8545A"/>
    <w:rsid w:val="0C120A17"/>
    <w:rsid w:val="0C3B3C7D"/>
    <w:rsid w:val="0C684A5B"/>
    <w:rsid w:val="0C6855C4"/>
    <w:rsid w:val="0CA47EC2"/>
    <w:rsid w:val="0CA556B6"/>
    <w:rsid w:val="0CAB2EAE"/>
    <w:rsid w:val="0CC12F37"/>
    <w:rsid w:val="0CE91F70"/>
    <w:rsid w:val="0D621C7D"/>
    <w:rsid w:val="0DAA48A3"/>
    <w:rsid w:val="0DB066B9"/>
    <w:rsid w:val="0DB7077E"/>
    <w:rsid w:val="0DC45E43"/>
    <w:rsid w:val="0DCF4E9C"/>
    <w:rsid w:val="0E4C0C6E"/>
    <w:rsid w:val="0E73034D"/>
    <w:rsid w:val="0E8042DE"/>
    <w:rsid w:val="0F13775A"/>
    <w:rsid w:val="0F5F45FE"/>
    <w:rsid w:val="0F9A112B"/>
    <w:rsid w:val="0FA17FBA"/>
    <w:rsid w:val="0FD04DF1"/>
    <w:rsid w:val="0FD317FE"/>
    <w:rsid w:val="10132AFA"/>
    <w:rsid w:val="102B59C5"/>
    <w:rsid w:val="106D2F64"/>
    <w:rsid w:val="108C1FF4"/>
    <w:rsid w:val="108F6A5A"/>
    <w:rsid w:val="109220A6"/>
    <w:rsid w:val="10B63710"/>
    <w:rsid w:val="10CB23D7"/>
    <w:rsid w:val="10E845DF"/>
    <w:rsid w:val="10F10820"/>
    <w:rsid w:val="10F511DC"/>
    <w:rsid w:val="11162CD7"/>
    <w:rsid w:val="111C2F7A"/>
    <w:rsid w:val="11665CA1"/>
    <w:rsid w:val="119A7465"/>
    <w:rsid w:val="11B92F5C"/>
    <w:rsid w:val="11E34FF9"/>
    <w:rsid w:val="11E365EE"/>
    <w:rsid w:val="11E875E3"/>
    <w:rsid w:val="12A75C9C"/>
    <w:rsid w:val="12A91703"/>
    <w:rsid w:val="13546AB2"/>
    <w:rsid w:val="13727293"/>
    <w:rsid w:val="137B615B"/>
    <w:rsid w:val="137C238B"/>
    <w:rsid w:val="13951726"/>
    <w:rsid w:val="139D323C"/>
    <w:rsid w:val="14396509"/>
    <w:rsid w:val="14DD2C3C"/>
    <w:rsid w:val="14F154D4"/>
    <w:rsid w:val="14FE5F5C"/>
    <w:rsid w:val="151D2310"/>
    <w:rsid w:val="15286307"/>
    <w:rsid w:val="154C6CC8"/>
    <w:rsid w:val="159E0BDA"/>
    <w:rsid w:val="15AE0207"/>
    <w:rsid w:val="15C42D02"/>
    <w:rsid w:val="15DF4B06"/>
    <w:rsid w:val="15E839EB"/>
    <w:rsid w:val="16087E1D"/>
    <w:rsid w:val="167A15C4"/>
    <w:rsid w:val="16EC00DB"/>
    <w:rsid w:val="17057A40"/>
    <w:rsid w:val="1767603B"/>
    <w:rsid w:val="17701D14"/>
    <w:rsid w:val="17735226"/>
    <w:rsid w:val="177472A2"/>
    <w:rsid w:val="177E1CC3"/>
    <w:rsid w:val="1783099B"/>
    <w:rsid w:val="17EB0B49"/>
    <w:rsid w:val="17EE7392"/>
    <w:rsid w:val="18253800"/>
    <w:rsid w:val="18475747"/>
    <w:rsid w:val="187B0828"/>
    <w:rsid w:val="189F1804"/>
    <w:rsid w:val="189F624C"/>
    <w:rsid w:val="18BD4A18"/>
    <w:rsid w:val="18C1177B"/>
    <w:rsid w:val="18C51812"/>
    <w:rsid w:val="18D47700"/>
    <w:rsid w:val="18D64810"/>
    <w:rsid w:val="18E5190D"/>
    <w:rsid w:val="190D676E"/>
    <w:rsid w:val="19C83984"/>
    <w:rsid w:val="1A1C66C0"/>
    <w:rsid w:val="1A211326"/>
    <w:rsid w:val="1A237777"/>
    <w:rsid w:val="1A2B29B4"/>
    <w:rsid w:val="1A42393B"/>
    <w:rsid w:val="1A4C2127"/>
    <w:rsid w:val="1AAD45DE"/>
    <w:rsid w:val="1AC62D5A"/>
    <w:rsid w:val="1AC836A8"/>
    <w:rsid w:val="1AF03FD1"/>
    <w:rsid w:val="1B046F80"/>
    <w:rsid w:val="1B1464DA"/>
    <w:rsid w:val="1B1A2078"/>
    <w:rsid w:val="1B3267B5"/>
    <w:rsid w:val="1B40161D"/>
    <w:rsid w:val="1B441859"/>
    <w:rsid w:val="1B4D5548"/>
    <w:rsid w:val="1B6606B1"/>
    <w:rsid w:val="1B970C42"/>
    <w:rsid w:val="1BBF47A4"/>
    <w:rsid w:val="1BC53E08"/>
    <w:rsid w:val="1C1F471A"/>
    <w:rsid w:val="1C2D301B"/>
    <w:rsid w:val="1C301DCD"/>
    <w:rsid w:val="1C457700"/>
    <w:rsid w:val="1C5E7925"/>
    <w:rsid w:val="1C634B06"/>
    <w:rsid w:val="1CF10155"/>
    <w:rsid w:val="1CFD070F"/>
    <w:rsid w:val="1D5F6196"/>
    <w:rsid w:val="1D6132A5"/>
    <w:rsid w:val="1D8E56D5"/>
    <w:rsid w:val="1D9B0682"/>
    <w:rsid w:val="1DB8525A"/>
    <w:rsid w:val="1DC86211"/>
    <w:rsid w:val="1E3866E4"/>
    <w:rsid w:val="1E6B7104"/>
    <w:rsid w:val="1E7A43DA"/>
    <w:rsid w:val="1E875D27"/>
    <w:rsid w:val="1E9A4F48"/>
    <w:rsid w:val="1F026DF9"/>
    <w:rsid w:val="1F494278"/>
    <w:rsid w:val="1FDC50EC"/>
    <w:rsid w:val="1FE7539E"/>
    <w:rsid w:val="200E42C1"/>
    <w:rsid w:val="203723AC"/>
    <w:rsid w:val="20671BE0"/>
    <w:rsid w:val="206F3728"/>
    <w:rsid w:val="20963CB8"/>
    <w:rsid w:val="20A81A1B"/>
    <w:rsid w:val="20B07FB6"/>
    <w:rsid w:val="20B646FB"/>
    <w:rsid w:val="20CF07D3"/>
    <w:rsid w:val="20E35A53"/>
    <w:rsid w:val="20F8437B"/>
    <w:rsid w:val="20FA1934"/>
    <w:rsid w:val="21247AE2"/>
    <w:rsid w:val="21360402"/>
    <w:rsid w:val="213B74B1"/>
    <w:rsid w:val="215A2310"/>
    <w:rsid w:val="21937A2C"/>
    <w:rsid w:val="219A700D"/>
    <w:rsid w:val="21B576CD"/>
    <w:rsid w:val="21D32AAC"/>
    <w:rsid w:val="21DE318A"/>
    <w:rsid w:val="21EF5B80"/>
    <w:rsid w:val="22576990"/>
    <w:rsid w:val="22CC58EC"/>
    <w:rsid w:val="22F47480"/>
    <w:rsid w:val="22FE0CB7"/>
    <w:rsid w:val="23272B22"/>
    <w:rsid w:val="23421041"/>
    <w:rsid w:val="236D4BFD"/>
    <w:rsid w:val="23773C65"/>
    <w:rsid w:val="238E29F9"/>
    <w:rsid w:val="23BD75E3"/>
    <w:rsid w:val="23DE1C48"/>
    <w:rsid w:val="240210CD"/>
    <w:rsid w:val="24175946"/>
    <w:rsid w:val="2459255A"/>
    <w:rsid w:val="24681644"/>
    <w:rsid w:val="246F1328"/>
    <w:rsid w:val="24AF5F78"/>
    <w:rsid w:val="24BF09F7"/>
    <w:rsid w:val="24F03FA3"/>
    <w:rsid w:val="250C0222"/>
    <w:rsid w:val="252D53FE"/>
    <w:rsid w:val="254540AE"/>
    <w:rsid w:val="25992E48"/>
    <w:rsid w:val="25A008AE"/>
    <w:rsid w:val="25B3617C"/>
    <w:rsid w:val="25C374EB"/>
    <w:rsid w:val="25DC4098"/>
    <w:rsid w:val="25EC2D81"/>
    <w:rsid w:val="266E4243"/>
    <w:rsid w:val="26890459"/>
    <w:rsid w:val="26915605"/>
    <w:rsid w:val="27382255"/>
    <w:rsid w:val="276B7ED3"/>
    <w:rsid w:val="277057A2"/>
    <w:rsid w:val="278E5B9B"/>
    <w:rsid w:val="27C13AAE"/>
    <w:rsid w:val="27DC3045"/>
    <w:rsid w:val="2820517A"/>
    <w:rsid w:val="28354635"/>
    <w:rsid w:val="28377363"/>
    <w:rsid w:val="285D51E7"/>
    <w:rsid w:val="289E3886"/>
    <w:rsid w:val="28B9421C"/>
    <w:rsid w:val="291071D2"/>
    <w:rsid w:val="29206EB8"/>
    <w:rsid w:val="2924647B"/>
    <w:rsid w:val="29595666"/>
    <w:rsid w:val="296001AC"/>
    <w:rsid w:val="29874881"/>
    <w:rsid w:val="29E325E0"/>
    <w:rsid w:val="2A13795C"/>
    <w:rsid w:val="2A452503"/>
    <w:rsid w:val="2A552F76"/>
    <w:rsid w:val="2A634264"/>
    <w:rsid w:val="2A6D5FA1"/>
    <w:rsid w:val="2A7F5A8E"/>
    <w:rsid w:val="2AA0746E"/>
    <w:rsid w:val="2AA1088F"/>
    <w:rsid w:val="2ACF5F79"/>
    <w:rsid w:val="2ADD13DD"/>
    <w:rsid w:val="2AFC1C0D"/>
    <w:rsid w:val="2B0E138B"/>
    <w:rsid w:val="2B147638"/>
    <w:rsid w:val="2B411D5C"/>
    <w:rsid w:val="2B731BF1"/>
    <w:rsid w:val="2BA936A8"/>
    <w:rsid w:val="2BD902A0"/>
    <w:rsid w:val="2BDC2840"/>
    <w:rsid w:val="2C176286"/>
    <w:rsid w:val="2C315A5A"/>
    <w:rsid w:val="2C4B1C25"/>
    <w:rsid w:val="2C982061"/>
    <w:rsid w:val="2CC8106E"/>
    <w:rsid w:val="2CED7078"/>
    <w:rsid w:val="2D047A30"/>
    <w:rsid w:val="2D095060"/>
    <w:rsid w:val="2D1D4AD7"/>
    <w:rsid w:val="2D9E56F5"/>
    <w:rsid w:val="2DC12CD3"/>
    <w:rsid w:val="2DDB4C35"/>
    <w:rsid w:val="2DF23621"/>
    <w:rsid w:val="2DFB52D7"/>
    <w:rsid w:val="2E6000D2"/>
    <w:rsid w:val="2E667F96"/>
    <w:rsid w:val="2E8014A2"/>
    <w:rsid w:val="2E820A44"/>
    <w:rsid w:val="2E8226AB"/>
    <w:rsid w:val="2EF46CF7"/>
    <w:rsid w:val="2F126434"/>
    <w:rsid w:val="2F186987"/>
    <w:rsid w:val="2F7B0497"/>
    <w:rsid w:val="2FAF5A5F"/>
    <w:rsid w:val="2FD065E6"/>
    <w:rsid w:val="2FD96870"/>
    <w:rsid w:val="2FF057E4"/>
    <w:rsid w:val="30484879"/>
    <w:rsid w:val="30580BC9"/>
    <w:rsid w:val="30A3175D"/>
    <w:rsid w:val="30BD4AC6"/>
    <w:rsid w:val="30EC48CC"/>
    <w:rsid w:val="31052597"/>
    <w:rsid w:val="311E2ED7"/>
    <w:rsid w:val="315619EE"/>
    <w:rsid w:val="315C449C"/>
    <w:rsid w:val="317D3233"/>
    <w:rsid w:val="31B82709"/>
    <w:rsid w:val="31D05482"/>
    <w:rsid w:val="31D125D7"/>
    <w:rsid w:val="321C1491"/>
    <w:rsid w:val="322E0745"/>
    <w:rsid w:val="32400B34"/>
    <w:rsid w:val="329E6876"/>
    <w:rsid w:val="32D0439B"/>
    <w:rsid w:val="32D360DD"/>
    <w:rsid w:val="332B250F"/>
    <w:rsid w:val="333015F2"/>
    <w:rsid w:val="334B6320"/>
    <w:rsid w:val="33584C40"/>
    <w:rsid w:val="33913A98"/>
    <w:rsid w:val="33CB74FA"/>
    <w:rsid w:val="33D0469D"/>
    <w:rsid w:val="33D934D4"/>
    <w:rsid w:val="33E902D9"/>
    <w:rsid w:val="33ED0879"/>
    <w:rsid w:val="33FE2F6A"/>
    <w:rsid w:val="340E07E5"/>
    <w:rsid w:val="34235BF7"/>
    <w:rsid w:val="345506CB"/>
    <w:rsid w:val="346C504B"/>
    <w:rsid w:val="34873421"/>
    <w:rsid w:val="34C21CDE"/>
    <w:rsid w:val="34CE0251"/>
    <w:rsid w:val="35245113"/>
    <w:rsid w:val="35357321"/>
    <w:rsid w:val="358C5FA8"/>
    <w:rsid w:val="35C15DF1"/>
    <w:rsid w:val="35FC11A8"/>
    <w:rsid w:val="3603417E"/>
    <w:rsid w:val="36074A7F"/>
    <w:rsid w:val="3614429B"/>
    <w:rsid w:val="36405A22"/>
    <w:rsid w:val="365335C8"/>
    <w:rsid w:val="366D26F8"/>
    <w:rsid w:val="36923549"/>
    <w:rsid w:val="36B75FBF"/>
    <w:rsid w:val="36BD0C45"/>
    <w:rsid w:val="36E16240"/>
    <w:rsid w:val="370E607B"/>
    <w:rsid w:val="372D5A13"/>
    <w:rsid w:val="37460F25"/>
    <w:rsid w:val="37915057"/>
    <w:rsid w:val="379F6194"/>
    <w:rsid w:val="37E00298"/>
    <w:rsid w:val="38B302F9"/>
    <w:rsid w:val="38B82A9F"/>
    <w:rsid w:val="38DE55D9"/>
    <w:rsid w:val="38F12CD3"/>
    <w:rsid w:val="38F94775"/>
    <w:rsid w:val="392971ED"/>
    <w:rsid w:val="39325651"/>
    <w:rsid w:val="398A24B9"/>
    <w:rsid w:val="39DF0651"/>
    <w:rsid w:val="3A1B6623"/>
    <w:rsid w:val="3A564669"/>
    <w:rsid w:val="3A872856"/>
    <w:rsid w:val="3A8859CC"/>
    <w:rsid w:val="3A900B55"/>
    <w:rsid w:val="3A990813"/>
    <w:rsid w:val="3AB24FEF"/>
    <w:rsid w:val="3ACF0A99"/>
    <w:rsid w:val="3B131EB2"/>
    <w:rsid w:val="3B1D7706"/>
    <w:rsid w:val="3B3763D1"/>
    <w:rsid w:val="3B45617E"/>
    <w:rsid w:val="3B806925"/>
    <w:rsid w:val="3B844B5E"/>
    <w:rsid w:val="3BE93313"/>
    <w:rsid w:val="3C2F6E1E"/>
    <w:rsid w:val="3C4F64BA"/>
    <w:rsid w:val="3C5740FF"/>
    <w:rsid w:val="3C88242C"/>
    <w:rsid w:val="3C8E1E67"/>
    <w:rsid w:val="3C955489"/>
    <w:rsid w:val="3C9D73A3"/>
    <w:rsid w:val="3CDA245A"/>
    <w:rsid w:val="3CE5162C"/>
    <w:rsid w:val="3CEC7FA6"/>
    <w:rsid w:val="3CF4501B"/>
    <w:rsid w:val="3D1E06B7"/>
    <w:rsid w:val="3D2E1CA4"/>
    <w:rsid w:val="3D2F2DFA"/>
    <w:rsid w:val="3D3B749E"/>
    <w:rsid w:val="3DEB767D"/>
    <w:rsid w:val="3DFC0A58"/>
    <w:rsid w:val="3E206A8A"/>
    <w:rsid w:val="3E2C00B1"/>
    <w:rsid w:val="3E2F2764"/>
    <w:rsid w:val="3E3839DE"/>
    <w:rsid w:val="3E56176E"/>
    <w:rsid w:val="3E6A6C47"/>
    <w:rsid w:val="3E9D34E5"/>
    <w:rsid w:val="3EB64A81"/>
    <w:rsid w:val="3EDA0523"/>
    <w:rsid w:val="3EFC7DDF"/>
    <w:rsid w:val="3F8A4A20"/>
    <w:rsid w:val="3F9F2547"/>
    <w:rsid w:val="3FC5231C"/>
    <w:rsid w:val="3FEC0759"/>
    <w:rsid w:val="3FFD6C8D"/>
    <w:rsid w:val="401F3101"/>
    <w:rsid w:val="407A6407"/>
    <w:rsid w:val="409D2C6B"/>
    <w:rsid w:val="40DE7F7D"/>
    <w:rsid w:val="410C4145"/>
    <w:rsid w:val="41494E25"/>
    <w:rsid w:val="41522528"/>
    <w:rsid w:val="419D0727"/>
    <w:rsid w:val="41B9630E"/>
    <w:rsid w:val="41BB5370"/>
    <w:rsid w:val="4200449D"/>
    <w:rsid w:val="423A3BCC"/>
    <w:rsid w:val="424D1532"/>
    <w:rsid w:val="424E57D2"/>
    <w:rsid w:val="42864D18"/>
    <w:rsid w:val="42B26C49"/>
    <w:rsid w:val="42C83582"/>
    <w:rsid w:val="430537D8"/>
    <w:rsid w:val="432361CC"/>
    <w:rsid w:val="432548C6"/>
    <w:rsid w:val="433A6FE6"/>
    <w:rsid w:val="43480868"/>
    <w:rsid w:val="4350713C"/>
    <w:rsid w:val="436653E0"/>
    <w:rsid w:val="43923B90"/>
    <w:rsid w:val="43C4431A"/>
    <w:rsid w:val="43C81360"/>
    <w:rsid w:val="43D321DE"/>
    <w:rsid w:val="44010563"/>
    <w:rsid w:val="443E408D"/>
    <w:rsid w:val="44A825EB"/>
    <w:rsid w:val="44A8366B"/>
    <w:rsid w:val="44B951CC"/>
    <w:rsid w:val="44C63E6A"/>
    <w:rsid w:val="44CD14E0"/>
    <w:rsid w:val="44CE6E4A"/>
    <w:rsid w:val="44DF77C1"/>
    <w:rsid w:val="44F20B0B"/>
    <w:rsid w:val="44F97DE3"/>
    <w:rsid w:val="44FA5486"/>
    <w:rsid w:val="4513485D"/>
    <w:rsid w:val="452E5F4C"/>
    <w:rsid w:val="45482758"/>
    <w:rsid w:val="45587DD7"/>
    <w:rsid w:val="45612018"/>
    <w:rsid w:val="458946E9"/>
    <w:rsid w:val="45967DCC"/>
    <w:rsid w:val="45A47C0E"/>
    <w:rsid w:val="45D670A5"/>
    <w:rsid w:val="45F54F9B"/>
    <w:rsid w:val="46577FD6"/>
    <w:rsid w:val="46704DB6"/>
    <w:rsid w:val="4699539E"/>
    <w:rsid w:val="46D955A7"/>
    <w:rsid w:val="46F17D02"/>
    <w:rsid w:val="46F24D93"/>
    <w:rsid w:val="47133957"/>
    <w:rsid w:val="47332F94"/>
    <w:rsid w:val="47A07E0C"/>
    <w:rsid w:val="483D056E"/>
    <w:rsid w:val="48561B3A"/>
    <w:rsid w:val="48573F36"/>
    <w:rsid w:val="4870272E"/>
    <w:rsid w:val="48AA6D2B"/>
    <w:rsid w:val="49895EB9"/>
    <w:rsid w:val="499C12C5"/>
    <w:rsid w:val="49AC55DF"/>
    <w:rsid w:val="49DC7715"/>
    <w:rsid w:val="4A023139"/>
    <w:rsid w:val="4A4C1F5D"/>
    <w:rsid w:val="4A7B576F"/>
    <w:rsid w:val="4A804742"/>
    <w:rsid w:val="4A9F72BE"/>
    <w:rsid w:val="4AF561A9"/>
    <w:rsid w:val="4AF64329"/>
    <w:rsid w:val="4B335C59"/>
    <w:rsid w:val="4B5A31E5"/>
    <w:rsid w:val="4B6C43E5"/>
    <w:rsid w:val="4B7E0435"/>
    <w:rsid w:val="4BEA27BB"/>
    <w:rsid w:val="4C1C14DB"/>
    <w:rsid w:val="4C4A0649"/>
    <w:rsid w:val="4C7E5ECA"/>
    <w:rsid w:val="4C876AA5"/>
    <w:rsid w:val="4C885B30"/>
    <w:rsid w:val="4C9E7B65"/>
    <w:rsid w:val="4CD945DE"/>
    <w:rsid w:val="4CE52F83"/>
    <w:rsid w:val="4D0E00FB"/>
    <w:rsid w:val="4D176606"/>
    <w:rsid w:val="4D183359"/>
    <w:rsid w:val="4DA66DCC"/>
    <w:rsid w:val="4DAD545A"/>
    <w:rsid w:val="4DEC4FB0"/>
    <w:rsid w:val="4E075D8A"/>
    <w:rsid w:val="4E2678EC"/>
    <w:rsid w:val="4E541570"/>
    <w:rsid w:val="4E594017"/>
    <w:rsid w:val="4EC00FAD"/>
    <w:rsid w:val="4EC31752"/>
    <w:rsid w:val="4ED01089"/>
    <w:rsid w:val="4EE80B08"/>
    <w:rsid w:val="4EF851EF"/>
    <w:rsid w:val="4F056091"/>
    <w:rsid w:val="4F4C1097"/>
    <w:rsid w:val="4F51761F"/>
    <w:rsid w:val="4F6B59C1"/>
    <w:rsid w:val="4F8454DC"/>
    <w:rsid w:val="4F9843DC"/>
    <w:rsid w:val="4FC62A8C"/>
    <w:rsid w:val="4FE20F0D"/>
    <w:rsid w:val="4FE51552"/>
    <w:rsid w:val="50001525"/>
    <w:rsid w:val="500A09EE"/>
    <w:rsid w:val="501D030A"/>
    <w:rsid w:val="50504C4B"/>
    <w:rsid w:val="5079410E"/>
    <w:rsid w:val="509947B0"/>
    <w:rsid w:val="509C6E7C"/>
    <w:rsid w:val="5160075B"/>
    <w:rsid w:val="5162104E"/>
    <w:rsid w:val="516570F2"/>
    <w:rsid w:val="51686460"/>
    <w:rsid w:val="51CE0EA9"/>
    <w:rsid w:val="51EE7BB9"/>
    <w:rsid w:val="520B071F"/>
    <w:rsid w:val="522834F9"/>
    <w:rsid w:val="525468F0"/>
    <w:rsid w:val="52943684"/>
    <w:rsid w:val="52C8226C"/>
    <w:rsid w:val="530745B0"/>
    <w:rsid w:val="530B4E5E"/>
    <w:rsid w:val="53312A7E"/>
    <w:rsid w:val="53663F5C"/>
    <w:rsid w:val="536B5719"/>
    <w:rsid w:val="538F5FFD"/>
    <w:rsid w:val="53982AFD"/>
    <w:rsid w:val="53A039CC"/>
    <w:rsid w:val="53A1505A"/>
    <w:rsid w:val="54063E08"/>
    <w:rsid w:val="541D1254"/>
    <w:rsid w:val="543437E8"/>
    <w:rsid w:val="544E6169"/>
    <w:rsid w:val="545B7AF7"/>
    <w:rsid w:val="54770964"/>
    <w:rsid w:val="549C23E9"/>
    <w:rsid w:val="54DD2E27"/>
    <w:rsid w:val="54F73313"/>
    <w:rsid w:val="54F80955"/>
    <w:rsid w:val="55016E31"/>
    <w:rsid w:val="5536081F"/>
    <w:rsid w:val="554C6CD6"/>
    <w:rsid w:val="555170A7"/>
    <w:rsid w:val="5587536D"/>
    <w:rsid w:val="559B174B"/>
    <w:rsid w:val="55CE0CF4"/>
    <w:rsid w:val="55D032B5"/>
    <w:rsid w:val="55FA044E"/>
    <w:rsid w:val="56165297"/>
    <w:rsid w:val="56281014"/>
    <w:rsid w:val="563A05BA"/>
    <w:rsid w:val="56982E14"/>
    <w:rsid w:val="56B22A9C"/>
    <w:rsid w:val="56B45164"/>
    <w:rsid w:val="56EF0E8C"/>
    <w:rsid w:val="570319E0"/>
    <w:rsid w:val="570F5142"/>
    <w:rsid w:val="57203B86"/>
    <w:rsid w:val="57AE1B0B"/>
    <w:rsid w:val="57B72A76"/>
    <w:rsid w:val="57C3426C"/>
    <w:rsid w:val="57C90FD2"/>
    <w:rsid w:val="57CE1F93"/>
    <w:rsid w:val="57D61E46"/>
    <w:rsid w:val="582157B7"/>
    <w:rsid w:val="588743D1"/>
    <w:rsid w:val="5887701A"/>
    <w:rsid w:val="589D7630"/>
    <w:rsid w:val="58ED7447"/>
    <w:rsid w:val="591660AD"/>
    <w:rsid w:val="594112B9"/>
    <w:rsid w:val="595C45CC"/>
    <w:rsid w:val="59993190"/>
    <w:rsid w:val="59C0439F"/>
    <w:rsid w:val="5A031D5F"/>
    <w:rsid w:val="5A062746"/>
    <w:rsid w:val="5A0F3227"/>
    <w:rsid w:val="5A326230"/>
    <w:rsid w:val="5A783688"/>
    <w:rsid w:val="5A805270"/>
    <w:rsid w:val="5A8B5169"/>
    <w:rsid w:val="5ABE2233"/>
    <w:rsid w:val="5AE21D84"/>
    <w:rsid w:val="5AE76D53"/>
    <w:rsid w:val="5AFA5E4B"/>
    <w:rsid w:val="5B412D09"/>
    <w:rsid w:val="5B9F7B29"/>
    <w:rsid w:val="5BA04C44"/>
    <w:rsid w:val="5BDF5D95"/>
    <w:rsid w:val="5BFE7528"/>
    <w:rsid w:val="5C0B7733"/>
    <w:rsid w:val="5C20300C"/>
    <w:rsid w:val="5C342BD2"/>
    <w:rsid w:val="5C3952AD"/>
    <w:rsid w:val="5C471A1B"/>
    <w:rsid w:val="5C4849EC"/>
    <w:rsid w:val="5C491564"/>
    <w:rsid w:val="5C9347A9"/>
    <w:rsid w:val="5CB91D57"/>
    <w:rsid w:val="5D271D59"/>
    <w:rsid w:val="5D2B283D"/>
    <w:rsid w:val="5D3C6BEF"/>
    <w:rsid w:val="5DCA497F"/>
    <w:rsid w:val="5E2467F1"/>
    <w:rsid w:val="5E293600"/>
    <w:rsid w:val="5E2C03F6"/>
    <w:rsid w:val="5EF91D83"/>
    <w:rsid w:val="5F1A2B43"/>
    <w:rsid w:val="5F5F6BC4"/>
    <w:rsid w:val="5FA56B44"/>
    <w:rsid w:val="5FB837BB"/>
    <w:rsid w:val="60011A2A"/>
    <w:rsid w:val="60BE6E86"/>
    <w:rsid w:val="60CC405A"/>
    <w:rsid w:val="60E12734"/>
    <w:rsid w:val="610208DA"/>
    <w:rsid w:val="614F7892"/>
    <w:rsid w:val="615A7172"/>
    <w:rsid w:val="617D3332"/>
    <w:rsid w:val="618D5FBE"/>
    <w:rsid w:val="61E215D8"/>
    <w:rsid w:val="62007857"/>
    <w:rsid w:val="621B3775"/>
    <w:rsid w:val="62364782"/>
    <w:rsid w:val="62372A64"/>
    <w:rsid w:val="62B22D67"/>
    <w:rsid w:val="63057331"/>
    <w:rsid w:val="63393014"/>
    <w:rsid w:val="63424B1E"/>
    <w:rsid w:val="637C1409"/>
    <w:rsid w:val="638560A9"/>
    <w:rsid w:val="6394356A"/>
    <w:rsid w:val="63C61B2C"/>
    <w:rsid w:val="63C979F5"/>
    <w:rsid w:val="63D40BE9"/>
    <w:rsid w:val="64102431"/>
    <w:rsid w:val="641B24FC"/>
    <w:rsid w:val="641C7888"/>
    <w:rsid w:val="643C66A9"/>
    <w:rsid w:val="64502F80"/>
    <w:rsid w:val="649D19F5"/>
    <w:rsid w:val="64A5243A"/>
    <w:rsid w:val="64C10E6B"/>
    <w:rsid w:val="64C64FF0"/>
    <w:rsid w:val="64F531DE"/>
    <w:rsid w:val="650908CF"/>
    <w:rsid w:val="65373578"/>
    <w:rsid w:val="65536736"/>
    <w:rsid w:val="6558033E"/>
    <w:rsid w:val="66636EA8"/>
    <w:rsid w:val="6695111E"/>
    <w:rsid w:val="66972998"/>
    <w:rsid w:val="671F124A"/>
    <w:rsid w:val="673663FD"/>
    <w:rsid w:val="677A33C6"/>
    <w:rsid w:val="679B16CF"/>
    <w:rsid w:val="679F536D"/>
    <w:rsid w:val="67C042A3"/>
    <w:rsid w:val="67E906E7"/>
    <w:rsid w:val="67F02AB0"/>
    <w:rsid w:val="681F6961"/>
    <w:rsid w:val="68444BA9"/>
    <w:rsid w:val="684E7A21"/>
    <w:rsid w:val="68610A2F"/>
    <w:rsid w:val="68805514"/>
    <w:rsid w:val="688F22C8"/>
    <w:rsid w:val="68B07913"/>
    <w:rsid w:val="68C56511"/>
    <w:rsid w:val="68ED3C64"/>
    <w:rsid w:val="69013676"/>
    <w:rsid w:val="69316E2F"/>
    <w:rsid w:val="694E2071"/>
    <w:rsid w:val="69766163"/>
    <w:rsid w:val="697A3B33"/>
    <w:rsid w:val="69A40F02"/>
    <w:rsid w:val="69D44760"/>
    <w:rsid w:val="69ED4967"/>
    <w:rsid w:val="6A520EC7"/>
    <w:rsid w:val="6A796AF7"/>
    <w:rsid w:val="6A9F658B"/>
    <w:rsid w:val="6AE4490D"/>
    <w:rsid w:val="6AF87E20"/>
    <w:rsid w:val="6B0811B2"/>
    <w:rsid w:val="6B105A10"/>
    <w:rsid w:val="6B166247"/>
    <w:rsid w:val="6B322639"/>
    <w:rsid w:val="6B333027"/>
    <w:rsid w:val="6B555264"/>
    <w:rsid w:val="6B85399E"/>
    <w:rsid w:val="6BF34C1B"/>
    <w:rsid w:val="6C152F0C"/>
    <w:rsid w:val="6C2B62F2"/>
    <w:rsid w:val="6C636C38"/>
    <w:rsid w:val="6C701CF6"/>
    <w:rsid w:val="6C910465"/>
    <w:rsid w:val="6C986C4C"/>
    <w:rsid w:val="6CBD3CBD"/>
    <w:rsid w:val="6CF65ADF"/>
    <w:rsid w:val="6CF804B6"/>
    <w:rsid w:val="6D0C53FF"/>
    <w:rsid w:val="6D49344B"/>
    <w:rsid w:val="6D8E6AA6"/>
    <w:rsid w:val="6DB34098"/>
    <w:rsid w:val="6DB545B6"/>
    <w:rsid w:val="6DD06FC2"/>
    <w:rsid w:val="6DD95D94"/>
    <w:rsid w:val="6DDD3AD6"/>
    <w:rsid w:val="6DE02FB4"/>
    <w:rsid w:val="6E233F9F"/>
    <w:rsid w:val="6E514CED"/>
    <w:rsid w:val="6E647D53"/>
    <w:rsid w:val="6EB563D5"/>
    <w:rsid w:val="6ED206E8"/>
    <w:rsid w:val="6ED92677"/>
    <w:rsid w:val="6EE418AC"/>
    <w:rsid w:val="6EF53A45"/>
    <w:rsid w:val="6EF957F8"/>
    <w:rsid w:val="6EFA2466"/>
    <w:rsid w:val="6F1727E6"/>
    <w:rsid w:val="6F225983"/>
    <w:rsid w:val="6F98277D"/>
    <w:rsid w:val="6F9B62D7"/>
    <w:rsid w:val="6FB1059D"/>
    <w:rsid w:val="6FFC5590"/>
    <w:rsid w:val="706D1DD0"/>
    <w:rsid w:val="70856B87"/>
    <w:rsid w:val="70C14F73"/>
    <w:rsid w:val="70D527EE"/>
    <w:rsid w:val="714B51FB"/>
    <w:rsid w:val="715B5300"/>
    <w:rsid w:val="715C11B6"/>
    <w:rsid w:val="71AF5789"/>
    <w:rsid w:val="71C0472B"/>
    <w:rsid w:val="71D27F8A"/>
    <w:rsid w:val="72004449"/>
    <w:rsid w:val="72553024"/>
    <w:rsid w:val="72B62B48"/>
    <w:rsid w:val="72C96FF5"/>
    <w:rsid w:val="72F035C2"/>
    <w:rsid w:val="72FB1EE2"/>
    <w:rsid w:val="73122968"/>
    <w:rsid w:val="731F5D5E"/>
    <w:rsid w:val="73622AF1"/>
    <w:rsid w:val="739840F2"/>
    <w:rsid w:val="73986B46"/>
    <w:rsid w:val="73C51AD5"/>
    <w:rsid w:val="73C63C48"/>
    <w:rsid w:val="73DE4104"/>
    <w:rsid w:val="73F06BFF"/>
    <w:rsid w:val="73F90F3E"/>
    <w:rsid w:val="7402264F"/>
    <w:rsid w:val="741E793C"/>
    <w:rsid w:val="74495AE1"/>
    <w:rsid w:val="745E3944"/>
    <w:rsid w:val="750202C6"/>
    <w:rsid w:val="750D7E98"/>
    <w:rsid w:val="75200703"/>
    <w:rsid w:val="753405C3"/>
    <w:rsid w:val="75D05CCE"/>
    <w:rsid w:val="7625426C"/>
    <w:rsid w:val="7635099D"/>
    <w:rsid w:val="7635253C"/>
    <w:rsid w:val="765B74CF"/>
    <w:rsid w:val="76F57F2D"/>
    <w:rsid w:val="770562CB"/>
    <w:rsid w:val="771C472D"/>
    <w:rsid w:val="775013A5"/>
    <w:rsid w:val="7758241F"/>
    <w:rsid w:val="77762421"/>
    <w:rsid w:val="779F028E"/>
    <w:rsid w:val="77B56B1F"/>
    <w:rsid w:val="77ED3E16"/>
    <w:rsid w:val="780F09F4"/>
    <w:rsid w:val="782623ED"/>
    <w:rsid w:val="784B5BDE"/>
    <w:rsid w:val="78A90480"/>
    <w:rsid w:val="78D37FAF"/>
    <w:rsid w:val="78F04B2D"/>
    <w:rsid w:val="79083382"/>
    <w:rsid w:val="793D3B77"/>
    <w:rsid w:val="79715FFF"/>
    <w:rsid w:val="79E17114"/>
    <w:rsid w:val="7A124B07"/>
    <w:rsid w:val="7A323A73"/>
    <w:rsid w:val="7A364017"/>
    <w:rsid w:val="7A37456E"/>
    <w:rsid w:val="7A4F5CC0"/>
    <w:rsid w:val="7A6D4434"/>
    <w:rsid w:val="7A8265E1"/>
    <w:rsid w:val="7A9B7B04"/>
    <w:rsid w:val="7AC94B56"/>
    <w:rsid w:val="7B3C159E"/>
    <w:rsid w:val="7B686D42"/>
    <w:rsid w:val="7B841746"/>
    <w:rsid w:val="7C1332B8"/>
    <w:rsid w:val="7C2C0434"/>
    <w:rsid w:val="7C4459AA"/>
    <w:rsid w:val="7C6C5AC7"/>
    <w:rsid w:val="7C6D3696"/>
    <w:rsid w:val="7C933BEE"/>
    <w:rsid w:val="7CB20A6F"/>
    <w:rsid w:val="7CC263C5"/>
    <w:rsid w:val="7CC6544B"/>
    <w:rsid w:val="7CCA701C"/>
    <w:rsid w:val="7CDD764F"/>
    <w:rsid w:val="7CF47335"/>
    <w:rsid w:val="7D0239FF"/>
    <w:rsid w:val="7D5E40CD"/>
    <w:rsid w:val="7D97192B"/>
    <w:rsid w:val="7DCC6C2B"/>
    <w:rsid w:val="7DCD56F2"/>
    <w:rsid w:val="7E5F02AD"/>
    <w:rsid w:val="7EC333CD"/>
    <w:rsid w:val="7EFA0EC1"/>
    <w:rsid w:val="7F001CE7"/>
    <w:rsid w:val="7F182F15"/>
    <w:rsid w:val="7F2C666B"/>
    <w:rsid w:val="7F3B68AE"/>
    <w:rsid w:val="7F74384B"/>
    <w:rsid w:val="7FA313B5"/>
    <w:rsid w:val="7FB43FE7"/>
    <w:rsid w:val="7FE21BAB"/>
    <w:rsid w:val="7FE47E50"/>
    <w:rsid w:val="7FF01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35"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unhideWhenUsed="0" w:uiPriority="0" w:semiHidden="0" w:name="Subtitle" w:locked="1"/>
    <w:lsdException w:unhideWhenUsed="0" w:uiPriority="0" w:semiHidden="0" w:name="Salutation" w:locked="1"/>
    <w:lsdException w:qFormat="1" w:unhideWhenUsed="0" w:uiPriority="0" w:semiHidden="0" w:name="Date"/>
    <w:lsdException w:qFormat="1" w:uiPriority="99"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qFormat="1"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wordWrap w:val="0"/>
      <w:spacing w:line="360" w:lineRule="auto"/>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1"/>
    <w:next w:val="1"/>
    <w:qFormat/>
    <w:locked/>
    <w:uiPriority w:val="0"/>
    <w:pPr>
      <w:keepNext/>
      <w:keepLines/>
      <w:adjustRightInd w:val="0"/>
      <w:snapToGrid w:val="0"/>
      <w:ind w:firstLine="420" w:firstLineChars="200"/>
      <w:jc w:val="left"/>
      <w:outlineLvl w:val="2"/>
    </w:pPr>
    <w:rPr>
      <w:b/>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4">
    <w:name w:val="List 3"/>
    <w:next w:val="1"/>
    <w:qFormat/>
    <w:locked/>
    <w:uiPriority w:val="0"/>
    <w:pPr>
      <w:widowControl w:val="0"/>
      <w:ind w:left="100" w:leftChars="400" w:hanging="200" w:hangingChars="200"/>
      <w:jc w:val="both"/>
    </w:pPr>
    <w:rPr>
      <w:rFonts w:ascii="Calibri" w:hAnsi="Calibri" w:eastAsia="宋体" w:cs="Times New Roman"/>
      <w:kern w:val="2"/>
      <w:sz w:val="21"/>
      <w:szCs w:val="24"/>
      <w:lang w:val="en-US" w:eastAsia="zh-CN" w:bidi="ar-SA"/>
    </w:rPr>
  </w:style>
  <w:style w:type="paragraph" w:styleId="5">
    <w:name w:val="Normal Indent"/>
    <w:basedOn w:val="1"/>
    <w:next w:val="1"/>
    <w:unhideWhenUsed/>
    <w:qFormat/>
    <w:locked/>
    <w:uiPriority w:val="0"/>
    <w:pPr>
      <w:ind w:firstLine="420"/>
    </w:pPr>
  </w:style>
  <w:style w:type="paragraph" w:styleId="6">
    <w:name w:val="annotation text"/>
    <w:basedOn w:val="1"/>
    <w:link w:val="43"/>
    <w:semiHidden/>
    <w:qFormat/>
    <w:uiPriority w:val="0"/>
    <w:pPr>
      <w:jc w:val="left"/>
    </w:pPr>
    <w:rPr>
      <w:kern w:val="0"/>
      <w:szCs w:val="20"/>
    </w:rPr>
  </w:style>
  <w:style w:type="paragraph" w:styleId="7">
    <w:name w:val="Body Text"/>
    <w:basedOn w:val="1"/>
    <w:link w:val="50"/>
    <w:qFormat/>
    <w:uiPriority w:val="0"/>
    <w:pPr>
      <w:widowControl/>
      <w:snapToGrid w:val="0"/>
      <w:spacing w:before="60" w:after="160" w:line="259" w:lineRule="auto"/>
      <w:ind w:right="113"/>
    </w:pPr>
    <w:rPr>
      <w:kern w:val="0"/>
      <w:sz w:val="18"/>
      <w:szCs w:val="20"/>
    </w:rPr>
  </w:style>
  <w:style w:type="paragraph" w:styleId="8">
    <w:name w:val="Body Text Indent"/>
    <w:basedOn w:val="1"/>
    <w:link w:val="51"/>
    <w:qFormat/>
    <w:uiPriority w:val="0"/>
    <w:pPr>
      <w:spacing w:after="120"/>
      <w:ind w:left="420" w:leftChars="200"/>
    </w:pPr>
    <w:rPr>
      <w:kern w:val="0"/>
      <w:szCs w:val="20"/>
    </w:rPr>
  </w:style>
  <w:style w:type="paragraph" w:styleId="9">
    <w:name w:val="Plain Text"/>
    <w:basedOn w:val="1"/>
    <w:next w:val="10"/>
    <w:unhideWhenUsed/>
    <w:qFormat/>
    <w:locked/>
    <w:uiPriority w:val="0"/>
    <w:rPr>
      <w:rFonts w:ascii="宋体" w:hAnsi="Courier New"/>
    </w:rPr>
  </w:style>
  <w:style w:type="paragraph" w:styleId="10">
    <w:name w:val="toc 1"/>
    <w:basedOn w:val="1"/>
    <w:next w:val="1"/>
    <w:qFormat/>
    <w:locked/>
    <w:uiPriority w:val="0"/>
  </w:style>
  <w:style w:type="paragraph" w:styleId="11">
    <w:name w:val="Date"/>
    <w:basedOn w:val="1"/>
    <w:next w:val="1"/>
    <w:link w:val="47"/>
    <w:qFormat/>
    <w:uiPriority w:val="0"/>
    <w:pPr>
      <w:ind w:left="100" w:leftChars="2500"/>
    </w:pPr>
    <w:rPr>
      <w:kern w:val="0"/>
      <w:szCs w:val="20"/>
    </w:rPr>
  </w:style>
  <w:style w:type="paragraph" w:styleId="12">
    <w:name w:val="Balloon Text"/>
    <w:basedOn w:val="1"/>
    <w:link w:val="41"/>
    <w:semiHidden/>
    <w:qFormat/>
    <w:uiPriority w:val="0"/>
    <w:rPr>
      <w:kern w:val="0"/>
      <w:sz w:val="18"/>
      <w:szCs w:val="20"/>
    </w:rPr>
  </w:style>
  <w:style w:type="paragraph" w:styleId="13">
    <w:name w:val="footer"/>
    <w:basedOn w:val="1"/>
    <w:link w:val="49"/>
    <w:qFormat/>
    <w:uiPriority w:val="99"/>
    <w:pPr>
      <w:tabs>
        <w:tab w:val="center" w:pos="4153"/>
        <w:tab w:val="right" w:pos="8306"/>
      </w:tabs>
      <w:snapToGrid w:val="0"/>
      <w:jc w:val="left"/>
    </w:pPr>
    <w:rPr>
      <w:kern w:val="0"/>
      <w:sz w:val="18"/>
      <w:szCs w:val="20"/>
    </w:rPr>
  </w:style>
  <w:style w:type="paragraph" w:styleId="14">
    <w:name w:val="header"/>
    <w:basedOn w:val="1"/>
    <w:link w:val="54"/>
    <w:qFormat/>
    <w:uiPriority w:val="0"/>
    <w:pPr>
      <w:pBdr>
        <w:bottom w:val="single" w:color="auto" w:sz="6" w:space="1"/>
      </w:pBdr>
      <w:tabs>
        <w:tab w:val="center" w:pos="4153"/>
        <w:tab w:val="right" w:pos="8306"/>
      </w:tabs>
      <w:snapToGrid w:val="0"/>
      <w:jc w:val="center"/>
    </w:pPr>
    <w:rPr>
      <w:kern w:val="0"/>
      <w:sz w:val="18"/>
      <w:szCs w:val="20"/>
    </w:rPr>
  </w:style>
  <w:style w:type="paragraph" w:styleId="15">
    <w:name w:val="List"/>
    <w:basedOn w:val="1"/>
    <w:next w:val="1"/>
    <w:qFormat/>
    <w:locked/>
    <w:uiPriority w:val="0"/>
    <w:pPr>
      <w:spacing w:line="400" w:lineRule="atLeast"/>
      <w:jc w:val="center"/>
    </w:pPr>
    <w:rPr>
      <w:rFonts w:ascii="宋体" w:eastAsia="仿宋_GB2312"/>
      <w:szCs w:val="20"/>
    </w:rPr>
  </w:style>
  <w:style w:type="paragraph" w:styleId="16">
    <w:name w:val="Body Text Indent 3"/>
    <w:basedOn w:val="1"/>
    <w:unhideWhenUsed/>
    <w:qFormat/>
    <w:locked/>
    <w:uiPriority w:val="0"/>
    <w:pPr>
      <w:snapToGrid w:val="0"/>
      <w:ind w:firstLine="540"/>
    </w:pPr>
    <w:rPr>
      <w:sz w:val="25"/>
    </w:rPr>
  </w:style>
  <w:style w:type="paragraph" w:styleId="17">
    <w:name w:val="toc 2"/>
    <w:basedOn w:val="1"/>
    <w:next w:val="1"/>
    <w:qFormat/>
    <w:locked/>
    <w:uiPriority w:val="39"/>
    <w:pPr>
      <w:adjustRightInd w:val="0"/>
      <w:spacing w:line="312" w:lineRule="atLeast"/>
      <w:ind w:left="420" w:leftChars="200"/>
      <w:textAlignment w:val="baseline"/>
    </w:pPr>
    <w:rPr>
      <w:kern w:val="0"/>
      <w:szCs w:val="20"/>
    </w:rPr>
  </w:style>
  <w:style w:type="paragraph" w:styleId="18">
    <w:name w:val="Normal (Web)"/>
    <w:basedOn w:val="1"/>
    <w:link w:val="46"/>
    <w:qFormat/>
    <w:uiPriority w:val="0"/>
    <w:pPr>
      <w:widowControl/>
      <w:spacing w:before="100" w:beforeAutospacing="1" w:after="100" w:afterAutospacing="1"/>
      <w:jc w:val="left"/>
    </w:pPr>
    <w:rPr>
      <w:rFonts w:ascii="宋体" w:hAnsi="宋体"/>
      <w:kern w:val="0"/>
      <w:szCs w:val="20"/>
    </w:rPr>
  </w:style>
  <w:style w:type="paragraph" w:styleId="19">
    <w:name w:val="annotation subject"/>
    <w:basedOn w:val="6"/>
    <w:next w:val="6"/>
    <w:link w:val="52"/>
    <w:semiHidden/>
    <w:qFormat/>
    <w:uiPriority w:val="0"/>
    <w:rPr>
      <w:b/>
    </w:rPr>
  </w:style>
  <w:style w:type="paragraph" w:styleId="20">
    <w:name w:val="Body Text First Indent"/>
    <w:unhideWhenUsed/>
    <w:qFormat/>
    <w:locked/>
    <w:uiPriority w:val="99"/>
    <w:pPr>
      <w:widowControl w:val="0"/>
      <w:spacing w:after="120"/>
      <w:ind w:firstLine="420" w:firstLineChars="100"/>
      <w:jc w:val="both"/>
    </w:pPr>
    <w:rPr>
      <w:rFonts w:asciiTheme="minorHAnsi" w:hAnsiTheme="minorHAnsi" w:eastAsiaTheme="minorEastAsia" w:cstheme="minorBidi"/>
      <w:kern w:val="2"/>
      <w:sz w:val="21"/>
      <w:szCs w:val="22"/>
      <w:lang w:val="en-US" w:eastAsia="zh-CN" w:bidi="ar-SA"/>
    </w:rPr>
  </w:style>
  <w:style w:type="paragraph" w:styleId="21">
    <w:name w:val="Body Text First Indent 2"/>
    <w:basedOn w:val="8"/>
    <w:qFormat/>
    <w:locked/>
    <w:uiPriority w:val="0"/>
    <w:pPr>
      <w:widowControl/>
      <w:spacing w:line="240" w:lineRule="auto"/>
      <w:ind w:firstLine="420"/>
      <w:jc w:val="left"/>
    </w:pPr>
    <w:rPr>
      <w:sz w:val="28"/>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locked/>
    <w:uiPriority w:val="0"/>
    <w:rPr>
      <w:b/>
    </w:rPr>
  </w:style>
  <w:style w:type="character" w:styleId="26">
    <w:name w:val="page number"/>
    <w:basedOn w:val="24"/>
    <w:qFormat/>
    <w:locked/>
    <w:uiPriority w:val="0"/>
  </w:style>
  <w:style w:type="character" w:styleId="27">
    <w:name w:val="FollowedHyperlink"/>
    <w:basedOn w:val="24"/>
    <w:qFormat/>
    <w:locked/>
    <w:uiPriority w:val="0"/>
    <w:rPr>
      <w:color w:val="800080" w:themeColor="followedHyperlink"/>
      <w:u w:val="single"/>
      <w14:textFill>
        <w14:solidFill>
          <w14:schemeClr w14:val="folHlink"/>
        </w14:solidFill>
      </w14:textFill>
    </w:rPr>
  </w:style>
  <w:style w:type="character" w:styleId="28">
    <w:name w:val="Hyperlink"/>
    <w:basedOn w:val="24"/>
    <w:qFormat/>
    <w:locked/>
    <w:uiPriority w:val="0"/>
    <w:rPr>
      <w:color w:val="0000FF"/>
      <w:u w:val="single"/>
    </w:rPr>
  </w:style>
  <w:style w:type="character" w:styleId="29">
    <w:name w:val="annotation reference"/>
    <w:semiHidden/>
    <w:qFormat/>
    <w:uiPriority w:val="0"/>
    <w:rPr>
      <w:sz w:val="21"/>
    </w:rPr>
  </w:style>
  <w:style w:type="paragraph" w:customStyle="1" w:styleId="30">
    <w:name w:val="Default"/>
    <w:basedOn w:val="31"/>
    <w:qFormat/>
    <w:uiPriority w:val="0"/>
    <w:pPr>
      <w:autoSpaceDE w:val="0"/>
      <w:autoSpaceDN w:val="0"/>
    </w:pPr>
    <w:rPr>
      <w:rFonts w:ascii="Times New Roman" w:hAnsi="Times New Roman"/>
      <w:color w:val="000000"/>
    </w:rPr>
  </w:style>
  <w:style w:type="paragraph" w:customStyle="1" w:styleId="31">
    <w:name w:val="纯文本1"/>
    <w:next w:val="1"/>
    <w:qFormat/>
    <w:uiPriority w:val="0"/>
    <w:pPr>
      <w:widowControl w:val="0"/>
      <w:wordWrap w:val="0"/>
      <w:spacing w:line="360" w:lineRule="auto"/>
      <w:ind w:firstLine="480" w:firstLineChars="200"/>
      <w:jc w:val="both"/>
    </w:pPr>
    <w:rPr>
      <w:rFonts w:hint="eastAsia" w:ascii="宋体" w:hAnsi="Courier New" w:eastAsia="宋体" w:cs="Times New Roman"/>
      <w:kern w:val="2"/>
      <w:sz w:val="24"/>
      <w:szCs w:val="22"/>
      <w:lang w:val="en-US" w:eastAsia="zh-CN" w:bidi="ar-SA"/>
    </w:rPr>
  </w:style>
  <w:style w:type="paragraph" w:customStyle="1" w:styleId="32">
    <w:name w:val="样式35"/>
    <w:basedOn w:val="33"/>
    <w:next w:val="34"/>
    <w:qFormat/>
    <w:uiPriority w:val="0"/>
    <w:pPr>
      <w:tabs>
        <w:tab w:val="left" w:pos="360"/>
        <w:tab w:val="left" w:pos="480"/>
        <w:tab w:val="left" w:pos="540"/>
        <w:tab w:val="left" w:pos="720"/>
      </w:tabs>
      <w:spacing w:line="312" w:lineRule="auto"/>
      <w:ind w:firstLine="567"/>
    </w:pPr>
    <w:rPr>
      <w:rFonts w:ascii="宋体" w:hAnsi="宋体" w:cs="宋体"/>
      <w:sz w:val="28"/>
      <w:szCs w:val="28"/>
    </w:rPr>
  </w:style>
  <w:style w:type="paragraph" w:customStyle="1" w:styleId="33">
    <w:name w:val="表 内容"/>
    <w:basedOn w:val="1"/>
    <w:qFormat/>
    <w:uiPriority w:val="0"/>
    <w:pPr>
      <w:adjustRightInd w:val="0"/>
      <w:snapToGrid w:val="0"/>
      <w:spacing w:beforeLines="15"/>
      <w:jc w:val="center"/>
    </w:pPr>
    <w:rPr>
      <w:kern w:val="0"/>
      <w:sz w:val="20"/>
      <w:szCs w:val="21"/>
    </w:rPr>
  </w:style>
  <w:style w:type="paragraph" w:customStyle="1" w:styleId="34">
    <w:name w:val="font6"/>
    <w:basedOn w:val="1"/>
    <w:next w:val="17"/>
    <w:qFormat/>
    <w:uiPriority w:val="0"/>
    <w:pPr>
      <w:widowControl/>
      <w:spacing w:before="100" w:beforeAutospacing="1" w:after="100" w:afterAutospacing="1"/>
      <w:jc w:val="left"/>
    </w:pPr>
    <w:rPr>
      <w:rFonts w:ascii="宋体" w:hAnsi="宋体" w:cs="宋体"/>
      <w:kern w:val="0"/>
      <w:sz w:val="20"/>
      <w:szCs w:val="20"/>
    </w:rPr>
  </w:style>
  <w:style w:type="paragraph" w:customStyle="1" w:styleId="35">
    <w:name w:val="xl27"/>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sz w:val="21"/>
      <w:szCs w:val="22"/>
      <w:lang w:val="en-US" w:eastAsia="zh-CN" w:bidi="ar-SA"/>
    </w:rPr>
  </w:style>
  <w:style w:type="paragraph" w:customStyle="1" w:styleId="36">
    <w:name w:val="0表头"/>
    <w:basedOn w:val="1"/>
    <w:qFormat/>
    <w:uiPriority w:val="0"/>
    <w:pPr>
      <w:spacing w:line="240" w:lineRule="auto"/>
      <w:jc w:val="center"/>
    </w:pPr>
    <w:rPr>
      <w:b/>
      <w:kern w:val="0"/>
    </w:rPr>
  </w:style>
  <w:style w:type="paragraph" w:customStyle="1" w:styleId="37">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3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表格"/>
    <w:basedOn w:val="5"/>
    <w:next w:val="1"/>
    <w:link w:val="44"/>
    <w:qFormat/>
    <w:uiPriority w:val="0"/>
    <w:pPr>
      <w:adjustRightInd w:val="0"/>
      <w:snapToGrid w:val="0"/>
      <w:spacing w:beforeLines="10" w:afterLines="10" w:line="259" w:lineRule="auto"/>
      <w:jc w:val="center"/>
    </w:pPr>
    <w:rPr>
      <w:rFonts w:ascii="宋体"/>
      <w:kern w:val="0"/>
      <w:szCs w:val="20"/>
    </w:rPr>
  </w:style>
  <w:style w:type="paragraph" w:customStyle="1" w:styleId="40">
    <w:name w:val="普通(网站)2"/>
    <w:basedOn w:val="1"/>
    <w:qFormat/>
    <w:uiPriority w:val="0"/>
    <w:pPr>
      <w:widowControl/>
      <w:spacing w:before="100" w:beforeAutospacing="1" w:after="100" w:afterAutospacing="1"/>
      <w:jc w:val="left"/>
    </w:pPr>
    <w:rPr>
      <w:rFonts w:ascii="宋体" w:hAnsi="宋体"/>
      <w:szCs w:val="20"/>
    </w:rPr>
  </w:style>
  <w:style w:type="character" w:customStyle="1" w:styleId="41">
    <w:name w:val="批注框文本 字符"/>
    <w:link w:val="12"/>
    <w:semiHidden/>
    <w:qFormat/>
    <w:locked/>
    <w:uiPriority w:val="0"/>
    <w:rPr>
      <w:rFonts w:ascii="Times New Roman" w:hAnsi="Times New Roman" w:eastAsia="宋体"/>
      <w:sz w:val="18"/>
    </w:rPr>
  </w:style>
  <w:style w:type="character" w:customStyle="1" w:styleId="42">
    <w:name w:val="日期 字符"/>
    <w:semiHidden/>
    <w:qFormat/>
    <w:uiPriority w:val="0"/>
    <w:rPr>
      <w:rFonts w:ascii="Times New Roman" w:hAnsi="Times New Roman" w:eastAsia="宋体"/>
      <w:sz w:val="24"/>
    </w:rPr>
  </w:style>
  <w:style w:type="character" w:customStyle="1" w:styleId="43">
    <w:name w:val="批注文字 字符"/>
    <w:link w:val="6"/>
    <w:qFormat/>
    <w:locked/>
    <w:uiPriority w:val="0"/>
    <w:rPr>
      <w:rFonts w:ascii="Times New Roman" w:hAnsi="Times New Roman" w:eastAsia="宋体"/>
      <w:sz w:val="24"/>
    </w:rPr>
  </w:style>
  <w:style w:type="character" w:customStyle="1" w:styleId="44">
    <w:name w:val="表格 Char"/>
    <w:link w:val="39"/>
    <w:qFormat/>
    <w:locked/>
    <w:uiPriority w:val="0"/>
    <w:rPr>
      <w:rFonts w:ascii="宋体"/>
      <w:sz w:val="21"/>
    </w:rPr>
  </w:style>
  <w:style w:type="character" w:customStyle="1" w:styleId="45">
    <w:name w:val="正文文本 字符1"/>
    <w:semiHidden/>
    <w:qFormat/>
    <w:uiPriority w:val="0"/>
    <w:rPr>
      <w:rFonts w:ascii="Times New Roman" w:hAnsi="Times New Roman" w:eastAsia="宋体"/>
      <w:sz w:val="24"/>
    </w:rPr>
  </w:style>
  <w:style w:type="character" w:customStyle="1" w:styleId="46">
    <w:name w:val="普通(网站) 字符"/>
    <w:link w:val="18"/>
    <w:qFormat/>
    <w:locked/>
    <w:uiPriority w:val="0"/>
    <w:rPr>
      <w:rFonts w:ascii="宋体" w:hAnsi="宋体" w:eastAsia="宋体"/>
      <w:sz w:val="24"/>
    </w:rPr>
  </w:style>
  <w:style w:type="character" w:customStyle="1" w:styleId="47">
    <w:name w:val="日期 字符1"/>
    <w:link w:val="11"/>
    <w:qFormat/>
    <w:locked/>
    <w:uiPriority w:val="0"/>
    <w:rPr>
      <w:rFonts w:ascii="Times New Roman" w:hAnsi="Times New Roman" w:eastAsia="宋体"/>
      <w:sz w:val="24"/>
    </w:rPr>
  </w:style>
  <w:style w:type="character" w:customStyle="1" w:styleId="48">
    <w:name w:val="页脚 字符"/>
    <w:basedOn w:val="24"/>
    <w:qFormat/>
    <w:uiPriority w:val="99"/>
  </w:style>
  <w:style w:type="character" w:customStyle="1" w:styleId="49">
    <w:name w:val="页脚 字符1"/>
    <w:link w:val="13"/>
    <w:qFormat/>
    <w:locked/>
    <w:uiPriority w:val="99"/>
    <w:rPr>
      <w:sz w:val="18"/>
    </w:rPr>
  </w:style>
  <w:style w:type="character" w:customStyle="1" w:styleId="50">
    <w:name w:val="正文文本 字符"/>
    <w:link w:val="7"/>
    <w:qFormat/>
    <w:locked/>
    <w:uiPriority w:val="0"/>
    <w:rPr>
      <w:sz w:val="18"/>
    </w:rPr>
  </w:style>
  <w:style w:type="character" w:customStyle="1" w:styleId="51">
    <w:name w:val="正文文本缩进 字符"/>
    <w:link w:val="8"/>
    <w:semiHidden/>
    <w:qFormat/>
    <w:locked/>
    <w:uiPriority w:val="0"/>
    <w:rPr>
      <w:rFonts w:ascii="Times New Roman" w:hAnsi="Times New Roman" w:eastAsia="宋体"/>
      <w:sz w:val="24"/>
    </w:rPr>
  </w:style>
  <w:style w:type="character" w:customStyle="1" w:styleId="52">
    <w:name w:val="批注主题 字符"/>
    <w:link w:val="19"/>
    <w:semiHidden/>
    <w:qFormat/>
    <w:locked/>
    <w:uiPriority w:val="0"/>
    <w:rPr>
      <w:rFonts w:ascii="Times New Roman" w:hAnsi="Times New Roman" w:eastAsia="宋体"/>
      <w:b/>
      <w:kern w:val="2"/>
      <w:sz w:val="24"/>
    </w:rPr>
  </w:style>
  <w:style w:type="character" w:customStyle="1" w:styleId="53">
    <w:name w:val="批注文字 字符1"/>
    <w:semiHidden/>
    <w:qFormat/>
    <w:uiPriority w:val="0"/>
    <w:rPr>
      <w:rFonts w:ascii="Times New Roman" w:hAnsi="Times New Roman" w:eastAsia="宋体"/>
      <w:sz w:val="24"/>
    </w:rPr>
  </w:style>
  <w:style w:type="character" w:customStyle="1" w:styleId="54">
    <w:name w:val="页眉 字符"/>
    <w:link w:val="14"/>
    <w:qFormat/>
    <w:locked/>
    <w:uiPriority w:val="0"/>
    <w:rPr>
      <w:sz w:val="18"/>
    </w:rPr>
  </w:style>
  <w:style w:type="paragraph" w:customStyle="1" w:styleId="55">
    <w:name w:val="+"/>
    <w:basedOn w:val="1"/>
    <w:qFormat/>
    <w:uiPriority w:val="0"/>
    <w:pPr>
      <w:adjustRightInd w:val="0"/>
      <w:snapToGrid w:val="0"/>
      <w:ind w:firstLine="420" w:firstLineChars="200"/>
      <w:jc w:val="left"/>
    </w:pPr>
    <w:rPr>
      <w:kern w:val="0"/>
    </w:rPr>
  </w:style>
  <w:style w:type="paragraph" w:styleId="56">
    <w:name w:val="List Paragraph"/>
    <w:basedOn w:val="1"/>
    <w:qFormat/>
    <w:uiPriority w:val="99"/>
    <w:pPr>
      <w:ind w:firstLine="420" w:firstLineChars="200"/>
    </w:pPr>
    <w:rPr>
      <w:rFonts w:ascii="Calibri" w:hAnsi="Calibri"/>
      <w:szCs w:val="22"/>
    </w:rPr>
  </w:style>
  <w:style w:type="paragraph" w:customStyle="1" w:styleId="57">
    <w:name w:val="新表项"/>
    <w:basedOn w:val="1"/>
    <w:qFormat/>
    <w:uiPriority w:val="0"/>
    <w:pPr>
      <w:adjustRightInd w:val="0"/>
      <w:spacing w:before="60" w:line="336" w:lineRule="auto"/>
      <w:ind w:firstLine="505"/>
      <w:textAlignment w:val="baseline"/>
    </w:pPr>
    <w:rPr>
      <w:rFonts w:ascii="宋体"/>
      <w:kern w:val="0"/>
    </w:rPr>
  </w:style>
  <w:style w:type="paragraph" w:customStyle="1" w:styleId="58">
    <w:name w:val="报告表  段"/>
    <w:basedOn w:val="1"/>
    <w:qFormat/>
    <w:uiPriority w:val="0"/>
    <w:pPr>
      <w:adjustRightInd w:val="0"/>
      <w:ind w:firstLine="505"/>
      <w:textAlignment w:val="baseline"/>
    </w:pPr>
    <w:rPr>
      <w:rFonts w:ascii="宋体"/>
      <w:kern w:val="0"/>
    </w:rPr>
  </w:style>
  <w:style w:type="paragraph" w:customStyle="1" w:styleId="59">
    <w:name w:val="正文内容"/>
    <w:basedOn w:val="1"/>
    <w:qFormat/>
    <w:uiPriority w:val="0"/>
    <w:pPr>
      <w:spacing w:line="312" w:lineRule="auto"/>
      <w:ind w:firstLine="480" w:firstLineChars="200"/>
    </w:pPr>
  </w:style>
  <w:style w:type="paragraph" w:customStyle="1" w:styleId="60">
    <w:name w:val="Char"/>
    <w:basedOn w:val="1"/>
    <w:qFormat/>
    <w:uiPriority w:val="0"/>
  </w:style>
  <w:style w:type="paragraph" w:customStyle="1" w:styleId="61">
    <w:name w:val="表内容"/>
    <w:qFormat/>
    <w:uiPriority w:val="0"/>
    <w:pPr>
      <w:keepNext/>
      <w:widowControl w:val="0"/>
      <w:autoSpaceDE w:val="0"/>
      <w:autoSpaceDN w:val="0"/>
      <w:adjustRightInd w:val="0"/>
      <w:jc w:val="center"/>
      <w:textAlignment w:val="baseline"/>
    </w:pPr>
    <w:rPr>
      <w:rFonts w:ascii="Calibri" w:hAnsi="Calibri" w:eastAsia="宋体" w:cs="Times New Roman"/>
      <w:sz w:val="21"/>
      <w:szCs w:val="21"/>
      <w:lang w:val="en-US" w:eastAsia="zh-CN" w:bidi="ar-SA"/>
    </w:rPr>
  </w:style>
  <w:style w:type="paragraph" w:customStyle="1" w:styleId="62">
    <w:name w:val="表标题"/>
    <w:next w:val="59"/>
    <w:link w:val="67"/>
    <w:qFormat/>
    <w:uiPriority w:val="0"/>
    <w:pPr>
      <w:widowControl w:val="0"/>
      <w:jc w:val="center"/>
    </w:pPr>
    <w:rPr>
      <w:rFonts w:ascii="Times New Roman" w:hAnsi="Times New Roman" w:eastAsia="宋体" w:cs="Times New Roman"/>
      <w:b/>
      <w:kern w:val="2"/>
      <w:sz w:val="21"/>
      <w:szCs w:val="24"/>
      <w:lang w:val="en-US" w:eastAsia="zh-CN" w:bidi="ar-SA"/>
    </w:rPr>
  </w:style>
  <w:style w:type="paragraph" w:customStyle="1" w:styleId="63">
    <w:name w:val="表格格式"/>
    <w:basedOn w:val="64"/>
    <w:qFormat/>
    <w:uiPriority w:val="0"/>
  </w:style>
  <w:style w:type="paragraph" w:customStyle="1" w:styleId="64">
    <w:name w:val="表格标题"/>
    <w:basedOn w:val="65"/>
    <w:qFormat/>
    <w:uiPriority w:val="0"/>
  </w:style>
  <w:style w:type="paragraph" w:customStyle="1" w:styleId="65">
    <w:name w:val="表格000"/>
    <w:qFormat/>
    <w:uiPriority w:val="0"/>
    <w:pPr>
      <w:widowControl w:val="0"/>
      <w:jc w:val="center"/>
    </w:pPr>
    <w:rPr>
      <w:rFonts w:ascii="Times New Roman" w:hAnsi="Times New Roman" w:eastAsia="宋体" w:cs="Times New Roman"/>
      <w:kern w:val="11"/>
      <w:sz w:val="21"/>
      <w:szCs w:val="21"/>
      <w:lang w:val="en-US" w:eastAsia="zh-CN" w:bidi="ar-SA"/>
    </w:rPr>
  </w:style>
  <w:style w:type="paragraph" w:customStyle="1" w:styleId="66">
    <w:name w:val="表格内容"/>
    <w:qFormat/>
    <w:uiPriority w:val="0"/>
    <w:pPr>
      <w:keepNext/>
      <w:widowControl w:val="0"/>
      <w:adjustRightInd w:val="0"/>
      <w:snapToGrid w:val="0"/>
      <w:jc w:val="center"/>
    </w:pPr>
    <w:rPr>
      <w:rFonts w:hint="eastAsia" w:ascii="Times New Roman" w:hAnsi="Times New Roman" w:eastAsia="宋体" w:cs="Times New Roman"/>
      <w:kern w:val="2"/>
      <w:sz w:val="21"/>
      <w:lang w:val="en-US" w:eastAsia="zh-CN" w:bidi="ar-SA"/>
    </w:rPr>
  </w:style>
  <w:style w:type="character" w:customStyle="1" w:styleId="67">
    <w:name w:val="表标题 Char Char"/>
    <w:link w:val="62"/>
    <w:qFormat/>
    <w:uiPriority w:val="0"/>
    <w:rPr>
      <w:rFonts w:ascii="Times New Roman" w:hAnsi="Times New Roman" w:eastAsia="宋体"/>
      <w:b/>
      <w:kern w:val="2"/>
      <w:sz w:val="21"/>
      <w:szCs w:val="24"/>
      <w:lang w:val="en-US" w:eastAsia="zh-CN" w:bidi="ar-SA"/>
    </w:rPr>
  </w:style>
  <w:style w:type="paragraph" w:customStyle="1" w:styleId="68">
    <w:name w:val="表格文字（241）"/>
    <w:qFormat/>
    <w:uiPriority w:val="0"/>
    <w:pPr>
      <w:widowControl w:val="0"/>
      <w:autoSpaceDE w:val="0"/>
      <w:autoSpaceDN w:val="0"/>
      <w:adjustRightInd w:val="0"/>
      <w:jc w:val="center"/>
      <w:textAlignment w:val="baseline"/>
    </w:pPr>
    <w:rPr>
      <w:rFonts w:ascii="Times New Roman" w:hAnsi="Times New Roman" w:eastAsia="宋体" w:cs="Times New Roman"/>
      <w:bCs/>
      <w:sz w:val="21"/>
      <w:szCs w:val="24"/>
      <w:lang w:val="en-US" w:eastAsia="zh-CN" w:bidi="ar-SA"/>
    </w:rPr>
  </w:style>
  <w:style w:type="paragraph" w:customStyle="1" w:styleId="69">
    <w:name w:val="1"/>
    <w:next w:val="8"/>
    <w:qFormat/>
    <w:uiPriority w:val="0"/>
    <w:pPr>
      <w:widowControl w:val="0"/>
      <w:adjustRightInd w:val="0"/>
      <w:snapToGrid w:val="0"/>
      <w:spacing w:line="360" w:lineRule="auto"/>
      <w:ind w:firstLine="420" w:firstLineChars="200"/>
    </w:pPr>
    <w:rPr>
      <w:rFonts w:ascii="Times New Roman" w:hAnsi="Times New Roman" w:eastAsia="宋体" w:cs="Times New Roman"/>
      <w:sz w:val="24"/>
      <w:szCs w:val="24"/>
      <w:lang w:val="en-US" w:eastAsia="zh-CN" w:bidi="ar-SA"/>
    </w:rPr>
  </w:style>
  <w:style w:type="paragraph" w:customStyle="1" w:styleId="70">
    <w:name w:val="Table Paragraph"/>
    <w:qFormat/>
    <w:uiPriority w:val="0"/>
    <w:pPr>
      <w:widowControl w:val="0"/>
      <w:jc w:val="both"/>
    </w:pPr>
    <w:rPr>
      <w:rFonts w:hint="eastAsia" w:ascii="宋体" w:hAnsi="宋体" w:eastAsia="宋体" w:cs="Times New Roman"/>
      <w:kern w:val="2"/>
      <w:sz w:val="21"/>
      <w:szCs w:val="21"/>
      <w:lang w:val="en-US" w:eastAsia="zh-CN" w:bidi="ar-SA"/>
    </w:rPr>
  </w:style>
  <w:style w:type="paragraph" w:customStyle="1" w:styleId="71">
    <w:name w:val="正 文"/>
    <w:qFormat/>
    <w:uiPriority w:val="0"/>
    <w:pPr>
      <w:widowControl w:val="0"/>
      <w:spacing w:line="480" w:lineRule="exact"/>
      <w:ind w:firstLine="471"/>
      <w:jc w:val="both"/>
    </w:pPr>
    <w:rPr>
      <w:rFonts w:ascii="Arial" w:hAnsi="Arial" w:eastAsia="宋体" w:cs="Times New Roman"/>
      <w:kern w:val="2"/>
      <w:sz w:val="24"/>
      <w:szCs w:val="24"/>
      <w:lang w:val="en-US" w:eastAsia="zh-CN" w:bidi="ar-SA"/>
    </w:rPr>
  </w:style>
  <w:style w:type="character" w:customStyle="1" w:styleId="72">
    <w:name w:val="main_tdbg_760"/>
    <w:qFormat/>
    <w:uiPriority w:val="0"/>
  </w:style>
  <w:style w:type="paragraph" w:customStyle="1" w:styleId="73">
    <w:name w:val="修订1"/>
    <w:hidden/>
    <w:unhideWhenUsed/>
    <w:qFormat/>
    <w:uiPriority w:val="99"/>
    <w:rPr>
      <w:rFonts w:ascii="Times New Roman" w:hAnsi="Times New Roman" w:eastAsia="宋体" w:cs="Times New Roman"/>
      <w:kern w:val="2"/>
      <w:sz w:val="24"/>
      <w:szCs w:val="24"/>
      <w:lang w:val="en-US" w:eastAsia="zh-CN" w:bidi="ar-SA"/>
    </w:rPr>
  </w:style>
  <w:style w:type="paragraph" w:customStyle="1" w:styleId="74">
    <w:name w:val="修订2"/>
    <w:hidden/>
    <w:semiHidden/>
    <w:qFormat/>
    <w:uiPriority w:val="99"/>
    <w:rPr>
      <w:rFonts w:ascii="Times New Roman" w:hAnsi="Times New Roman" w:eastAsia="宋体" w:cs="Times New Roman"/>
      <w:kern w:val="2"/>
      <w:sz w:val="24"/>
      <w:szCs w:val="24"/>
      <w:lang w:val="en-US" w:eastAsia="zh-CN" w:bidi="ar-SA"/>
    </w:rPr>
  </w:style>
  <w:style w:type="character" w:customStyle="1" w:styleId="75">
    <w:name w:val="font01"/>
    <w:basedOn w:val="24"/>
    <w:qFormat/>
    <w:uiPriority w:val="0"/>
    <w:rPr>
      <w:rFonts w:hint="eastAsia" w:ascii="宋体" w:hAnsi="宋体" w:eastAsia="宋体" w:cs="宋体"/>
      <w:color w:val="000000"/>
      <w:sz w:val="24"/>
      <w:szCs w:val="24"/>
      <w:u w:val="none"/>
    </w:rPr>
  </w:style>
  <w:style w:type="character" w:customStyle="1" w:styleId="76">
    <w:name w:val="font61"/>
    <w:basedOn w:val="24"/>
    <w:qFormat/>
    <w:uiPriority w:val="0"/>
    <w:rPr>
      <w:rFonts w:hint="eastAsia" w:ascii="宋体" w:hAnsi="宋体" w:eastAsia="宋体" w:cs="宋体"/>
      <w:b/>
      <w:bCs/>
      <w:color w:val="000000"/>
      <w:sz w:val="20"/>
      <w:szCs w:val="20"/>
      <w:u w:val="none"/>
    </w:rPr>
  </w:style>
  <w:style w:type="character" w:customStyle="1" w:styleId="77">
    <w:name w:val="font31"/>
    <w:basedOn w:val="24"/>
    <w:qFormat/>
    <w:uiPriority w:val="0"/>
    <w:rPr>
      <w:rFonts w:hint="default" w:ascii="Times New Roman" w:hAnsi="Times New Roman" w:cs="Times New Roman"/>
      <w:b/>
      <w:bCs/>
      <w:color w:val="000000"/>
      <w:sz w:val="20"/>
      <w:szCs w:val="20"/>
      <w:u w:val="none"/>
    </w:rPr>
  </w:style>
  <w:style w:type="character" w:customStyle="1" w:styleId="78">
    <w:name w:val="font81"/>
    <w:basedOn w:val="24"/>
    <w:qFormat/>
    <w:uiPriority w:val="0"/>
    <w:rPr>
      <w:rFonts w:hint="default" w:ascii="Times New Roman" w:hAnsi="Times New Roman" w:cs="Times New Roman"/>
      <w:b/>
      <w:bCs/>
      <w:color w:val="000000"/>
      <w:sz w:val="20"/>
      <w:szCs w:val="20"/>
      <w:u w:val="none"/>
    </w:rPr>
  </w:style>
  <w:style w:type="character" w:customStyle="1" w:styleId="79">
    <w:name w:val="font71"/>
    <w:basedOn w:val="24"/>
    <w:qFormat/>
    <w:uiPriority w:val="0"/>
    <w:rPr>
      <w:rFonts w:hint="eastAsia" w:ascii="宋体" w:hAnsi="宋体" w:eastAsia="宋体" w:cs="宋体"/>
      <w:b/>
      <w:bCs/>
      <w:color w:val="000000"/>
      <w:sz w:val="20"/>
      <w:szCs w:val="20"/>
      <w:u w:val="none"/>
    </w:rPr>
  </w:style>
  <w:style w:type="character" w:customStyle="1" w:styleId="80">
    <w:name w:val="font131"/>
    <w:basedOn w:val="24"/>
    <w:qFormat/>
    <w:uiPriority w:val="0"/>
    <w:rPr>
      <w:rFonts w:hint="eastAsia" w:ascii="宋体" w:hAnsi="宋体" w:eastAsia="宋体" w:cs="宋体"/>
      <w:color w:val="0C0C0C"/>
      <w:sz w:val="20"/>
      <w:szCs w:val="20"/>
      <w:u w:val="none"/>
    </w:rPr>
  </w:style>
  <w:style w:type="character" w:customStyle="1" w:styleId="81">
    <w:name w:val="Unresolved Mention"/>
    <w:basedOn w:val="24"/>
    <w:semiHidden/>
    <w:unhideWhenUsed/>
    <w:qFormat/>
    <w:uiPriority w:val="99"/>
    <w:rPr>
      <w:color w:val="605E5C"/>
      <w:shd w:val="clear" w:color="auto" w:fill="E1DFDD"/>
    </w:rPr>
  </w:style>
  <w:style w:type="paragraph" w:customStyle="1" w:styleId="82">
    <w:name w:val="环评表格标题"/>
    <w:basedOn w:val="1"/>
    <w:qFormat/>
    <w:uiPriority w:val="0"/>
    <w:pPr>
      <w:numPr>
        <w:ilvl w:val="0"/>
        <w:numId w:val="1"/>
      </w:numPr>
      <w:tabs>
        <w:tab w:val="left" w:pos="210"/>
      </w:tabs>
      <w:ind w:firstLine="0" w:firstLineChars="0"/>
      <w:jc w:val="center"/>
    </w:pPr>
    <w:rPr>
      <w:rFonts w:ascii="Times New Roman" w:hAnsi="Times New Roman" w:eastAsia="宋体" w:cs="Times New Roman"/>
      <w:b/>
    </w:rPr>
  </w:style>
  <w:style w:type="table" w:customStyle="1" w:styleId="83">
    <w:name w:val="Table Normal"/>
    <w:semiHidden/>
    <w:unhideWhenUsed/>
    <w:qFormat/>
    <w:uiPriority w:val="0"/>
    <w:tblPr>
      <w:tblCellMar>
        <w:top w:w="0" w:type="dxa"/>
        <w:left w:w="0" w:type="dxa"/>
        <w:bottom w:w="0" w:type="dxa"/>
        <w:right w:w="0" w:type="dxa"/>
      </w:tblCellMar>
    </w:tblPr>
  </w:style>
  <w:style w:type="paragraph" w:customStyle="1" w:styleId="84">
    <w:name w:val="正文j"/>
    <w:qFormat/>
    <w:uiPriority w:val="0"/>
    <w:pPr>
      <w:adjustRightInd w:val="0"/>
      <w:snapToGrid w:val="0"/>
      <w:spacing w:beforeLines="25" w:afterLines="25" w:line="360" w:lineRule="auto"/>
      <w:ind w:firstLine="200" w:firstLineChars="200"/>
    </w:pPr>
    <w:rPr>
      <w:rFonts w:ascii="Times New Roman" w:hAnsi="Times New Roman" w:eastAsia="宋体" w:cs="Times New Roman"/>
      <w:kern w:val="2"/>
      <w:sz w:val="24"/>
      <w:szCs w:val="28"/>
      <w:lang w:val="en-US" w:eastAsia="zh-CN" w:bidi="ar-SA"/>
    </w:rPr>
  </w:style>
  <w:style w:type="paragraph" w:customStyle="1" w:styleId="85">
    <w:name w:val="表格 32"/>
    <w:basedOn w:val="1"/>
    <w:qFormat/>
    <w:uiPriority w:val="0"/>
    <w:pPr>
      <w:autoSpaceDE w:val="0"/>
      <w:autoSpaceDN w:val="0"/>
      <w:adjustRightInd w:val="0"/>
      <w:jc w:val="center"/>
      <w:textAlignment w:val="baseline"/>
    </w:pPr>
    <w:rPr>
      <w:rFonts w:ascii="Impact" w:hAnsi="Wingdings" w:eastAsia="Impact" w:cs="仿宋体"/>
      <w:kern w:val="24"/>
      <w:sz w:val="24"/>
      <w:szCs w:val="20"/>
    </w:rPr>
  </w:style>
  <w:style w:type="paragraph" w:customStyle="1" w:styleId="86">
    <w:name w:val="无间隔1"/>
    <w:basedOn w:val="1"/>
    <w:qFormat/>
    <w:uiPriority w:val="0"/>
    <w:pPr>
      <w:keepNext w:val="0"/>
      <w:keepLines w:val="0"/>
      <w:widowControl w:val="0"/>
      <w:suppressLineNumbers w:val="0"/>
      <w:spacing w:before="0" w:beforeAutospacing="0" w:after="0" w:afterAutospacing="0"/>
      <w:ind w:left="0" w:right="0"/>
      <w:jc w:val="center"/>
    </w:pPr>
    <w:rPr>
      <w:rFonts w:hint="default" w:ascii="Calibri" w:hAnsi="Calibri" w:eastAsia="宋体" w:cs="Times New Roman"/>
      <w:b/>
      <w:kern w:val="2"/>
      <w:sz w:val="21"/>
      <w:szCs w:val="24"/>
      <w:lang w:val="en-US" w:eastAsia="zh-CN" w:bidi="ar"/>
    </w:rPr>
  </w:style>
  <w:style w:type="paragraph" w:customStyle="1" w:styleId="87">
    <w:name w:val="Table Text"/>
    <w:basedOn w:val="1"/>
    <w:semiHidden/>
    <w:qFormat/>
    <w:uiPriority w:val="0"/>
    <w:rPr>
      <w:rFonts w:ascii="宋体" w:hAnsi="宋体" w:cs="宋体"/>
      <w:lang w:eastAsia="en-US"/>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2" Type="http://schemas.openxmlformats.org/officeDocument/2006/relationships/fontTable" Target="fontTable.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footer" Target="footer1.xml"/><Relationship Id="rId49" Type="http://schemas.openxmlformats.org/officeDocument/2006/relationships/image" Target="media/image24.jpeg"/><Relationship Id="rId48" Type="http://schemas.openxmlformats.org/officeDocument/2006/relationships/image" Target="media/image23.png"/><Relationship Id="rId47" Type="http://schemas.openxmlformats.org/officeDocument/2006/relationships/image" Target="media/image22.wmf"/><Relationship Id="rId46" Type="http://schemas.openxmlformats.org/officeDocument/2006/relationships/oleObject" Target="embeddings/oleObject14.bin"/><Relationship Id="rId45" Type="http://schemas.openxmlformats.org/officeDocument/2006/relationships/image" Target="media/image21.wmf"/><Relationship Id="rId44" Type="http://schemas.openxmlformats.org/officeDocument/2006/relationships/oleObject" Target="embeddings/oleObject13.bin"/><Relationship Id="rId43" Type="http://schemas.openxmlformats.org/officeDocument/2006/relationships/image" Target="media/image20.wmf"/><Relationship Id="rId42" Type="http://schemas.openxmlformats.org/officeDocument/2006/relationships/oleObject" Target="embeddings/oleObject12.bin"/><Relationship Id="rId41" Type="http://schemas.openxmlformats.org/officeDocument/2006/relationships/image" Target="media/image19.wmf"/><Relationship Id="rId40" Type="http://schemas.openxmlformats.org/officeDocument/2006/relationships/oleObject" Target="embeddings/oleObject11.bin"/><Relationship Id="rId4" Type="http://schemas.openxmlformats.org/officeDocument/2006/relationships/endnotes" Target="endnotes.xml"/><Relationship Id="rId39" Type="http://schemas.openxmlformats.org/officeDocument/2006/relationships/image" Target="media/image18.wmf"/><Relationship Id="rId38" Type="http://schemas.openxmlformats.org/officeDocument/2006/relationships/oleObject" Target="embeddings/oleObject10.bin"/><Relationship Id="rId37" Type="http://schemas.openxmlformats.org/officeDocument/2006/relationships/image" Target="media/image17.wmf"/><Relationship Id="rId36" Type="http://schemas.openxmlformats.org/officeDocument/2006/relationships/oleObject" Target="embeddings/oleObject9.bin"/><Relationship Id="rId35" Type="http://schemas.openxmlformats.org/officeDocument/2006/relationships/image" Target="media/image16.png"/><Relationship Id="rId34" Type="http://schemas.openxmlformats.org/officeDocument/2006/relationships/image" Target="media/image15.wmf"/><Relationship Id="rId33" Type="http://schemas.openxmlformats.org/officeDocument/2006/relationships/oleObject" Target="embeddings/oleObject8.bin"/><Relationship Id="rId32" Type="http://schemas.openxmlformats.org/officeDocument/2006/relationships/image" Target="media/image14.wmf"/><Relationship Id="rId31" Type="http://schemas.openxmlformats.org/officeDocument/2006/relationships/image" Target="media/image13.wmf"/><Relationship Id="rId30" Type="http://schemas.openxmlformats.org/officeDocument/2006/relationships/oleObject" Target="embeddings/oleObject7.bin"/><Relationship Id="rId3" Type="http://schemas.openxmlformats.org/officeDocument/2006/relationships/footnotes" Target="footnotes.xml"/><Relationship Id="rId29" Type="http://schemas.openxmlformats.org/officeDocument/2006/relationships/image" Target="media/image12.png"/><Relationship Id="rId28" Type="http://schemas.openxmlformats.org/officeDocument/2006/relationships/image" Target="media/image11.jpeg"/><Relationship Id="rId27" Type="http://schemas.openxmlformats.org/officeDocument/2006/relationships/image" Target="media/image10.png"/><Relationship Id="rId26" Type="http://schemas.openxmlformats.org/officeDocument/2006/relationships/image" Target="media/image9.emf"/><Relationship Id="rId25" Type="http://schemas.openxmlformats.org/officeDocument/2006/relationships/oleObject" Target="embeddings/oleObject6.bin"/><Relationship Id="rId24" Type="http://schemas.openxmlformats.org/officeDocument/2006/relationships/image" Target="media/image8.emf"/><Relationship Id="rId23" Type="http://schemas.openxmlformats.org/officeDocument/2006/relationships/oleObject" Target="embeddings/oleObject5.bin"/><Relationship Id="rId22" Type="http://schemas.openxmlformats.org/officeDocument/2006/relationships/image" Target="media/image7.emf"/><Relationship Id="rId21" Type="http://schemas.openxmlformats.org/officeDocument/2006/relationships/oleObject" Target="embeddings/oleObject4.bin"/><Relationship Id="rId20" Type="http://schemas.openxmlformats.org/officeDocument/2006/relationships/image" Target="media/image6.e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5.emf"/><Relationship Id="rId17" Type="http://schemas.openxmlformats.org/officeDocument/2006/relationships/oleObject" Target="embeddings/oleObject2.bin"/><Relationship Id="rId16" Type="http://schemas.openxmlformats.org/officeDocument/2006/relationships/image" Target="media/image4.wmf"/><Relationship Id="rId15" Type="http://schemas.openxmlformats.org/officeDocument/2006/relationships/oleObject" Target="embeddings/oleObject1.bin"/><Relationship Id="rId14" Type="http://schemas.openxmlformats.org/officeDocument/2006/relationships/image" Target="media/image3.png"/><Relationship Id="rId13" Type="http://schemas.openxmlformats.org/officeDocument/2006/relationships/image" Target="media/image2.jpe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Pages>95</Pages>
  <Words>24909</Words>
  <Characters>27863</Characters>
  <Lines>435</Lines>
  <Paragraphs>122</Paragraphs>
  <TotalTime>2</TotalTime>
  <ScaleCrop>false</ScaleCrop>
  <LinksUpToDate>false</LinksUpToDate>
  <CharactersWithSpaces>28042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2022-11-07T01:20:00Z</dcterms:created>
  <dc:creator>尚云环境</dc:creator>
  <cp:lastModifiedBy>WPS_1482768017</cp:lastModifiedBy>
  <cp:lastPrinted>2023-02-27T08:19:00Z</cp:lastPrinted>
  <dcterms:modified xsi:type="dcterms:W3CDTF">2025-07-21T15:26:20Z</dcterms:modified>
  <dc:title>建设项目环境影响报告表（污染影响类）</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FD06586244B54176A373A6AEC3307857_13</vt:lpwstr>
  </property>
  <property fmtid="{D5CDD505-2E9C-101B-9397-08002B2CF9AE}" pid="4" name="KSOTemplateDocerSaveRecord">
    <vt:lpwstr>eyJoZGlkIjoiYjkyZmNhZmMwYTRkMzdjNDc0ZDBiODA4ZTNmNjg2YzYiLCJ1c2VySWQiOiIyNTg1ODcwNzgifQ==</vt:lpwstr>
  </property>
</Properties>
</file>